
<file path=[Content_Types].xml><?xml version="1.0" encoding="utf-8"?>
<Types xmlns="http://schemas.openxmlformats.org/package/2006/content-types">
  <Default Extension="docx" ContentType="application/vnd.openxmlformats-officedocument.wordprocessingml.document"/>
  <Default Extension="doc" ContentType="application/msword"/>
  <Default Extension="xlsx" ContentType="application/vnd.openxmlformats-officedocument.spreadsheetml.sheet"/>
  <Default Extension="png" ContentType="image/pn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60" w:lineRule="exact"/>
        <w:jc w:val="center"/>
        <w:rPr>
          <w:rFonts w:ascii="彩虹小标宋" w:hAnsi="宋体" w:eastAsia="彩虹小标宋"/>
          <w:snapToGrid w:val="0"/>
          <w:kern w:val="0"/>
          <w:sz w:val="36"/>
          <w:szCs w:val="36"/>
        </w:rPr>
      </w:pPr>
      <w:r>
        <w:rPr>
          <w:rFonts w:hint="eastAsia" w:ascii="彩虹小标宋" w:hAnsi="宋体" w:eastAsia="彩虹小标宋" w:cs="Times New Roman"/>
          <w:bCs/>
          <w:snapToGrid w:val="0"/>
          <w:kern w:val="0"/>
          <w:sz w:val="36"/>
          <w:szCs w:val="36"/>
          <w:lang w:eastAsia="zh-CN"/>
        </w:rPr>
        <w:t>中国建设银行河南省分行金融科技部中心机房部分计算机设备第三方维护服务项目</w:t>
      </w:r>
      <w:bookmarkStart w:id="1" w:name="_GoBack"/>
      <w:bookmarkEnd w:id="1"/>
      <w:r>
        <w:rPr>
          <w:rFonts w:hint="eastAsia" w:ascii="彩虹小标宋" w:hAnsi="宋体" w:eastAsia="彩虹小标宋"/>
          <w:snapToGrid w:val="0"/>
          <w:kern w:val="0"/>
          <w:sz w:val="36"/>
          <w:szCs w:val="36"/>
        </w:rPr>
        <w:t>采购需求</w:t>
      </w:r>
    </w:p>
    <w:p>
      <w:pPr>
        <w:spacing w:line="560" w:lineRule="exact"/>
        <w:ind w:firstLine="640" w:firstLineChars="200"/>
        <w:rPr>
          <w:rFonts w:ascii="彩虹黑体" w:hAnsi="宋体" w:eastAsia="彩虹黑体" w:cs="Times New Roman"/>
          <w:snapToGrid w:val="0"/>
          <w:kern w:val="0"/>
          <w:sz w:val="32"/>
          <w:szCs w:val="32"/>
        </w:rPr>
      </w:pPr>
    </w:p>
    <w:p>
      <w:pPr>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一、对候选供应商的要求</w:t>
      </w:r>
    </w:p>
    <w:p>
      <w:pPr>
        <w:snapToGrid w:val="0"/>
        <w:spacing w:line="600" w:lineRule="exact"/>
        <w:ind w:firstLine="640" w:firstLineChars="200"/>
        <w:rPr>
          <w:rFonts w:ascii="彩虹粗仿宋" w:hAnsi="仿宋" w:eastAsia="彩虹粗仿宋" w:cs="Arial"/>
          <w:sz w:val="32"/>
          <w:szCs w:val="32"/>
        </w:rPr>
      </w:pPr>
      <w:r>
        <w:rPr>
          <w:rFonts w:hint="eastAsia" w:ascii="彩虹粗仿宋" w:hAnsi="仿宋" w:eastAsia="彩虹粗仿宋" w:cs="Arial"/>
          <w:sz w:val="32"/>
          <w:szCs w:val="32"/>
        </w:rPr>
        <w:t>1.本次候选供应商应具有独立法人资格，具有经工商行政管理部门核准有效的营业执照。</w:t>
      </w:r>
    </w:p>
    <w:p>
      <w:pPr>
        <w:snapToGrid w:val="0"/>
        <w:spacing w:line="600" w:lineRule="exact"/>
        <w:ind w:firstLine="640" w:firstLineChars="200"/>
        <w:rPr>
          <w:rFonts w:ascii="彩虹粗仿宋" w:hAnsi="仿宋" w:eastAsia="彩虹粗仿宋" w:cs="Arial"/>
          <w:sz w:val="32"/>
          <w:szCs w:val="32"/>
        </w:rPr>
      </w:pPr>
      <w:r>
        <w:rPr>
          <w:rFonts w:hint="eastAsia" w:ascii="彩虹粗仿宋" w:hAnsi="仿宋" w:eastAsia="彩虹粗仿宋" w:cs="Arial"/>
          <w:sz w:val="32"/>
          <w:szCs w:val="32"/>
        </w:rPr>
        <w:t>2.提供2020年-2022年的财务报表或经审计的财务报告（新成立企业从成立之日起算，若企业成立不足一年，须提供基本户银行出具的资信证明）。</w:t>
      </w:r>
    </w:p>
    <w:p>
      <w:pPr>
        <w:snapToGrid w:val="0"/>
        <w:spacing w:line="600" w:lineRule="exact"/>
        <w:ind w:firstLine="640" w:firstLineChars="200"/>
        <w:rPr>
          <w:rFonts w:ascii="彩虹粗仿宋" w:hAnsi="仿宋" w:eastAsia="彩虹粗仿宋" w:cs="Arial"/>
          <w:sz w:val="32"/>
          <w:szCs w:val="32"/>
        </w:rPr>
      </w:pPr>
      <w:r>
        <w:rPr>
          <w:rFonts w:hint="eastAsia" w:ascii="彩虹粗仿宋" w:hAnsi="仿宋" w:eastAsia="彩虹粗仿宋" w:cs="Arial"/>
          <w:sz w:val="32"/>
          <w:szCs w:val="32"/>
        </w:rPr>
        <w:t>3.投标人当前未被“信用中国”网站列入重大税收违法失信主体；未被“中国执行信息公开网”列入失信被执行人名单；未被“中国政府采购网”列入政府采购严重违法失信行为记录名单；未被“国家企业信用信息公示系统”网站列入严重违法失信名单（黑名单），投标人需提供招标公告发出之日后的网上查询结果截图。查询网址：</w:t>
      </w:r>
    </w:p>
    <w:p>
      <w:pPr>
        <w:snapToGrid w:val="0"/>
        <w:spacing w:line="600" w:lineRule="exact"/>
        <w:ind w:firstLine="640" w:firstLineChars="200"/>
        <w:rPr>
          <w:rFonts w:ascii="彩虹粗仿宋" w:hAnsi="仿宋" w:eastAsia="彩虹粗仿宋" w:cs="Arial"/>
          <w:sz w:val="32"/>
          <w:szCs w:val="32"/>
        </w:rPr>
      </w:pPr>
      <w:r>
        <w:rPr>
          <w:rFonts w:hint="eastAsia" w:ascii="彩虹粗仿宋" w:hAnsi="仿宋" w:eastAsia="彩虹粗仿宋" w:cs="Arial"/>
          <w:sz w:val="32"/>
          <w:szCs w:val="32"/>
        </w:rPr>
        <w:t>（1）重大税收违法失信主体名单查询（https://www.creditchina.gov.cn/xinyongfuwu/zhongdashuishouweifaanjian/）；</w:t>
      </w:r>
    </w:p>
    <w:p>
      <w:pPr>
        <w:snapToGrid w:val="0"/>
        <w:spacing w:line="600" w:lineRule="exact"/>
        <w:ind w:firstLine="640" w:firstLineChars="200"/>
        <w:rPr>
          <w:rFonts w:ascii="彩虹粗仿宋" w:hAnsi="仿宋" w:eastAsia="彩虹粗仿宋" w:cs="Arial"/>
          <w:sz w:val="32"/>
          <w:szCs w:val="32"/>
        </w:rPr>
      </w:pPr>
      <w:r>
        <w:rPr>
          <w:rFonts w:hint="eastAsia" w:ascii="彩虹粗仿宋" w:hAnsi="仿宋" w:eastAsia="彩虹粗仿宋" w:cs="Arial"/>
          <w:sz w:val="32"/>
          <w:szCs w:val="32"/>
        </w:rPr>
        <w:t>（2）全国法院失信被执行人查询（法人或其他组织）（http://zxgk.court.gov.cn/shixin/）；</w:t>
      </w:r>
    </w:p>
    <w:p>
      <w:pPr>
        <w:snapToGrid w:val="0"/>
        <w:spacing w:line="600" w:lineRule="exact"/>
        <w:ind w:firstLine="640" w:firstLineChars="200"/>
        <w:rPr>
          <w:rFonts w:ascii="彩虹粗仿宋" w:hAnsi="仿宋" w:eastAsia="彩虹粗仿宋" w:cs="Arial"/>
          <w:sz w:val="32"/>
          <w:szCs w:val="32"/>
        </w:rPr>
      </w:pPr>
      <w:r>
        <w:rPr>
          <w:rFonts w:hint="eastAsia" w:ascii="彩虹粗仿宋" w:hAnsi="仿宋" w:eastAsia="彩虹粗仿宋" w:cs="Arial"/>
          <w:sz w:val="32"/>
          <w:szCs w:val="32"/>
        </w:rPr>
        <w:t>（3）政府采购严重违法失信行为记录名单查询（http://www.ccgp.gov.cn/search/cr/）；</w:t>
      </w:r>
    </w:p>
    <w:p>
      <w:pPr>
        <w:snapToGrid w:val="0"/>
        <w:spacing w:line="600" w:lineRule="exact"/>
        <w:ind w:firstLine="640" w:firstLineChars="200"/>
        <w:rPr>
          <w:rFonts w:ascii="彩虹粗仿宋" w:hAnsi="仿宋" w:eastAsia="彩虹粗仿宋" w:cs="Arial"/>
          <w:sz w:val="32"/>
          <w:szCs w:val="32"/>
        </w:rPr>
      </w:pPr>
      <w:r>
        <w:rPr>
          <w:rFonts w:hint="eastAsia" w:ascii="彩虹粗仿宋" w:hAnsi="仿宋" w:eastAsia="彩虹粗仿宋" w:cs="Arial"/>
          <w:sz w:val="32"/>
          <w:szCs w:val="32"/>
        </w:rPr>
        <w:t>（4）严重违法失信名单查询（http://www.gsxt.gov.cn/index.html）。（投标人出具网页截图）。</w:t>
      </w:r>
    </w:p>
    <w:p>
      <w:pPr>
        <w:snapToGrid w:val="0"/>
        <w:spacing w:line="600" w:lineRule="exact"/>
        <w:ind w:firstLine="640" w:firstLineChars="200"/>
        <w:rPr>
          <w:rFonts w:ascii="彩虹粗仿宋" w:hAnsi="仿宋" w:eastAsia="彩虹粗仿宋" w:cs="Arial"/>
          <w:sz w:val="32"/>
          <w:szCs w:val="32"/>
        </w:rPr>
      </w:pPr>
      <w:r>
        <w:rPr>
          <w:rFonts w:hint="eastAsia" w:ascii="彩虹粗仿宋" w:hAnsi="仿宋" w:eastAsia="彩虹粗仿宋" w:cs="Arial"/>
          <w:sz w:val="32"/>
          <w:szCs w:val="32"/>
        </w:rPr>
        <w:t>4.不接受联合体参与报名，法定代表人不得为同一个人的两个及两个以上法人，母公司、全资子公司及其控股（管理）公司不能同时参与同一项目。不得分包或转包给任何单位和个人。</w:t>
      </w:r>
    </w:p>
    <w:p>
      <w:pPr>
        <w:snapToGrid w:val="0"/>
        <w:spacing w:line="600" w:lineRule="exact"/>
        <w:ind w:firstLine="640" w:firstLineChars="200"/>
        <w:rPr>
          <w:rFonts w:ascii="彩虹粗仿宋" w:hAnsi="仿宋" w:eastAsia="彩虹粗仿宋" w:cs="Arial"/>
          <w:sz w:val="32"/>
          <w:szCs w:val="32"/>
        </w:rPr>
      </w:pPr>
      <w:r>
        <w:rPr>
          <w:rFonts w:hint="eastAsia" w:ascii="彩虹粗仿宋" w:hAnsi="仿宋" w:eastAsia="彩虹粗仿宋" w:cs="Arial"/>
          <w:sz w:val="32"/>
          <w:szCs w:val="32"/>
        </w:rPr>
        <w:t>5．投标人参加招标活动时未被列入中国建设银行供应商禁用或退出名单中。在中国建设银行龙集采平台(https://ibuy.ccb.com/cms/index.htm)上无风险预警提示（以招标人查询结果为准）或其他不良行为。</w:t>
      </w:r>
    </w:p>
    <w:p>
      <w:pPr>
        <w:snapToGrid w:val="0"/>
        <w:spacing w:line="600" w:lineRule="exact"/>
        <w:ind w:firstLine="640" w:firstLineChars="200"/>
        <w:rPr>
          <w:rFonts w:ascii="彩虹粗仿宋" w:hAnsi="仿宋" w:eastAsia="彩虹粗仿宋" w:cs="Arial"/>
          <w:sz w:val="32"/>
          <w:szCs w:val="32"/>
        </w:rPr>
      </w:pPr>
      <w:r>
        <w:rPr>
          <w:rFonts w:hint="eastAsia" w:ascii="彩虹粗仿宋" w:hAnsi="仿宋" w:eastAsia="彩虹粗仿宋" w:cs="Arial"/>
          <w:sz w:val="32"/>
          <w:szCs w:val="32"/>
        </w:rPr>
        <w:t>6．法定代表人（负责人）为同一人或存在控股、管理关系的不同投标人，不得同时参加本项目。</w:t>
      </w:r>
    </w:p>
    <w:p>
      <w:pPr>
        <w:snapToGrid w:val="0"/>
        <w:spacing w:line="600" w:lineRule="exact"/>
        <w:ind w:firstLine="640" w:firstLineChars="200"/>
        <w:rPr>
          <w:rFonts w:ascii="彩虹粗仿宋" w:hAnsi="仿宋" w:eastAsia="彩虹粗仿宋" w:cs="Arial"/>
          <w:sz w:val="32"/>
          <w:szCs w:val="32"/>
        </w:rPr>
      </w:pPr>
      <w:r>
        <w:rPr>
          <w:rFonts w:hint="eastAsia" w:ascii="彩虹粗仿宋" w:hAnsi="仿宋" w:eastAsia="彩虹粗仿宋" w:cs="Arial"/>
          <w:sz w:val="32"/>
          <w:szCs w:val="32"/>
        </w:rPr>
        <w:t>7.参加投标方应具有信息技术服务运行维护标准资质证书(ITSS标准体系)。</w:t>
      </w:r>
    </w:p>
    <w:p>
      <w:pPr>
        <w:snapToGrid w:val="0"/>
        <w:spacing w:line="600" w:lineRule="exact"/>
        <w:ind w:firstLine="640" w:firstLineChars="200"/>
        <w:rPr>
          <w:rFonts w:ascii="彩虹粗仿宋" w:hAnsi="仿宋" w:eastAsia="彩虹粗仿宋" w:cs="Arial"/>
          <w:sz w:val="32"/>
          <w:szCs w:val="32"/>
        </w:rPr>
      </w:pPr>
      <w:r>
        <w:rPr>
          <w:rFonts w:hint="eastAsia" w:ascii="彩虹粗仿宋" w:hAnsi="仿宋" w:eastAsia="彩虹粗仿宋" w:cs="Arial"/>
          <w:sz w:val="32"/>
          <w:szCs w:val="32"/>
        </w:rPr>
        <w:t>8.提供2021年1月1日以来同类项目业绩，维保服务合同中维保设备清单完全涵盖小型机、华为存储、物理服务器、网络安全设备。</w:t>
      </w:r>
    </w:p>
    <w:p>
      <w:pPr>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二、系统背景说明</w:t>
      </w:r>
    </w:p>
    <w:p>
      <w:pPr>
        <w:snapToGrid w:val="0"/>
        <w:spacing w:line="600" w:lineRule="exact"/>
        <w:ind w:firstLine="640" w:firstLineChars="200"/>
        <w:rPr>
          <w:rFonts w:ascii="彩虹粗仿宋" w:hAnsi="仿宋" w:eastAsia="彩虹粗仿宋" w:cs="Arial"/>
          <w:sz w:val="32"/>
          <w:szCs w:val="32"/>
        </w:rPr>
      </w:pPr>
      <w:r>
        <w:rPr>
          <w:rFonts w:hint="eastAsia" w:ascii="彩虹粗仿宋" w:hAnsi="仿宋" w:eastAsia="彩虹粗仿宋" w:cs="Arial"/>
          <w:sz w:val="32"/>
          <w:szCs w:val="32"/>
        </w:rPr>
        <w:t>2023年度，我行中心机房系统类计算机设备维护由于维护性质（原厂维护和非原厂维护服务）、维护服务起止时间、机房搬迁等因素影响，计算机系统类维护服务包括四项维护服务分别采购。2024年度，我行已完成机房搬迁工作，同时系统类设备维护性质根据承载业务情况统一调整为第三方维护服务。另我行于2019年完成互联网平台建设，项目建设中，采购了4台物理服务器，随物理服务器采购附带的原厂维护服务即将于2024年度10月29日到期，本次拟一并采购该4台设备的第三方维保服务。</w:t>
      </w:r>
    </w:p>
    <w:p>
      <w:pPr>
        <w:snapToGrid w:val="0"/>
        <w:spacing w:line="600" w:lineRule="exact"/>
        <w:ind w:firstLine="640" w:firstLineChars="200"/>
        <w:rPr>
          <w:rFonts w:ascii="彩虹粗仿宋" w:hAnsi="仿宋" w:eastAsia="彩虹粗仿宋" w:cs="Arial"/>
          <w:sz w:val="32"/>
          <w:szCs w:val="32"/>
        </w:rPr>
      </w:pPr>
      <w:r>
        <w:rPr>
          <w:rFonts w:hint="eastAsia" w:ascii="彩虹粗仿宋" w:hAnsi="仿宋" w:eastAsia="彩虹粗仿宋" w:cs="Arial"/>
          <w:sz w:val="32"/>
          <w:szCs w:val="32"/>
        </w:rPr>
        <w:t>我行中心机房网络设备第三方维护，我行互联网和外联网平台网络设备中，四台网络设备因厂家原因不在提供原厂维保服务，本次调整为第三方维护服务。</w:t>
      </w:r>
    </w:p>
    <w:p>
      <w:pPr>
        <w:snapToGrid w:val="0"/>
        <w:spacing w:line="600" w:lineRule="exact"/>
        <w:ind w:firstLine="640" w:firstLineChars="200"/>
        <w:rPr>
          <w:rFonts w:ascii="彩虹粗仿宋" w:hAnsi="仿宋" w:eastAsia="彩虹粗仿宋" w:cs="Arial"/>
          <w:sz w:val="32"/>
          <w:szCs w:val="32"/>
        </w:rPr>
      </w:pPr>
      <w:r>
        <w:rPr>
          <w:rFonts w:hint="eastAsia" w:ascii="彩虹粗仿宋" w:hAnsi="仿宋" w:eastAsia="彩虹粗仿宋" w:cs="Arial"/>
          <w:sz w:val="32"/>
          <w:szCs w:val="32"/>
        </w:rPr>
        <w:t>为加强我行中心机房设备维护服务统一管理，对所有第三方维护类设备服务截止时间统一调整，所需维护费用按照调整后维护时间核算，本次完成统一调整后，需要采购维保服务的设备共计61台。</w:t>
      </w:r>
    </w:p>
    <w:p>
      <w:pPr>
        <w:numPr>
          <w:ilvl w:val="0"/>
          <w:numId w:val="1"/>
        </w:numPr>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维护工作的范围、内容、期限</w:t>
      </w:r>
    </w:p>
    <w:p>
      <w:pPr>
        <w:spacing w:line="560" w:lineRule="exact"/>
        <w:ind w:firstLine="643" w:firstLineChars="200"/>
        <w:rPr>
          <w:rFonts w:ascii="彩虹楷体" w:eastAsia="彩虹楷体"/>
          <w:b/>
          <w:color w:val="000000" w:themeColor="text1"/>
          <w:sz w:val="32"/>
          <w:szCs w:val="32"/>
        </w:rPr>
      </w:pPr>
      <w:r>
        <w:rPr>
          <w:rFonts w:hint="eastAsia" w:ascii="彩虹楷体" w:eastAsia="彩虹楷体"/>
          <w:b/>
          <w:color w:val="000000" w:themeColor="text1"/>
          <w:sz w:val="32"/>
          <w:szCs w:val="32"/>
        </w:rPr>
        <w:t>（一）维护的设备和期限</w:t>
      </w:r>
    </w:p>
    <w:p>
      <w:pPr>
        <w:snapToGrid w:val="0"/>
        <w:spacing w:line="600" w:lineRule="exact"/>
        <w:ind w:firstLine="640" w:firstLineChars="200"/>
        <w:rPr>
          <w:rFonts w:ascii="彩虹粗仿宋" w:hAnsi="仿宋" w:eastAsia="彩虹粗仿宋" w:cs="Arial"/>
          <w:sz w:val="32"/>
          <w:szCs w:val="32"/>
        </w:rPr>
      </w:pPr>
      <w:r>
        <w:rPr>
          <w:rFonts w:hint="eastAsia" w:ascii="彩虹粗仿宋" w:hAnsi="仿宋" w:eastAsia="彩虹粗仿宋" w:cs="Arial"/>
          <w:sz w:val="32"/>
          <w:szCs w:val="32"/>
        </w:rPr>
        <w:t>本次购买维护服务的设备用途、型号及详细配置见附件一，招标方可根据业务系统实际情况，对维保设备清单及维保期限进行调整，提前通知中标方。设备清单、服务级别及服务期限如下：</w:t>
      </w:r>
    </w:p>
    <w:tbl>
      <w:tblPr>
        <w:tblStyle w:val="15"/>
        <w:tblW w:w="8520" w:type="dxa"/>
        <w:tblInd w:w="93" w:type="dxa"/>
        <w:tblLayout w:type="fixed"/>
        <w:tblCellMar>
          <w:top w:w="0" w:type="dxa"/>
          <w:left w:w="108" w:type="dxa"/>
          <w:bottom w:w="0" w:type="dxa"/>
          <w:right w:w="108" w:type="dxa"/>
        </w:tblCellMar>
      </w:tblPr>
      <w:tblGrid>
        <w:gridCol w:w="1291"/>
        <w:gridCol w:w="2835"/>
        <w:gridCol w:w="1033"/>
        <w:gridCol w:w="1235"/>
        <w:gridCol w:w="851"/>
        <w:gridCol w:w="1275"/>
      </w:tblGrid>
      <w:tr>
        <w:tblPrEx>
          <w:tblCellMar>
            <w:top w:w="0" w:type="dxa"/>
            <w:left w:w="108" w:type="dxa"/>
            <w:bottom w:w="0" w:type="dxa"/>
            <w:right w:w="108" w:type="dxa"/>
          </w:tblCellMar>
        </w:tblPrEx>
        <w:trPr>
          <w:trHeight w:val="630" w:hRule="atLeast"/>
        </w:trPr>
        <w:tc>
          <w:tcPr>
            <w:tcW w:w="8520" w:type="dxa"/>
            <w:gridSpan w:val="6"/>
            <w:tcBorders>
              <w:top w:val="nil"/>
              <w:left w:val="nil"/>
              <w:bottom w:val="single" w:color="auto" w:sz="4" w:space="0"/>
              <w:right w:val="nil"/>
            </w:tcBorders>
            <w:shd w:val="clear" w:color="000000" w:fill="FFFFFF"/>
            <w:noWrap/>
            <w:vAlign w:val="center"/>
          </w:tcPr>
          <w:p>
            <w:pPr>
              <w:widowControl/>
              <w:jc w:val="center"/>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设备维护表</w:t>
            </w:r>
          </w:p>
        </w:tc>
      </w:tr>
      <w:tr>
        <w:tblPrEx>
          <w:tblCellMar>
            <w:top w:w="0" w:type="dxa"/>
            <w:left w:w="108" w:type="dxa"/>
            <w:bottom w:w="0" w:type="dxa"/>
            <w:right w:w="108" w:type="dxa"/>
          </w:tblCellMar>
        </w:tblPrEx>
        <w:trPr>
          <w:trHeight w:val="540" w:hRule="atLeast"/>
        </w:trPr>
        <w:tc>
          <w:tcPr>
            <w:tcW w:w="1291" w:type="dxa"/>
            <w:tcBorders>
              <w:top w:val="nil"/>
              <w:left w:val="single" w:color="auto" w:sz="4" w:space="0"/>
              <w:bottom w:val="single" w:color="auto" w:sz="4" w:space="0"/>
              <w:right w:val="single" w:color="auto" w:sz="4" w:space="0"/>
            </w:tcBorders>
            <w:shd w:val="clear" w:color="000000" w:fill="FFFFFF"/>
            <w:vAlign w:val="bottom"/>
          </w:tcPr>
          <w:p>
            <w:pPr>
              <w:widowControl/>
              <w:jc w:val="center"/>
              <w:rPr>
                <w:rFonts w:ascii="彩虹粗仿宋" w:hAnsi="宋体" w:eastAsia="彩虹粗仿宋" w:cs="宋体"/>
                <w:color w:val="000000"/>
                <w:kern w:val="0"/>
                <w:sz w:val="24"/>
                <w:szCs w:val="24"/>
              </w:rPr>
            </w:pPr>
          </w:p>
        </w:tc>
        <w:tc>
          <w:tcPr>
            <w:tcW w:w="2835" w:type="dxa"/>
            <w:tcBorders>
              <w:top w:val="nil"/>
              <w:left w:val="nil"/>
              <w:bottom w:val="single" w:color="auto" w:sz="4" w:space="0"/>
              <w:right w:val="single" w:color="auto" w:sz="4" w:space="0"/>
            </w:tcBorders>
            <w:shd w:val="clear" w:color="000000" w:fill="FFFFFF"/>
            <w:vAlign w:val="center"/>
          </w:tcPr>
          <w:p>
            <w:pPr>
              <w:widowControl/>
              <w:jc w:val="center"/>
              <w:rPr>
                <w:rFonts w:ascii="彩虹粗仿宋" w:hAnsi="宋体" w:eastAsia="彩虹粗仿宋" w:cs="宋体"/>
                <w:kern w:val="0"/>
                <w:sz w:val="24"/>
                <w:szCs w:val="24"/>
              </w:rPr>
            </w:pPr>
            <w:r>
              <w:rPr>
                <w:rFonts w:hint="eastAsia" w:ascii="彩虹粗仿宋" w:hAnsi="宋体" w:eastAsia="彩虹粗仿宋" w:cs="宋体"/>
                <w:kern w:val="0"/>
                <w:sz w:val="24"/>
                <w:szCs w:val="24"/>
              </w:rPr>
              <w:t>采购维护服务设备</w:t>
            </w:r>
          </w:p>
        </w:tc>
        <w:tc>
          <w:tcPr>
            <w:tcW w:w="1033" w:type="dxa"/>
            <w:tcBorders>
              <w:top w:val="nil"/>
              <w:left w:val="nil"/>
              <w:bottom w:val="single" w:color="auto" w:sz="4" w:space="0"/>
              <w:right w:val="single" w:color="auto" w:sz="4" w:space="0"/>
            </w:tcBorders>
            <w:shd w:val="clear" w:color="000000" w:fill="FFFFFF"/>
            <w:vAlign w:val="center"/>
          </w:tcPr>
          <w:p>
            <w:pPr>
              <w:widowControl/>
              <w:jc w:val="center"/>
              <w:rPr>
                <w:rFonts w:ascii="彩虹粗仿宋" w:hAnsi="宋体" w:eastAsia="彩虹粗仿宋" w:cs="宋体"/>
                <w:kern w:val="0"/>
                <w:sz w:val="24"/>
                <w:szCs w:val="24"/>
              </w:rPr>
            </w:pPr>
            <w:r>
              <w:rPr>
                <w:rFonts w:hint="eastAsia" w:ascii="彩虹粗仿宋" w:hAnsi="宋体" w:eastAsia="彩虹粗仿宋" w:cs="宋体"/>
                <w:kern w:val="0"/>
                <w:sz w:val="24"/>
                <w:szCs w:val="24"/>
              </w:rPr>
              <w:t>维护起时间</w:t>
            </w:r>
          </w:p>
        </w:tc>
        <w:tc>
          <w:tcPr>
            <w:tcW w:w="1235" w:type="dxa"/>
            <w:tcBorders>
              <w:top w:val="nil"/>
              <w:left w:val="nil"/>
              <w:bottom w:val="single" w:color="auto" w:sz="4" w:space="0"/>
              <w:right w:val="single" w:color="auto" w:sz="4" w:space="0"/>
            </w:tcBorders>
            <w:shd w:val="clear" w:color="000000" w:fill="FFFFFF"/>
            <w:vAlign w:val="center"/>
          </w:tcPr>
          <w:p>
            <w:pPr>
              <w:widowControl/>
              <w:jc w:val="center"/>
              <w:rPr>
                <w:rFonts w:ascii="彩虹粗仿宋" w:hAnsi="宋体" w:eastAsia="彩虹粗仿宋" w:cs="宋体"/>
                <w:kern w:val="0"/>
                <w:sz w:val="24"/>
                <w:szCs w:val="24"/>
              </w:rPr>
            </w:pPr>
            <w:r>
              <w:rPr>
                <w:rFonts w:hint="eastAsia" w:ascii="彩虹粗仿宋" w:hAnsi="宋体" w:eastAsia="彩虹粗仿宋" w:cs="宋体"/>
                <w:kern w:val="0"/>
                <w:sz w:val="24"/>
                <w:szCs w:val="24"/>
              </w:rPr>
              <w:t>维护止时间</w:t>
            </w:r>
          </w:p>
        </w:tc>
        <w:tc>
          <w:tcPr>
            <w:tcW w:w="851" w:type="dxa"/>
            <w:tcBorders>
              <w:top w:val="nil"/>
              <w:left w:val="nil"/>
              <w:bottom w:val="single" w:color="auto" w:sz="4" w:space="0"/>
              <w:right w:val="single" w:color="auto" w:sz="4" w:space="0"/>
            </w:tcBorders>
            <w:shd w:val="clear" w:color="000000" w:fill="FFFFFF"/>
            <w:vAlign w:val="center"/>
          </w:tcPr>
          <w:p>
            <w:pPr>
              <w:widowControl/>
              <w:jc w:val="center"/>
              <w:rPr>
                <w:rFonts w:ascii="彩虹粗仿宋" w:hAnsi="宋体" w:eastAsia="彩虹粗仿宋" w:cs="宋体"/>
                <w:kern w:val="0"/>
                <w:sz w:val="24"/>
                <w:szCs w:val="24"/>
              </w:rPr>
            </w:pPr>
            <w:r>
              <w:rPr>
                <w:rFonts w:hint="eastAsia" w:ascii="彩虹粗仿宋" w:hAnsi="宋体" w:eastAsia="彩虹粗仿宋" w:cs="宋体"/>
                <w:kern w:val="0"/>
                <w:sz w:val="24"/>
                <w:szCs w:val="24"/>
              </w:rPr>
              <w:t>维护级别</w:t>
            </w:r>
          </w:p>
        </w:tc>
        <w:tc>
          <w:tcPr>
            <w:tcW w:w="1275" w:type="dxa"/>
            <w:tcBorders>
              <w:top w:val="nil"/>
              <w:left w:val="nil"/>
              <w:bottom w:val="single" w:color="auto" w:sz="4" w:space="0"/>
              <w:right w:val="single" w:color="auto" w:sz="4" w:space="0"/>
            </w:tcBorders>
            <w:shd w:val="clear" w:color="000000" w:fill="FFFFFF"/>
            <w:vAlign w:val="center"/>
          </w:tcPr>
          <w:p>
            <w:pPr>
              <w:widowControl/>
              <w:jc w:val="center"/>
              <w:rPr>
                <w:rFonts w:ascii="彩虹粗仿宋" w:hAnsi="宋体" w:eastAsia="彩虹粗仿宋" w:cs="宋体"/>
                <w:kern w:val="0"/>
                <w:sz w:val="24"/>
                <w:szCs w:val="24"/>
              </w:rPr>
            </w:pPr>
            <w:r>
              <w:rPr>
                <w:rFonts w:hint="eastAsia" w:ascii="彩虹粗仿宋" w:hAnsi="宋体" w:eastAsia="彩虹粗仿宋" w:cs="宋体"/>
                <w:kern w:val="0"/>
                <w:sz w:val="24"/>
                <w:szCs w:val="24"/>
              </w:rPr>
              <w:t>维保时长</w:t>
            </w:r>
          </w:p>
        </w:tc>
      </w:tr>
      <w:tr>
        <w:tblPrEx>
          <w:tblCellMar>
            <w:top w:w="0" w:type="dxa"/>
            <w:left w:w="108" w:type="dxa"/>
            <w:bottom w:w="0" w:type="dxa"/>
            <w:right w:w="108" w:type="dxa"/>
          </w:tblCellMar>
        </w:tblPrEx>
        <w:trPr>
          <w:trHeight w:val="1080" w:hRule="atLeast"/>
        </w:trPr>
        <w:tc>
          <w:tcPr>
            <w:tcW w:w="1291" w:type="dxa"/>
            <w:vMerge w:val="restart"/>
            <w:tcBorders>
              <w:top w:val="nil"/>
              <w:left w:val="single" w:color="auto" w:sz="4" w:space="0"/>
              <w:right w:val="single" w:color="auto" w:sz="4" w:space="0"/>
            </w:tcBorders>
            <w:shd w:val="clear" w:color="auto" w:fill="auto"/>
            <w:vAlign w:val="center"/>
          </w:tcPr>
          <w:p>
            <w:pPr>
              <w:widowControl/>
              <w:jc w:val="center"/>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系统类设备</w:t>
            </w:r>
          </w:p>
        </w:tc>
        <w:tc>
          <w:tcPr>
            <w:tcW w:w="2835"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2台小型机 P740（用于历史数据查询）</w:t>
            </w:r>
            <w:r>
              <w:rPr>
                <w:rFonts w:hint="eastAsia" w:ascii="彩虹粗仿宋" w:hAnsi="宋体" w:eastAsia="彩虹粗仿宋" w:cs="宋体"/>
                <w:color w:val="000000"/>
                <w:kern w:val="0"/>
                <w:sz w:val="24"/>
                <w:szCs w:val="24"/>
              </w:rPr>
              <w:br w:type="textWrapping"/>
            </w:r>
            <w:r>
              <w:rPr>
                <w:rFonts w:hint="eastAsia" w:ascii="彩虹粗仿宋" w:hAnsi="宋体" w:eastAsia="彩虹粗仿宋" w:cs="宋体"/>
                <w:color w:val="000000"/>
                <w:kern w:val="0"/>
                <w:sz w:val="24"/>
                <w:szCs w:val="24"/>
              </w:rPr>
              <w:t>2台小型机 P720（用于历史数据查询）</w:t>
            </w:r>
            <w:r>
              <w:rPr>
                <w:rFonts w:hint="eastAsia" w:ascii="彩虹粗仿宋" w:hAnsi="宋体" w:eastAsia="彩虹粗仿宋" w:cs="宋体"/>
                <w:color w:val="000000"/>
                <w:kern w:val="0"/>
                <w:sz w:val="24"/>
                <w:szCs w:val="24"/>
              </w:rPr>
              <w:br w:type="textWrapping"/>
            </w:r>
            <w:r>
              <w:rPr>
                <w:rFonts w:hint="eastAsia" w:ascii="彩虹粗仿宋" w:hAnsi="宋体" w:eastAsia="彩虹粗仿宋" w:cs="宋体"/>
                <w:color w:val="000000"/>
                <w:kern w:val="0"/>
                <w:sz w:val="24"/>
                <w:szCs w:val="24"/>
              </w:rPr>
              <w:t>1台集中备份系统带库3500（含扩展柜）</w:t>
            </w:r>
          </w:p>
        </w:tc>
        <w:tc>
          <w:tcPr>
            <w:tcW w:w="1033"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2024/3/9</w:t>
            </w:r>
          </w:p>
        </w:tc>
        <w:tc>
          <w:tcPr>
            <w:tcW w:w="1235"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2025/3/8</w:t>
            </w:r>
          </w:p>
        </w:tc>
        <w:tc>
          <w:tcPr>
            <w:tcW w:w="851"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7*24</w:t>
            </w:r>
          </w:p>
        </w:tc>
        <w:tc>
          <w:tcPr>
            <w:tcW w:w="1275"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12个月</w:t>
            </w:r>
          </w:p>
        </w:tc>
      </w:tr>
      <w:tr>
        <w:tblPrEx>
          <w:tblCellMar>
            <w:top w:w="0" w:type="dxa"/>
            <w:left w:w="108" w:type="dxa"/>
            <w:bottom w:w="0" w:type="dxa"/>
            <w:right w:w="108" w:type="dxa"/>
          </w:tblCellMar>
        </w:tblPrEx>
        <w:trPr>
          <w:trHeight w:val="270" w:hRule="atLeast"/>
        </w:trPr>
        <w:tc>
          <w:tcPr>
            <w:tcW w:w="1291" w:type="dxa"/>
            <w:vMerge w:val="continue"/>
            <w:tcBorders>
              <w:left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p>
        </w:tc>
        <w:tc>
          <w:tcPr>
            <w:tcW w:w="2835"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2台光盘库</w:t>
            </w:r>
          </w:p>
        </w:tc>
        <w:tc>
          <w:tcPr>
            <w:tcW w:w="1033"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2024/7/21</w:t>
            </w:r>
          </w:p>
        </w:tc>
        <w:tc>
          <w:tcPr>
            <w:tcW w:w="1235"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2025/3/8</w:t>
            </w:r>
          </w:p>
        </w:tc>
        <w:tc>
          <w:tcPr>
            <w:tcW w:w="851"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7*24</w:t>
            </w:r>
          </w:p>
        </w:tc>
        <w:tc>
          <w:tcPr>
            <w:tcW w:w="1275"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8.5个月</w:t>
            </w:r>
          </w:p>
        </w:tc>
      </w:tr>
      <w:tr>
        <w:tblPrEx>
          <w:tblCellMar>
            <w:top w:w="0" w:type="dxa"/>
            <w:left w:w="108" w:type="dxa"/>
            <w:bottom w:w="0" w:type="dxa"/>
            <w:right w:w="108" w:type="dxa"/>
          </w:tblCellMar>
        </w:tblPrEx>
        <w:trPr>
          <w:trHeight w:val="810" w:hRule="atLeast"/>
        </w:trPr>
        <w:tc>
          <w:tcPr>
            <w:tcW w:w="1291" w:type="dxa"/>
            <w:vMerge w:val="continue"/>
            <w:tcBorders>
              <w:left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p>
        </w:tc>
        <w:tc>
          <w:tcPr>
            <w:tcW w:w="2835"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1台HP小型机 HP RX9900（用于历史数据查询）</w:t>
            </w:r>
            <w:r>
              <w:rPr>
                <w:rFonts w:hint="eastAsia" w:ascii="彩虹粗仿宋" w:hAnsi="宋体" w:eastAsia="彩虹粗仿宋" w:cs="宋体"/>
                <w:color w:val="000000"/>
                <w:kern w:val="0"/>
                <w:sz w:val="24"/>
                <w:szCs w:val="24"/>
              </w:rPr>
              <w:br w:type="textWrapping"/>
            </w:r>
            <w:r>
              <w:rPr>
                <w:rFonts w:hint="eastAsia" w:ascii="彩虹粗仿宋" w:hAnsi="宋体" w:eastAsia="彩虹粗仿宋" w:cs="宋体"/>
                <w:color w:val="000000"/>
                <w:kern w:val="0"/>
                <w:sz w:val="24"/>
                <w:szCs w:val="24"/>
              </w:rPr>
              <w:t>1台华为存储 5600V3</w:t>
            </w:r>
            <w:r>
              <w:rPr>
                <w:rFonts w:hint="eastAsia" w:ascii="彩虹粗仿宋" w:hAnsi="宋体" w:eastAsia="彩虹粗仿宋" w:cs="宋体"/>
                <w:color w:val="000000"/>
                <w:kern w:val="0"/>
                <w:sz w:val="24"/>
                <w:szCs w:val="24"/>
              </w:rPr>
              <w:br w:type="textWrapping"/>
            </w:r>
            <w:r>
              <w:rPr>
                <w:rFonts w:hint="eastAsia" w:ascii="彩虹粗仿宋" w:hAnsi="宋体" w:eastAsia="彩虹粗仿宋" w:cs="宋体"/>
                <w:color w:val="000000"/>
                <w:kern w:val="0"/>
                <w:sz w:val="24"/>
                <w:szCs w:val="24"/>
              </w:rPr>
              <w:t>2台博科存储交换机8510</w:t>
            </w:r>
          </w:p>
        </w:tc>
        <w:tc>
          <w:tcPr>
            <w:tcW w:w="1033"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2024/9/8</w:t>
            </w:r>
          </w:p>
        </w:tc>
        <w:tc>
          <w:tcPr>
            <w:tcW w:w="1235"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2025/3/8</w:t>
            </w:r>
          </w:p>
        </w:tc>
        <w:tc>
          <w:tcPr>
            <w:tcW w:w="851"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7*24</w:t>
            </w:r>
          </w:p>
        </w:tc>
        <w:tc>
          <w:tcPr>
            <w:tcW w:w="1275"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6个月</w:t>
            </w:r>
          </w:p>
        </w:tc>
      </w:tr>
      <w:tr>
        <w:tblPrEx>
          <w:tblCellMar>
            <w:top w:w="0" w:type="dxa"/>
            <w:left w:w="108" w:type="dxa"/>
            <w:bottom w:w="0" w:type="dxa"/>
            <w:right w:w="108" w:type="dxa"/>
          </w:tblCellMar>
        </w:tblPrEx>
        <w:trPr>
          <w:trHeight w:val="270" w:hRule="atLeast"/>
        </w:trPr>
        <w:tc>
          <w:tcPr>
            <w:tcW w:w="1291" w:type="dxa"/>
            <w:vMerge w:val="continue"/>
            <w:tcBorders>
              <w:left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p>
        </w:tc>
        <w:tc>
          <w:tcPr>
            <w:tcW w:w="2835"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41台服务器及1台华为存储N9000</w:t>
            </w:r>
          </w:p>
        </w:tc>
        <w:tc>
          <w:tcPr>
            <w:tcW w:w="1033"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2024/9/20</w:t>
            </w:r>
          </w:p>
        </w:tc>
        <w:tc>
          <w:tcPr>
            <w:tcW w:w="1235"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2025/3/8</w:t>
            </w:r>
          </w:p>
        </w:tc>
        <w:tc>
          <w:tcPr>
            <w:tcW w:w="851"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7*24</w:t>
            </w:r>
          </w:p>
        </w:tc>
        <w:tc>
          <w:tcPr>
            <w:tcW w:w="1275"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5.5个月</w:t>
            </w:r>
          </w:p>
        </w:tc>
      </w:tr>
      <w:tr>
        <w:tblPrEx>
          <w:tblCellMar>
            <w:top w:w="0" w:type="dxa"/>
            <w:left w:w="108" w:type="dxa"/>
            <w:bottom w:w="0" w:type="dxa"/>
            <w:right w:w="108" w:type="dxa"/>
          </w:tblCellMar>
        </w:tblPrEx>
        <w:trPr>
          <w:trHeight w:val="810" w:hRule="atLeast"/>
        </w:trPr>
        <w:tc>
          <w:tcPr>
            <w:tcW w:w="1291" w:type="dxa"/>
            <w:vMerge w:val="continue"/>
            <w:tcBorders>
              <w:left w:val="single" w:color="auto" w:sz="4" w:space="0"/>
              <w:bottom w:val="single" w:color="000000"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p>
        </w:tc>
        <w:tc>
          <w:tcPr>
            <w:tcW w:w="2835"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互联网平台4台物理服务器 H3C R4800G2</w:t>
            </w:r>
          </w:p>
        </w:tc>
        <w:tc>
          <w:tcPr>
            <w:tcW w:w="1033"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2024/10/30</w:t>
            </w:r>
          </w:p>
        </w:tc>
        <w:tc>
          <w:tcPr>
            <w:tcW w:w="1235"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2025/3/8</w:t>
            </w:r>
          </w:p>
        </w:tc>
        <w:tc>
          <w:tcPr>
            <w:tcW w:w="851"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7*24</w:t>
            </w:r>
          </w:p>
        </w:tc>
        <w:tc>
          <w:tcPr>
            <w:tcW w:w="1275"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4.5个月</w:t>
            </w:r>
          </w:p>
        </w:tc>
      </w:tr>
      <w:tr>
        <w:tblPrEx>
          <w:tblCellMar>
            <w:top w:w="0" w:type="dxa"/>
            <w:left w:w="108" w:type="dxa"/>
            <w:bottom w:w="0" w:type="dxa"/>
            <w:right w:w="108" w:type="dxa"/>
          </w:tblCellMar>
        </w:tblPrEx>
        <w:trPr>
          <w:trHeight w:val="810" w:hRule="atLeast"/>
        </w:trPr>
        <w:tc>
          <w:tcPr>
            <w:tcW w:w="1291" w:type="dxa"/>
            <w:tcBorders>
              <w:top w:val="nil"/>
              <w:left w:val="single" w:color="auto" w:sz="4" w:space="0"/>
              <w:bottom w:val="single" w:color="000000"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网络类设备</w:t>
            </w:r>
          </w:p>
        </w:tc>
        <w:tc>
          <w:tcPr>
            <w:tcW w:w="2835"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2台网御星云V6000-A5310防病毒网关</w:t>
            </w:r>
          </w:p>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2台Citrix MPX 8910负载均衡</w:t>
            </w:r>
          </w:p>
        </w:tc>
        <w:tc>
          <w:tcPr>
            <w:tcW w:w="1033"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ascii="彩虹粗仿宋" w:hAnsi="宋体" w:eastAsia="彩虹粗仿宋" w:cs="宋体"/>
                <w:color w:val="000000"/>
                <w:kern w:val="0"/>
                <w:sz w:val="24"/>
                <w:szCs w:val="24"/>
              </w:rPr>
              <w:t>2024/6/1</w:t>
            </w:r>
          </w:p>
        </w:tc>
        <w:tc>
          <w:tcPr>
            <w:tcW w:w="1235"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2025/3/8</w:t>
            </w:r>
          </w:p>
        </w:tc>
        <w:tc>
          <w:tcPr>
            <w:tcW w:w="851"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7*24</w:t>
            </w:r>
          </w:p>
        </w:tc>
        <w:tc>
          <w:tcPr>
            <w:tcW w:w="1275"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9.5个月</w:t>
            </w:r>
          </w:p>
        </w:tc>
      </w:tr>
    </w:tbl>
    <w:p>
      <w:pPr>
        <w:spacing w:line="560" w:lineRule="exact"/>
        <w:ind w:firstLine="643" w:firstLineChars="200"/>
        <w:rPr>
          <w:rFonts w:ascii="彩虹楷体" w:eastAsia="彩虹楷体"/>
          <w:b/>
          <w:color w:val="000000" w:themeColor="text1"/>
          <w:sz w:val="32"/>
          <w:szCs w:val="32"/>
        </w:rPr>
      </w:pPr>
      <w:r>
        <w:rPr>
          <w:rFonts w:hint="eastAsia" w:ascii="彩虹楷体" w:eastAsia="彩虹楷体"/>
          <w:b/>
          <w:color w:val="000000" w:themeColor="text1"/>
          <w:sz w:val="32"/>
          <w:szCs w:val="32"/>
        </w:rPr>
        <w:t>（二）维护工作目标</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维保服务期内，招标方运维人员日常巡检和监控中发现维护的设备软、硬件故障，及时向中标方报修，中标方负责在约定时间内解决设备故障和系统故障；负责更换所有维修所需零配件，承担修理费用（包括设备维护费、差旅费、人工费及所有零配件费），根据招标方需要提供现场支持。通过购买维保服务，由中标方向招标方提供高效优质的服务，迅速解决设备故障、排除运行隐患、确保设备具有较高的性能，从而保证招标方业务系统的稳定运行，提高IT 投资回报率。要达到以下目标：</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1．通过中标方对设备的定期巡检，及时发现问题，使本次购买维护的设备维持良好的运行状态。</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2．如本次维保的设备出现故障，中标方要迅速响应，及时解决问题，保证设备恢复正常运行。如故障无法现场解决，维护支持服务提供方应当首先用功能相同的备件、备用产品替换故障部件、故障产品或按照招标方要求采取其他补救措施。</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3．保证本次维保的设备中的固件版本及时升级，软硬件兼容性良好，运行高效。</w:t>
      </w:r>
    </w:p>
    <w:p>
      <w:pPr>
        <w:snapToGrid w:val="0"/>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4．本次维保的设备中具有冗余配置配件，单件出现故障，能够自动切换，不影响运行。</w:t>
      </w:r>
    </w:p>
    <w:p>
      <w:pPr>
        <w:spacing w:line="560" w:lineRule="exact"/>
        <w:ind w:firstLine="643" w:firstLineChars="200"/>
        <w:rPr>
          <w:rFonts w:ascii="彩虹楷体" w:eastAsia="彩虹楷体"/>
          <w:b/>
          <w:color w:val="000000" w:themeColor="text1"/>
          <w:sz w:val="32"/>
          <w:szCs w:val="32"/>
        </w:rPr>
      </w:pPr>
      <w:r>
        <w:rPr>
          <w:rFonts w:hint="eastAsia" w:ascii="彩虹楷体" w:eastAsia="彩虹楷体"/>
          <w:b/>
          <w:color w:val="000000" w:themeColor="text1"/>
          <w:sz w:val="32"/>
          <w:szCs w:val="32"/>
        </w:rPr>
        <w:t>（三）维护工作范围、内容和标准</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 xml:space="preserve">1.电话响应支持 </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维保服务供应商提供电话响应热线，并提供每周7天，每天24小时全天候热线电话支持，包括：技术咨询、报修、产品咨询、技术支持等，对招标方的拨入要立即响应。</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2.远程问题诊断和支持服务</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对于紧急故障，若招标方认为有必要，在现场服务之前或现场人员无法解决，中标方可以通过远程支持服务工具对故障设备进行远程诊断和故障的解决。</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3.现场巡检和预防性维护服务</w:t>
      </w:r>
    </w:p>
    <w:p>
      <w:pPr>
        <w:spacing w:line="600" w:lineRule="exact"/>
        <w:ind w:firstLine="640" w:firstLineChars="200"/>
        <w:rPr>
          <w:rFonts w:ascii="彩虹粗仿宋" w:hAnsi="宋体" w:eastAsia="彩虹粗仿宋"/>
          <w:sz w:val="32"/>
          <w:szCs w:val="32"/>
        </w:rPr>
      </w:pPr>
      <w:r>
        <w:rPr>
          <w:rFonts w:hint="eastAsia" w:ascii="彩虹粗仿宋" w:eastAsia="彩虹粗仿宋"/>
          <w:sz w:val="32"/>
          <w:szCs w:val="32"/>
        </w:rPr>
        <w:t>中标方每年提供不少于4次的系统巡检，分别安排在 “五一”前、“十一”前、春节前和元旦前，</w:t>
      </w:r>
      <w:r>
        <w:rPr>
          <w:rFonts w:hint="eastAsia" w:ascii="彩虹粗仿宋" w:eastAsia="彩虹粗仿宋"/>
          <w:color w:val="000000" w:themeColor="text1"/>
          <w:sz w:val="32"/>
          <w:szCs w:val="32"/>
        </w:rPr>
        <w:t>招标方认为有必要，在重要时间节点前增加巡检次数，</w:t>
      </w:r>
      <w:r>
        <w:rPr>
          <w:rFonts w:hint="eastAsia" w:ascii="彩虹粗仿宋" w:eastAsia="彩虹粗仿宋"/>
          <w:sz w:val="32"/>
          <w:szCs w:val="32"/>
        </w:rPr>
        <w:t>中标方要按需做好巡检。每次中标方工程师提供关于系统状况的最终报告。</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4.系统迁移服务</w:t>
      </w:r>
    </w:p>
    <w:p>
      <w:pPr>
        <w:adjustRightInd w:val="0"/>
        <w:snapToGrid w:val="0"/>
        <w:spacing w:line="560" w:lineRule="exact"/>
        <w:ind w:firstLine="645"/>
        <w:jc w:val="left"/>
        <w:rPr>
          <w:rFonts w:ascii="彩虹粗仿宋" w:eastAsia="彩虹粗仿宋"/>
          <w:sz w:val="32"/>
          <w:szCs w:val="32"/>
        </w:rPr>
      </w:pPr>
      <w:r>
        <w:rPr>
          <w:rFonts w:hint="eastAsia" w:ascii="彩虹粗仿宋" w:eastAsia="彩虹粗仿宋"/>
          <w:sz w:val="32"/>
          <w:szCs w:val="32"/>
        </w:rPr>
        <w:t>中标方对于河南省建行的重大系统迁移、演练或上线，根据河南省建行的要求提供现场支持或远程支持服务。</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5.现场支持服务</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中标方工程师要在指定的时间内到达招标方现场进行解决，到达招标方现场后，即开始进行不间断服务，直至系统能够重新正常运行。</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6.第三方支持服务</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根据需要，如果因为第三方产品调整需要中标方现场支持时，中标方要保证有经验的工程师到达现场提供支持，并参与方案的讨论和审查。对于有些故障或性能问题，由于难于定位具体的产品或组件，中标方要根据招标方的要求，与其他第三方公司做好配合，进行相应的分析和排查。</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7.中标方协助招标方完成相关技术文档的制定，包括安装和维护手册、备份策略、应急预案等。</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8.中标方要为招标方指定一名客户关系工程师，负责资源的协调、维护情况的回顾、维护计划的制定并对招标方可能遇到的相关问题，提供协助。</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9.如果中标方对于招标方的故障不能解决，中标方能够通过故障升级，直至招标方故障最终解决。</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10.如果经判断，故障解决时间较长，可能会影响招标方正常的业务服务，中标方负责提供备机，尽快恢复生产运行。</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11.</w:t>
      </w:r>
      <w:r>
        <w:rPr>
          <w:rFonts w:hint="eastAsia" w:ascii="彩虹粗仿宋" w:eastAsia="彩虹粗仿宋"/>
          <w:sz w:val="32"/>
          <w:szCs w:val="32"/>
        </w:rPr>
        <w:t>除本次所列系统以外，对于招标方其它系统运行中出现的运行问题，中标方能够为招标方技术人员提供技术咨询，帮助招标方技术人员解决相关问题。</w:t>
      </w:r>
    </w:p>
    <w:p>
      <w:pPr>
        <w:adjustRightInd w:val="0"/>
        <w:snapToGrid w:val="0"/>
        <w:spacing w:line="560" w:lineRule="exact"/>
        <w:ind w:firstLine="645"/>
        <w:jc w:val="left"/>
        <w:rPr>
          <w:rFonts w:ascii="彩虹粗仿宋" w:eastAsia="彩虹粗仿宋"/>
          <w:sz w:val="32"/>
          <w:szCs w:val="32"/>
        </w:rPr>
      </w:pPr>
      <w:r>
        <w:rPr>
          <w:rFonts w:hint="eastAsia" w:ascii="彩虹粗仿宋" w:eastAsia="彩虹粗仿宋"/>
          <w:sz w:val="32"/>
          <w:szCs w:val="32"/>
        </w:rPr>
        <w:t>12.部件和材料</w:t>
      </w:r>
    </w:p>
    <w:p>
      <w:pPr>
        <w:adjustRightInd w:val="0"/>
        <w:snapToGrid w:val="0"/>
        <w:spacing w:line="560" w:lineRule="exact"/>
        <w:ind w:firstLine="645"/>
        <w:jc w:val="left"/>
        <w:rPr>
          <w:rFonts w:ascii="彩虹粗仿宋" w:eastAsia="彩虹粗仿宋"/>
          <w:sz w:val="32"/>
          <w:szCs w:val="32"/>
        </w:rPr>
      </w:pPr>
      <w:r>
        <w:rPr>
          <w:rFonts w:hint="eastAsia" w:ascii="彩虹粗仿宋" w:eastAsia="彩虹粗仿宋"/>
          <w:sz w:val="32"/>
          <w:szCs w:val="32"/>
        </w:rPr>
        <w:t>维保服务供应商提供所有维修所需的部件和材料，确保招标方的软硬件设备恢复正常运行。</w:t>
      </w:r>
    </w:p>
    <w:p>
      <w:pPr>
        <w:adjustRightInd w:val="0"/>
        <w:snapToGrid w:val="0"/>
        <w:spacing w:line="560" w:lineRule="exact"/>
        <w:ind w:firstLine="645"/>
        <w:jc w:val="left"/>
        <w:rPr>
          <w:rFonts w:ascii="彩虹粗仿宋" w:eastAsia="彩虹粗仿宋"/>
          <w:sz w:val="32"/>
          <w:szCs w:val="32"/>
        </w:rPr>
      </w:pPr>
      <w:r>
        <w:rPr>
          <w:rFonts w:hint="eastAsia" w:ascii="彩虹粗仿宋" w:eastAsia="彩虹粗仿宋"/>
          <w:sz w:val="32"/>
          <w:szCs w:val="32"/>
        </w:rPr>
        <w:t>13.维护性软件版本支持服务</w:t>
      </w:r>
    </w:p>
    <w:p>
      <w:pPr>
        <w:adjustRightInd w:val="0"/>
        <w:snapToGrid w:val="0"/>
        <w:spacing w:line="560" w:lineRule="exact"/>
        <w:ind w:firstLine="645"/>
        <w:jc w:val="left"/>
        <w:rPr>
          <w:rFonts w:ascii="彩虹粗仿宋" w:eastAsia="彩虹粗仿宋"/>
          <w:sz w:val="32"/>
          <w:szCs w:val="32"/>
        </w:rPr>
      </w:pPr>
      <w:r>
        <w:rPr>
          <w:rFonts w:hint="eastAsia" w:ascii="彩虹粗仿宋" w:eastAsia="彩虹粗仿宋"/>
          <w:sz w:val="32"/>
          <w:szCs w:val="32"/>
        </w:rPr>
        <w:t>在服务有效期内，中标方根据招标方设备和系统运行需要，若发现本次采购维护的设备存在影响运行和安全的软件缺陷，中标方负责升级到稳定的版本。</w:t>
      </w:r>
    </w:p>
    <w:p>
      <w:pPr>
        <w:adjustRightInd w:val="0"/>
        <w:snapToGrid w:val="0"/>
        <w:spacing w:line="560" w:lineRule="exact"/>
        <w:ind w:firstLine="645"/>
        <w:jc w:val="left"/>
        <w:rPr>
          <w:rFonts w:ascii="彩虹粗仿宋" w:eastAsia="彩虹粗仿宋"/>
          <w:sz w:val="32"/>
          <w:szCs w:val="32"/>
        </w:rPr>
      </w:pPr>
      <w:r>
        <w:rPr>
          <w:rFonts w:hint="eastAsia" w:ascii="彩虹粗仿宋" w:eastAsia="彩虹粗仿宋"/>
          <w:sz w:val="32"/>
          <w:szCs w:val="32"/>
        </w:rPr>
        <w:t>14.应急响应</w:t>
      </w:r>
    </w:p>
    <w:p>
      <w:pPr>
        <w:adjustRightInd w:val="0"/>
        <w:snapToGrid w:val="0"/>
        <w:spacing w:line="560" w:lineRule="exact"/>
        <w:ind w:firstLine="645"/>
        <w:jc w:val="left"/>
        <w:rPr>
          <w:rFonts w:ascii="彩虹粗仿宋" w:eastAsia="彩虹粗仿宋"/>
          <w:sz w:val="32"/>
          <w:szCs w:val="32"/>
        </w:rPr>
      </w:pPr>
      <w:r>
        <w:rPr>
          <w:rFonts w:hint="eastAsia" w:ascii="彩虹粗仿宋" w:eastAsia="彩虹粗仿宋"/>
          <w:sz w:val="32"/>
          <w:szCs w:val="32"/>
        </w:rPr>
        <w:t>在招标方发生故障及认为有必要时，中标方应提供现场应急技术支持。中标方15分钟内做出应急响应、1小时内技术专家到达现场处理问题、2小时内提出解决方案。由于硬件设备等原因不能立即解决的，提供临时解决方案建议，最大限度地保证招标方故障设备及系统的正常运行。</w:t>
      </w:r>
    </w:p>
    <w:p>
      <w:pPr>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四、维护工作方式（现场、热线、远程控制）</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（一）根据招标方需要，中标方需派有经验的工程师到招标方提供现场支持服务，负责对本次招标所列设备进行维护，并服从招标方安排。</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二）本次采购维护设备出现故障时，我行工程师通过拨打指定的支持电话号码提出服务请求后，中标方将在合同限定的服务时间内与我行工程师合作，共同解决系统问题。在提供任何必要的现场服务之前，经过我行工程师允许，可以使用远程支持服务工具（可行的情况下）进行远程诊断，或通过其它方式为远程解决问题提供帮助，若需要现场解决时，中标方工程师需在约定的时间到达建行故障现场，当建行有重大升级、迁移关键响应节点，若建行认为有必要时，中标方应提供现场技术支持。</w:t>
      </w:r>
    </w:p>
    <w:p>
      <w:pPr>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五、故障事件级别定义及响应处理的承诺</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在服务时间内，中标方对于招标方的设备故障请求在15分钟内做出响应，1小时内根据招标方需要给出应急解决方案，恢复生产运行，2小时内给出准确的解决方案，最终使问题得到解决。需要工程师现场解决时，中标方技术人员要立即以最快的交通工具到达招标方故障现场，到达现场时间不多于1小时,工程师到达现场后，立即进行问题的解决直至解决问题。</w:t>
      </w:r>
    </w:p>
    <w:p>
      <w:pPr>
        <w:spacing w:line="560" w:lineRule="exact"/>
        <w:ind w:firstLine="640" w:firstLineChars="200"/>
        <w:rPr>
          <w:rFonts w:ascii="彩虹黑体" w:hAnsi="宋体" w:eastAsia="彩虹黑体" w:cs="Times New Roman"/>
          <w:snapToGrid w:val="0"/>
          <w:color w:val="000000" w:themeColor="text1"/>
          <w:kern w:val="0"/>
          <w:sz w:val="32"/>
          <w:szCs w:val="32"/>
        </w:rPr>
      </w:pPr>
      <w:r>
        <w:rPr>
          <w:rFonts w:hint="eastAsia" w:ascii="彩虹黑体" w:hAnsi="宋体" w:eastAsia="彩虹黑体" w:cs="Times New Roman"/>
          <w:snapToGrid w:val="0"/>
          <w:color w:val="000000" w:themeColor="text1"/>
          <w:kern w:val="0"/>
          <w:sz w:val="32"/>
          <w:szCs w:val="32"/>
        </w:rPr>
        <w:t>六、供应商维护服务人员的数量、资质经验、角色等方面的要求</w:t>
      </w:r>
    </w:p>
    <w:p>
      <w:pPr>
        <w:spacing w:line="600" w:lineRule="exact"/>
        <w:ind w:firstLine="640" w:firstLineChars="200"/>
        <w:rPr>
          <w:rFonts w:ascii="彩虹粗仿宋" w:hAnsi="宋体" w:eastAsia="彩虹粗仿宋"/>
          <w:sz w:val="32"/>
          <w:szCs w:val="32"/>
        </w:rPr>
      </w:pPr>
      <w:r>
        <w:rPr>
          <w:rFonts w:hint="eastAsia" w:ascii="彩虹粗仿宋" w:hAnsi="宋体" w:eastAsia="彩虹粗仿宋"/>
          <w:sz w:val="32"/>
          <w:szCs w:val="32"/>
          <w:lang w:val="zh-CN"/>
        </w:rPr>
        <w:t>中标方指定一名客户代表，制定服务计划，联系服务资源，定期与招标方技术人员交流，对维护情况进行回顾，组织和协调服务事宜，并提交阶段性服务报告。中标方技术人员按照合同要求进行服务，在现场服务时</w:t>
      </w:r>
      <w:r>
        <w:rPr>
          <w:rFonts w:hint="eastAsia" w:ascii="彩虹粗仿宋" w:hAnsi="宋体" w:eastAsia="彩虹粗仿宋"/>
          <w:sz w:val="32"/>
          <w:szCs w:val="32"/>
        </w:rPr>
        <w:t>要听从招标方的安排。</w:t>
      </w:r>
    </w:p>
    <w:p>
      <w:pPr>
        <w:spacing w:line="600" w:lineRule="exact"/>
        <w:ind w:firstLine="640" w:firstLineChars="200"/>
        <w:rPr>
          <w:rFonts w:ascii="彩虹粗仿宋" w:hAnsi="宋体" w:eastAsia="彩虹粗仿宋"/>
          <w:sz w:val="32"/>
          <w:szCs w:val="32"/>
          <w:lang w:val="zh-CN"/>
        </w:rPr>
      </w:pPr>
      <w:r>
        <w:rPr>
          <w:rFonts w:hint="eastAsia" w:ascii="彩虹粗仿宋" w:hAnsi="宋体" w:eastAsia="彩虹粗仿宋"/>
          <w:sz w:val="32"/>
          <w:szCs w:val="32"/>
          <w:lang w:val="zh-CN"/>
        </w:rPr>
        <w:t xml:space="preserve">中标方要保证服务队伍的稳定，合同有效期内，原则上不允许更换工程师，如因客观原因必须更换工程师，须提前至少1个月通知招标方，而且新任工程师须与原工程师并行工作1个月，以熟悉工作内容。 </w:t>
      </w:r>
    </w:p>
    <w:p>
      <w:pPr>
        <w:spacing w:line="600" w:lineRule="exact"/>
        <w:ind w:firstLine="640" w:firstLineChars="200"/>
        <w:rPr>
          <w:rFonts w:ascii="彩虹粗仿宋" w:hAnsi="宋体" w:eastAsia="彩虹粗仿宋"/>
          <w:sz w:val="32"/>
          <w:szCs w:val="32"/>
          <w:lang w:val="zh-CN"/>
        </w:rPr>
      </w:pPr>
      <w:r>
        <w:rPr>
          <w:rFonts w:hint="eastAsia" w:ascii="彩虹粗仿宋" w:hAnsi="宋体" w:eastAsia="彩虹粗仿宋"/>
          <w:sz w:val="32"/>
          <w:szCs w:val="32"/>
          <w:lang w:val="zh-CN"/>
        </w:rPr>
        <w:t>1．对于合作服务中涉及的服务人员，建立甲方服务人员台账并向甲方报备，包括人员基本信息、联系方式、工作职责、在职离职情况、系统和服务权限等，台账应动态维护。</w:t>
      </w:r>
    </w:p>
    <w:p>
      <w:pPr>
        <w:spacing w:line="600" w:lineRule="exact"/>
        <w:ind w:firstLine="640" w:firstLineChars="200"/>
        <w:rPr>
          <w:rFonts w:ascii="彩虹粗仿宋" w:hAnsi="宋体" w:eastAsia="彩虹粗仿宋"/>
          <w:sz w:val="32"/>
          <w:szCs w:val="32"/>
          <w:lang w:val="zh-CN"/>
        </w:rPr>
      </w:pPr>
      <w:r>
        <w:rPr>
          <w:rFonts w:hint="eastAsia" w:ascii="彩虹粗仿宋" w:hAnsi="宋体" w:eastAsia="彩虹粗仿宋"/>
          <w:sz w:val="32"/>
          <w:szCs w:val="32"/>
          <w:lang w:val="zh-CN"/>
        </w:rPr>
        <w:t>2.乙方与其服务人员签署有保密协议。</w:t>
      </w:r>
    </w:p>
    <w:p>
      <w:pPr>
        <w:spacing w:line="600" w:lineRule="exact"/>
        <w:ind w:firstLine="640" w:firstLineChars="200"/>
        <w:rPr>
          <w:rFonts w:ascii="彩虹粗仿宋" w:hAnsi="宋体" w:eastAsia="彩虹粗仿宋"/>
          <w:sz w:val="32"/>
          <w:szCs w:val="32"/>
          <w:lang w:val="zh-CN"/>
        </w:rPr>
      </w:pPr>
      <w:r>
        <w:rPr>
          <w:rFonts w:hint="eastAsia" w:ascii="彩虹粗仿宋" w:hAnsi="宋体" w:eastAsia="彩虹粗仿宋"/>
          <w:sz w:val="32"/>
          <w:szCs w:val="32"/>
          <w:lang w:val="zh-CN"/>
        </w:rPr>
        <w:t>3.乙方应组织其服务人员，定期开展教育培训活动，提升人员安全意识，包括不限于制度规范、安全培训、应急流程、内部攻防演练等。</w:t>
      </w:r>
    </w:p>
    <w:p>
      <w:pPr>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七、供应商人员与建行相关部门在系统维护工作中的关系</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为保证本次设备维保服务项目的顺利实施，达到预期效果，招标方及中标方均需成立相关的管理团队，加强对项目的管理。</w:t>
      </w:r>
    </w:p>
    <w:p>
      <w:pPr>
        <w:adjustRightInd w:val="0"/>
        <w:snapToGrid w:val="0"/>
        <w:spacing w:line="360" w:lineRule="auto"/>
        <w:ind w:firstLine="643" w:firstLineChars="200"/>
        <w:rPr>
          <w:rFonts w:ascii="彩虹楷体" w:eastAsia="彩虹楷体"/>
          <w:b/>
          <w:sz w:val="32"/>
          <w:szCs w:val="32"/>
        </w:rPr>
      </w:pPr>
      <w:r>
        <w:rPr>
          <w:rFonts w:hint="eastAsia" w:ascii="彩虹楷体" w:eastAsia="彩虹楷体"/>
          <w:b/>
          <w:sz w:val="32"/>
          <w:szCs w:val="32"/>
        </w:rPr>
        <w:t>（一）中标方项目管理要求</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全面落实合同相关要求，指派符合要求的专业技术人员，保证本次采购维护的设备稳定运行，定期对设备的使用状况和服务工程师的服务质量进行调查跟踪，不断改进服务质量。</w:t>
      </w:r>
    </w:p>
    <w:p>
      <w:pPr>
        <w:adjustRightInd w:val="0"/>
        <w:snapToGrid w:val="0"/>
        <w:spacing w:line="360" w:lineRule="auto"/>
        <w:ind w:firstLine="643" w:firstLineChars="200"/>
        <w:rPr>
          <w:rFonts w:ascii="彩虹楷体" w:eastAsia="彩虹楷体"/>
          <w:b/>
          <w:sz w:val="32"/>
          <w:szCs w:val="32"/>
        </w:rPr>
      </w:pPr>
      <w:r>
        <w:rPr>
          <w:rFonts w:hint="eastAsia" w:ascii="彩虹楷体" w:eastAsia="彩虹楷体"/>
          <w:b/>
          <w:sz w:val="32"/>
          <w:szCs w:val="32"/>
        </w:rPr>
        <w:t>（二）外部管理团队</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由中标方指派项目经理及专业维护工程师组成。其中项目经理负责项目管理，专业维护工程师具体负责项目的实施。</w:t>
      </w:r>
    </w:p>
    <w:p>
      <w:pPr>
        <w:adjustRightInd w:val="0"/>
        <w:snapToGrid w:val="0"/>
        <w:spacing w:line="360" w:lineRule="auto"/>
        <w:ind w:firstLine="643" w:firstLineChars="200"/>
        <w:rPr>
          <w:rFonts w:ascii="彩虹楷体" w:eastAsia="彩虹楷体"/>
          <w:b/>
          <w:sz w:val="32"/>
          <w:szCs w:val="32"/>
        </w:rPr>
      </w:pPr>
      <w:r>
        <w:rPr>
          <w:rFonts w:hint="eastAsia" w:ascii="彩虹楷体" w:eastAsia="彩虹楷体"/>
          <w:b/>
          <w:sz w:val="32"/>
          <w:szCs w:val="32"/>
        </w:rPr>
        <w:t>（三）培训计划</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中标方负责对招标方日常维护人员提出的问题进行解答，工程师现场支持时对设备的各项基本原理和功能、设备的日常保养维护、常见故障判断与处理等进行必要的讲解。</w:t>
      </w:r>
    </w:p>
    <w:p>
      <w:pPr>
        <w:adjustRightInd w:val="0"/>
        <w:snapToGrid w:val="0"/>
        <w:spacing w:line="360" w:lineRule="auto"/>
        <w:ind w:firstLine="643" w:firstLineChars="200"/>
        <w:rPr>
          <w:rFonts w:ascii="彩虹楷体" w:eastAsia="彩虹楷体"/>
          <w:b/>
          <w:sz w:val="32"/>
          <w:szCs w:val="32"/>
        </w:rPr>
      </w:pPr>
      <w:r>
        <w:rPr>
          <w:rFonts w:hint="eastAsia" w:ascii="彩虹楷体" w:eastAsia="彩虹楷体"/>
          <w:b/>
          <w:sz w:val="32"/>
          <w:szCs w:val="32"/>
        </w:rPr>
        <w:t>（四）作业场所</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本次设备维保项目的设备出现故障或需要中标方现场巡检、技术支持时，维保作业场所为省分行金融科技部机房。中标方技术人员在招标方现场支持时，遵守招标方机房管理规定和其它相关要求，须服从招标方陪同人员安排，接受陪同人员的监督。</w:t>
      </w:r>
    </w:p>
    <w:p>
      <w:pPr>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八、工作成果要求</w:t>
      </w:r>
    </w:p>
    <w:p>
      <w:pPr>
        <w:ind w:firstLine="643" w:firstLineChars="200"/>
        <w:jc w:val="left"/>
        <w:rPr>
          <w:rFonts w:ascii="彩虹楷体" w:eastAsia="彩虹楷体"/>
          <w:b/>
          <w:sz w:val="32"/>
          <w:szCs w:val="32"/>
        </w:rPr>
      </w:pPr>
      <w:r>
        <w:rPr>
          <w:rFonts w:hint="eastAsia" w:ascii="彩虹楷体" w:eastAsia="彩虹楷体"/>
          <w:b/>
          <w:sz w:val="32"/>
          <w:szCs w:val="32"/>
        </w:rPr>
        <w:t>（一）知识产权和保密要求</w:t>
      </w:r>
    </w:p>
    <w:p>
      <w:pPr>
        <w:autoSpaceDE w:val="0"/>
        <w:autoSpaceDN w:val="0"/>
        <w:adjustRightInd w:val="0"/>
        <w:spacing w:line="360" w:lineRule="auto"/>
        <w:ind w:firstLine="640"/>
        <w:rPr>
          <w:rFonts w:ascii="彩虹粗仿宋" w:eastAsia="彩虹粗仿宋"/>
          <w:sz w:val="32"/>
        </w:rPr>
      </w:pPr>
      <w:r>
        <w:rPr>
          <w:rFonts w:hint="eastAsia" w:ascii="彩虹粗仿宋" w:eastAsia="彩虹粗仿宋"/>
          <w:sz w:val="32"/>
        </w:rPr>
        <w:t>1、中标方提供的设备及其资料不存在任何侵犯第三方知识产权的情形；如中标方因此遭受第三方的索赔或起诉，则中标方承诺自费就上述索赔或起诉为建行答辩，并支付中标方因此而遭受的全部损失和费用。</w:t>
      </w:r>
    </w:p>
    <w:p>
      <w:pPr>
        <w:autoSpaceDE w:val="0"/>
        <w:autoSpaceDN w:val="0"/>
        <w:adjustRightInd w:val="0"/>
        <w:spacing w:line="360" w:lineRule="auto"/>
        <w:ind w:firstLine="640"/>
        <w:rPr>
          <w:rFonts w:ascii="彩虹粗仿宋" w:eastAsia="彩虹粗仿宋"/>
          <w:sz w:val="32"/>
        </w:rPr>
      </w:pPr>
      <w:r>
        <w:rPr>
          <w:rFonts w:hint="eastAsia" w:ascii="彩虹粗仿宋" w:eastAsia="彩虹粗仿宋"/>
          <w:sz w:val="32"/>
        </w:rPr>
        <w:t>2、双方对工作过程中知悉的对方资料和信息，除该方作出相反的书面说明外，均应视为该方的商业秘密，未经该方书面同意不得向任何第三方泄漏。任何一方因违反保密义务而给另一方造成损失的应负相应的赔偿责任。</w:t>
      </w:r>
    </w:p>
    <w:p>
      <w:pPr>
        <w:ind w:firstLine="643" w:firstLineChars="200"/>
        <w:jc w:val="left"/>
        <w:rPr>
          <w:rFonts w:ascii="彩虹楷体" w:eastAsia="彩虹楷体"/>
          <w:b/>
          <w:sz w:val="32"/>
          <w:szCs w:val="32"/>
        </w:rPr>
      </w:pPr>
      <w:r>
        <w:rPr>
          <w:rFonts w:hint="eastAsia" w:ascii="彩虹楷体" w:eastAsia="彩虹楷体"/>
          <w:b/>
          <w:sz w:val="32"/>
          <w:szCs w:val="32"/>
        </w:rPr>
        <w:t>（二）风险控制措施</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1. 禁止中标方以招标方名义进行用工管理或开展生产经营活动。中标方针对本项目为招标方提供服务的人员必须是与中标方依法订立了劳动合同的人员。</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2.中标方应按招标方要求的内容和频度就服务履行情况进行常规报告。如中标方人员、内部环境等发生重大变化，可能会导致针对本次维护设备的信息科技突发事件，中标方应立即通知招标方，同时提交正式书面报告。报告内容包括但不限于事件的影响以及处置和纠正措施等。</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3.中标方在投标时向招标方提供充分的证据，证明其内部控制和管理能力、持续运营能力等。</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4.中标方应为招标方配备相对独立的资源，包括并不局限于服务团队和设备等，并对资源进行定期或不定期检查，确保资源及时到位；</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5.中标方要明确对招标方服务的优先级，制定应急措施，明确应急资源，确保在紧急情况下本次采购服务的设备稳定运行。</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6.中标方积极配合接受银行业监督管理机构的检查及内部审计、合规、监察等部门的内部检查。</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7.维保服务不得分包、转包，不得以招标方名义开展本项目合同约定事项以外的活动。</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8.严格信息使用授权，对中标方及其相关人员获得信息的范围进行控制，非履行合同所必需不得授权。</w:t>
      </w:r>
    </w:p>
    <w:p>
      <w:pPr>
        <w:ind w:firstLine="643" w:firstLineChars="200"/>
        <w:jc w:val="left"/>
        <w:rPr>
          <w:rFonts w:ascii="彩虹楷体" w:eastAsia="彩虹楷体"/>
          <w:b/>
          <w:sz w:val="32"/>
          <w:szCs w:val="32"/>
        </w:rPr>
      </w:pPr>
      <w:r>
        <w:rPr>
          <w:rFonts w:hint="eastAsia" w:ascii="彩虹楷体" w:eastAsia="彩虹楷体"/>
          <w:b/>
          <w:sz w:val="32"/>
          <w:szCs w:val="32"/>
        </w:rPr>
        <w:t>（三）应急措施</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1. 中标方根据招标方设备的数量、型号和具体配置，核定备品备件库存，确保出现故障时在约定时间内更换故障备件。</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2. 中标方应当保证备件、备用产品处于能随时使用的良好状态，以备相关部件或产品发生故障时能及时应招标方要求进行替换或启用。</w:t>
      </w:r>
    </w:p>
    <w:p>
      <w:pPr>
        <w:ind w:firstLine="643" w:firstLineChars="200"/>
        <w:jc w:val="left"/>
        <w:rPr>
          <w:rFonts w:ascii="彩虹楷体" w:eastAsia="彩虹楷体"/>
          <w:b/>
          <w:sz w:val="32"/>
          <w:szCs w:val="32"/>
        </w:rPr>
      </w:pPr>
      <w:r>
        <w:rPr>
          <w:rFonts w:hint="eastAsia" w:ascii="彩虹楷体" w:eastAsia="彩虹楷体"/>
          <w:b/>
          <w:sz w:val="32"/>
          <w:szCs w:val="32"/>
        </w:rPr>
        <w:t>（四）本次维护项目突发事件应急预案和机制</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本次维护服务由招标方负责日常的管理，由金融科技部系统与网络管理科具体负责。在维护过程中，系统与网络管理科发现有突发事件影响本次维护服务的正常开展，可能会导致招标方相关业务存在运行隐患时，及时向部领导报告，分析原因，采取必要的应急措施。如果突发事件的原因由中标方引起，招标方有权选择有能力维护的第三方公司提供相应的维护服务，排除存在的风险，确保业务正常运行，同时有权要求原中标方承担违约责任。如果突发事件的原因不是由中标方引起，招标方有权要求中标方加大支持力度，包括但不限于提供人力、备机等资源，排除运行风险，最大力度地保障招标方业务稳定运行。如果中标方没有能力排除招标方存在的运行风险，招标方可以采取进一步的措施，寻找第三方公司提供相应的维护服务，由此产生的费用由原中标方承担。</w:t>
      </w:r>
    </w:p>
    <w:p>
      <w:pPr>
        <w:ind w:firstLine="643" w:firstLineChars="200"/>
        <w:jc w:val="left"/>
        <w:rPr>
          <w:rFonts w:ascii="彩虹楷体" w:eastAsia="彩虹楷体"/>
          <w:b/>
          <w:sz w:val="32"/>
          <w:szCs w:val="32"/>
        </w:rPr>
      </w:pPr>
      <w:r>
        <w:rPr>
          <w:rFonts w:hint="eastAsia" w:ascii="彩虹楷体" w:eastAsia="彩虹楷体"/>
          <w:b/>
          <w:sz w:val="32"/>
          <w:szCs w:val="32"/>
        </w:rPr>
        <w:t>（五）验收标准和方法</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1.设备运行标准。设备各模块运行稳定，性能良好，各项技术标准达标，符合设备有关技术规范说明的要求，对相关业务提供良好的支撑。</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2.每年巡检次数（每年不少于4次）和巡检质量按照招标方要求进行，能够及时发现巡检中问题和解决问题维保响应时间。</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3.中标方服务过程中满足以下服务要求：</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按照故障事件级别定义及响应处理的承诺，提高维护服务。</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4.根据招标方需要，在重大系统迁移、演练或上线，根据招标方的要求提供现场支持或远程支持服务。</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5.建立维护技术文档。维保服务供应商在维护服务工作过程中，应建立设备的维护技术文档，技术文档应包括维护记录和定期维护报告。</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6.维保服务供应商未按合同要求完成维护服务要求的相关工作，将根据其情节对其违约行为承担违约责任。</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7.因设备维护服务引起的或与本维护有关的任何纠纷，双方可通过协商解决，协商不成，向我行住所地人民法院起诉，在诉讼期间，不涉及争议的条款仍须履行。</w:t>
      </w:r>
    </w:p>
    <w:p>
      <w:pPr>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九、款项支付要求</w:t>
      </w:r>
    </w:p>
    <w:p>
      <w:pPr>
        <w:adjustRightInd w:val="0"/>
        <w:snapToGrid w:val="0"/>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1、自合同生效后六个月后，在服务符合合同约定的前提下，收到中标公司《巡检维护情况报告书》、《付款申请书》的15个工作日内，维保费用据实支付，按整月（四舍五入取整）核算。</w:t>
      </w:r>
    </w:p>
    <w:p>
      <w:pPr>
        <w:adjustRightInd w:val="0"/>
        <w:snapToGrid w:val="0"/>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2、自合同期满后，在服务符合合同约定的前提下，收到中标公司《巡检维护情况报告书》、《付款申请书》的15个工作日内，维保费用据实支付，按整月（四舍五入取整）核算。</w:t>
      </w:r>
    </w:p>
    <w:p>
      <w:pPr>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十、报价要求</w:t>
      </w:r>
    </w:p>
    <w:p>
      <w:pPr>
        <w:adjustRightInd w:val="0"/>
        <w:snapToGrid w:val="0"/>
        <w:spacing w:line="560" w:lineRule="exact"/>
        <w:ind w:firstLine="640" w:firstLineChars="200"/>
        <w:rPr>
          <w:rFonts w:ascii="彩虹粗仿宋" w:hAnsi="宋体" w:eastAsia="彩虹粗仿宋"/>
          <w:sz w:val="32"/>
          <w:szCs w:val="32"/>
        </w:rPr>
      </w:pPr>
      <w:r>
        <w:rPr>
          <w:rFonts w:hint="eastAsia" w:ascii="彩虹粗仿宋" w:hAnsi="宋体" w:eastAsia="彩虹粗仿宋"/>
          <w:sz w:val="32"/>
          <w:szCs w:val="32"/>
        </w:rPr>
        <w:t>按照维保服务设备清单报含税单价和总价，开具增值税专用发票，超过预算为无效报价。报价单格式及预算如下：</w:t>
      </w:r>
    </w:p>
    <w:tbl>
      <w:tblPr>
        <w:tblStyle w:val="15"/>
        <w:tblW w:w="9085" w:type="dxa"/>
        <w:tblInd w:w="93" w:type="dxa"/>
        <w:tblLayout w:type="autofit"/>
        <w:tblCellMar>
          <w:top w:w="0" w:type="dxa"/>
          <w:left w:w="108" w:type="dxa"/>
          <w:bottom w:w="0" w:type="dxa"/>
          <w:right w:w="108" w:type="dxa"/>
        </w:tblCellMar>
      </w:tblPr>
      <w:tblGrid>
        <w:gridCol w:w="817"/>
        <w:gridCol w:w="1750"/>
        <w:gridCol w:w="1984"/>
        <w:gridCol w:w="612"/>
        <w:gridCol w:w="1056"/>
        <w:gridCol w:w="1020"/>
        <w:gridCol w:w="681"/>
        <w:gridCol w:w="1165"/>
      </w:tblGrid>
      <w:tr>
        <w:tblPrEx>
          <w:tblCellMar>
            <w:top w:w="0" w:type="dxa"/>
            <w:left w:w="108" w:type="dxa"/>
            <w:bottom w:w="0" w:type="dxa"/>
            <w:right w:w="108" w:type="dxa"/>
          </w:tblCellMar>
        </w:tblPrEx>
        <w:trPr>
          <w:trHeight w:val="375" w:hRule="atLeast"/>
        </w:trPr>
        <w:tc>
          <w:tcPr>
            <w:tcW w:w="817" w:type="dxa"/>
            <w:tcBorders>
              <w:top w:val="single" w:color="auto" w:sz="4" w:space="0"/>
              <w:left w:val="single" w:color="auto" w:sz="4" w:space="0"/>
              <w:bottom w:val="single" w:color="auto" w:sz="4" w:space="0"/>
              <w:right w:val="single" w:color="auto" w:sz="4" w:space="0"/>
            </w:tcBorders>
            <w:shd w:val="clear" w:color="auto" w:fill="auto"/>
            <w:noWrap/>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1750" w:type="dxa"/>
            <w:tcBorders>
              <w:top w:val="single" w:color="auto" w:sz="4" w:space="0"/>
              <w:left w:val="nil"/>
              <w:bottom w:val="single" w:color="auto" w:sz="4" w:space="0"/>
              <w:right w:val="single" w:color="auto" w:sz="4" w:space="0"/>
            </w:tcBorders>
            <w:shd w:val="clear" w:color="auto" w:fill="auto"/>
            <w:noWrap/>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设备类型</w:t>
            </w:r>
          </w:p>
        </w:tc>
        <w:tc>
          <w:tcPr>
            <w:tcW w:w="1984" w:type="dxa"/>
            <w:tcBorders>
              <w:top w:val="single" w:color="auto" w:sz="4" w:space="0"/>
              <w:left w:val="nil"/>
              <w:bottom w:val="single" w:color="auto" w:sz="4" w:space="0"/>
              <w:right w:val="single" w:color="auto" w:sz="4" w:space="0"/>
            </w:tcBorders>
            <w:shd w:val="clear" w:color="auto" w:fill="auto"/>
            <w:noWrap/>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设备型号</w:t>
            </w:r>
          </w:p>
        </w:tc>
        <w:tc>
          <w:tcPr>
            <w:tcW w:w="612" w:type="dxa"/>
            <w:tcBorders>
              <w:top w:val="single" w:color="auto" w:sz="4" w:space="0"/>
              <w:left w:val="nil"/>
              <w:bottom w:val="single" w:color="auto" w:sz="4" w:space="0"/>
              <w:right w:val="single" w:color="auto" w:sz="4" w:space="0"/>
            </w:tcBorders>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数量</w:t>
            </w:r>
          </w:p>
        </w:tc>
        <w:tc>
          <w:tcPr>
            <w:tcW w:w="1056" w:type="dxa"/>
            <w:tcBorders>
              <w:top w:val="single" w:color="auto" w:sz="4" w:space="0"/>
              <w:left w:val="nil"/>
              <w:bottom w:val="single" w:color="auto" w:sz="4" w:space="0"/>
              <w:right w:val="single" w:color="auto" w:sz="4" w:space="0"/>
            </w:tcBorders>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单价预算</w:t>
            </w:r>
          </w:p>
        </w:tc>
        <w:tc>
          <w:tcPr>
            <w:tcW w:w="1020" w:type="dxa"/>
            <w:tcBorders>
              <w:top w:val="single" w:color="auto" w:sz="4" w:space="0"/>
              <w:left w:val="nil"/>
              <w:bottom w:val="single" w:color="auto" w:sz="4" w:space="0"/>
              <w:right w:val="single" w:color="auto" w:sz="4" w:space="0"/>
            </w:tcBorders>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总价预算</w:t>
            </w:r>
          </w:p>
        </w:tc>
        <w:tc>
          <w:tcPr>
            <w:tcW w:w="681" w:type="dxa"/>
            <w:tcBorders>
              <w:top w:val="single" w:color="auto" w:sz="4" w:space="0"/>
              <w:left w:val="nil"/>
              <w:bottom w:val="single" w:color="auto" w:sz="4" w:space="0"/>
              <w:right w:val="single" w:color="auto" w:sz="4" w:space="0"/>
            </w:tcBorders>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增值税率</w:t>
            </w:r>
          </w:p>
        </w:tc>
        <w:tc>
          <w:tcPr>
            <w:tcW w:w="1165" w:type="dxa"/>
            <w:tcBorders>
              <w:top w:val="single" w:color="auto" w:sz="4" w:space="0"/>
              <w:left w:val="nil"/>
              <w:bottom w:val="single" w:color="auto" w:sz="4" w:space="0"/>
              <w:right w:val="single" w:color="auto" w:sz="4" w:space="0"/>
            </w:tcBorders>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维保服务时长</w:t>
            </w:r>
          </w:p>
        </w:tc>
      </w:tr>
      <w:tr>
        <w:tblPrEx>
          <w:tblCellMar>
            <w:top w:w="0" w:type="dxa"/>
            <w:left w:w="108" w:type="dxa"/>
            <w:bottom w:w="0" w:type="dxa"/>
            <w:right w:w="108" w:type="dxa"/>
          </w:tblCellMar>
        </w:tblPrEx>
        <w:trPr>
          <w:trHeight w:val="390" w:hRule="atLeast"/>
        </w:trPr>
        <w:tc>
          <w:tcPr>
            <w:tcW w:w="817"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w:t>
            </w:r>
          </w:p>
        </w:tc>
        <w:tc>
          <w:tcPr>
            <w:tcW w:w="175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小型机</w:t>
            </w:r>
          </w:p>
        </w:tc>
        <w:tc>
          <w:tcPr>
            <w:tcW w:w="198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HP RX9900</w:t>
            </w:r>
          </w:p>
        </w:tc>
        <w:tc>
          <w:tcPr>
            <w:tcW w:w="612"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w:t>
            </w:r>
          </w:p>
        </w:tc>
        <w:tc>
          <w:tcPr>
            <w:tcW w:w="1056"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30000</w:t>
            </w:r>
          </w:p>
        </w:tc>
        <w:tc>
          <w:tcPr>
            <w:tcW w:w="1020"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30000</w:t>
            </w:r>
          </w:p>
        </w:tc>
        <w:tc>
          <w:tcPr>
            <w:tcW w:w="681"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p>
        </w:tc>
        <w:tc>
          <w:tcPr>
            <w:tcW w:w="1165"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6个月</w:t>
            </w:r>
          </w:p>
        </w:tc>
      </w:tr>
      <w:tr>
        <w:tblPrEx>
          <w:tblCellMar>
            <w:top w:w="0" w:type="dxa"/>
            <w:left w:w="108" w:type="dxa"/>
            <w:bottom w:w="0" w:type="dxa"/>
            <w:right w:w="108" w:type="dxa"/>
          </w:tblCellMar>
        </w:tblPrEx>
        <w:trPr>
          <w:trHeight w:val="390" w:hRule="atLeast"/>
        </w:trPr>
        <w:tc>
          <w:tcPr>
            <w:tcW w:w="817"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w:t>
            </w:r>
          </w:p>
        </w:tc>
        <w:tc>
          <w:tcPr>
            <w:tcW w:w="175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存储</w:t>
            </w:r>
          </w:p>
        </w:tc>
        <w:tc>
          <w:tcPr>
            <w:tcW w:w="198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华为5600 V3</w:t>
            </w:r>
          </w:p>
        </w:tc>
        <w:tc>
          <w:tcPr>
            <w:tcW w:w="612"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w:t>
            </w:r>
          </w:p>
        </w:tc>
        <w:tc>
          <w:tcPr>
            <w:tcW w:w="1056"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44000</w:t>
            </w:r>
          </w:p>
        </w:tc>
        <w:tc>
          <w:tcPr>
            <w:tcW w:w="1020"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44000</w:t>
            </w:r>
          </w:p>
        </w:tc>
        <w:tc>
          <w:tcPr>
            <w:tcW w:w="681"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p>
        </w:tc>
        <w:tc>
          <w:tcPr>
            <w:tcW w:w="1165"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6个月</w:t>
            </w:r>
          </w:p>
        </w:tc>
      </w:tr>
      <w:tr>
        <w:tblPrEx>
          <w:tblCellMar>
            <w:top w:w="0" w:type="dxa"/>
            <w:left w:w="108" w:type="dxa"/>
            <w:bottom w:w="0" w:type="dxa"/>
            <w:right w:w="108" w:type="dxa"/>
          </w:tblCellMar>
        </w:tblPrEx>
        <w:trPr>
          <w:trHeight w:val="390" w:hRule="atLeast"/>
        </w:trPr>
        <w:tc>
          <w:tcPr>
            <w:tcW w:w="817"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3</w:t>
            </w:r>
          </w:p>
        </w:tc>
        <w:tc>
          <w:tcPr>
            <w:tcW w:w="175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存储交换机1</w:t>
            </w:r>
          </w:p>
        </w:tc>
        <w:tc>
          <w:tcPr>
            <w:tcW w:w="198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Brocade-8510</w:t>
            </w:r>
          </w:p>
        </w:tc>
        <w:tc>
          <w:tcPr>
            <w:tcW w:w="612"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w:t>
            </w:r>
          </w:p>
        </w:tc>
        <w:tc>
          <w:tcPr>
            <w:tcW w:w="1056"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18700</w:t>
            </w:r>
          </w:p>
        </w:tc>
        <w:tc>
          <w:tcPr>
            <w:tcW w:w="1020"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37400</w:t>
            </w:r>
          </w:p>
        </w:tc>
        <w:tc>
          <w:tcPr>
            <w:tcW w:w="681" w:type="dxa"/>
            <w:tcBorders>
              <w:top w:val="nil"/>
              <w:left w:val="nil"/>
              <w:bottom w:val="single" w:color="auto" w:sz="4" w:space="0"/>
              <w:right w:val="single" w:color="auto" w:sz="4" w:space="0"/>
            </w:tcBorders>
          </w:tcPr>
          <w:p/>
        </w:tc>
        <w:tc>
          <w:tcPr>
            <w:tcW w:w="1165"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6个月</w:t>
            </w:r>
          </w:p>
        </w:tc>
      </w:tr>
      <w:tr>
        <w:tblPrEx>
          <w:tblCellMar>
            <w:top w:w="0" w:type="dxa"/>
            <w:left w:w="108" w:type="dxa"/>
            <w:bottom w:w="0" w:type="dxa"/>
            <w:right w:w="108" w:type="dxa"/>
          </w:tblCellMar>
        </w:tblPrEx>
        <w:trPr>
          <w:trHeight w:val="405" w:hRule="atLeast"/>
        </w:trPr>
        <w:tc>
          <w:tcPr>
            <w:tcW w:w="817"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4</w:t>
            </w:r>
          </w:p>
        </w:tc>
        <w:tc>
          <w:tcPr>
            <w:tcW w:w="175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DVD光盘库</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GMS3560</w:t>
            </w:r>
          </w:p>
        </w:tc>
        <w:tc>
          <w:tcPr>
            <w:tcW w:w="612"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w:t>
            </w:r>
          </w:p>
        </w:tc>
        <w:tc>
          <w:tcPr>
            <w:tcW w:w="1056"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19833.5</w:t>
            </w:r>
          </w:p>
        </w:tc>
        <w:tc>
          <w:tcPr>
            <w:tcW w:w="1020"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39667</w:t>
            </w:r>
          </w:p>
        </w:tc>
        <w:tc>
          <w:tcPr>
            <w:tcW w:w="681" w:type="dxa"/>
            <w:tcBorders>
              <w:top w:val="nil"/>
              <w:left w:val="nil"/>
              <w:bottom w:val="single" w:color="auto" w:sz="4" w:space="0"/>
              <w:right w:val="single" w:color="auto" w:sz="4" w:space="0"/>
            </w:tcBorders>
          </w:tcPr>
          <w:p/>
        </w:tc>
        <w:tc>
          <w:tcPr>
            <w:tcW w:w="1165"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kern w:val="0"/>
                <w:sz w:val="24"/>
                <w:szCs w:val="24"/>
              </w:rPr>
              <w:t>8.5个月</w:t>
            </w:r>
          </w:p>
        </w:tc>
      </w:tr>
      <w:tr>
        <w:tblPrEx>
          <w:tblCellMar>
            <w:top w:w="0" w:type="dxa"/>
            <w:left w:w="108" w:type="dxa"/>
            <w:bottom w:w="0" w:type="dxa"/>
            <w:right w:w="108" w:type="dxa"/>
          </w:tblCellMar>
        </w:tblPrEx>
        <w:trPr>
          <w:trHeight w:val="390" w:hRule="atLeast"/>
        </w:trPr>
        <w:tc>
          <w:tcPr>
            <w:tcW w:w="817"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5</w:t>
            </w:r>
          </w:p>
        </w:tc>
        <w:tc>
          <w:tcPr>
            <w:tcW w:w="1750"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IBM小型机1</w:t>
            </w:r>
          </w:p>
        </w:tc>
        <w:tc>
          <w:tcPr>
            <w:tcW w:w="198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P740</w:t>
            </w:r>
          </w:p>
        </w:tc>
        <w:tc>
          <w:tcPr>
            <w:tcW w:w="612"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w:t>
            </w:r>
          </w:p>
        </w:tc>
        <w:tc>
          <w:tcPr>
            <w:tcW w:w="1056"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29700</w:t>
            </w:r>
          </w:p>
        </w:tc>
        <w:tc>
          <w:tcPr>
            <w:tcW w:w="1020"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59400</w:t>
            </w:r>
          </w:p>
        </w:tc>
        <w:tc>
          <w:tcPr>
            <w:tcW w:w="681" w:type="dxa"/>
            <w:tcBorders>
              <w:top w:val="nil"/>
              <w:left w:val="nil"/>
              <w:bottom w:val="single" w:color="auto" w:sz="4" w:space="0"/>
              <w:right w:val="single" w:color="auto" w:sz="4" w:space="0"/>
            </w:tcBorders>
          </w:tcPr>
          <w:p/>
        </w:tc>
        <w:tc>
          <w:tcPr>
            <w:tcW w:w="1165"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kern w:val="0"/>
                <w:sz w:val="24"/>
                <w:szCs w:val="24"/>
              </w:rPr>
              <w:t>12个月</w:t>
            </w:r>
          </w:p>
        </w:tc>
      </w:tr>
      <w:tr>
        <w:tblPrEx>
          <w:tblCellMar>
            <w:top w:w="0" w:type="dxa"/>
            <w:left w:w="108" w:type="dxa"/>
            <w:bottom w:w="0" w:type="dxa"/>
            <w:right w:w="108" w:type="dxa"/>
          </w:tblCellMar>
        </w:tblPrEx>
        <w:trPr>
          <w:trHeight w:val="390" w:hRule="atLeast"/>
        </w:trPr>
        <w:tc>
          <w:tcPr>
            <w:tcW w:w="817"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6</w:t>
            </w:r>
          </w:p>
        </w:tc>
        <w:tc>
          <w:tcPr>
            <w:tcW w:w="1750"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IBM小型机3</w:t>
            </w:r>
          </w:p>
        </w:tc>
        <w:tc>
          <w:tcPr>
            <w:tcW w:w="198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P720</w:t>
            </w:r>
          </w:p>
        </w:tc>
        <w:tc>
          <w:tcPr>
            <w:tcW w:w="612"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w:t>
            </w:r>
          </w:p>
        </w:tc>
        <w:tc>
          <w:tcPr>
            <w:tcW w:w="1056"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29700</w:t>
            </w:r>
          </w:p>
        </w:tc>
        <w:tc>
          <w:tcPr>
            <w:tcW w:w="1020"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59400</w:t>
            </w:r>
          </w:p>
        </w:tc>
        <w:tc>
          <w:tcPr>
            <w:tcW w:w="681" w:type="dxa"/>
            <w:tcBorders>
              <w:top w:val="nil"/>
              <w:left w:val="nil"/>
              <w:bottom w:val="single" w:color="auto" w:sz="4" w:space="0"/>
              <w:right w:val="single" w:color="auto" w:sz="4" w:space="0"/>
            </w:tcBorders>
          </w:tcPr>
          <w:p/>
        </w:tc>
        <w:tc>
          <w:tcPr>
            <w:tcW w:w="1165"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kern w:val="0"/>
                <w:sz w:val="24"/>
                <w:szCs w:val="24"/>
              </w:rPr>
              <w:t>12个月</w:t>
            </w:r>
          </w:p>
        </w:tc>
      </w:tr>
      <w:tr>
        <w:tblPrEx>
          <w:tblCellMar>
            <w:top w:w="0" w:type="dxa"/>
            <w:left w:w="108" w:type="dxa"/>
            <w:bottom w:w="0" w:type="dxa"/>
            <w:right w:w="108" w:type="dxa"/>
          </w:tblCellMar>
        </w:tblPrEx>
        <w:trPr>
          <w:trHeight w:val="390" w:hRule="atLeast"/>
        </w:trPr>
        <w:tc>
          <w:tcPr>
            <w:tcW w:w="817"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7</w:t>
            </w:r>
          </w:p>
        </w:tc>
        <w:tc>
          <w:tcPr>
            <w:tcW w:w="1750"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IBM带库</w:t>
            </w:r>
          </w:p>
        </w:tc>
        <w:tc>
          <w:tcPr>
            <w:tcW w:w="198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3500（含扩展柜）</w:t>
            </w:r>
          </w:p>
        </w:tc>
        <w:tc>
          <w:tcPr>
            <w:tcW w:w="612"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w:t>
            </w:r>
          </w:p>
        </w:tc>
        <w:tc>
          <w:tcPr>
            <w:tcW w:w="1056"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107196</w:t>
            </w:r>
          </w:p>
        </w:tc>
        <w:tc>
          <w:tcPr>
            <w:tcW w:w="1020"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107196</w:t>
            </w:r>
          </w:p>
        </w:tc>
        <w:tc>
          <w:tcPr>
            <w:tcW w:w="681" w:type="dxa"/>
            <w:tcBorders>
              <w:top w:val="nil"/>
              <w:left w:val="nil"/>
              <w:bottom w:val="single" w:color="auto" w:sz="4" w:space="0"/>
              <w:right w:val="single" w:color="auto" w:sz="4" w:space="0"/>
            </w:tcBorders>
          </w:tcPr>
          <w:p/>
        </w:tc>
        <w:tc>
          <w:tcPr>
            <w:tcW w:w="1165"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kern w:val="0"/>
                <w:sz w:val="24"/>
                <w:szCs w:val="24"/>
              </w:rPr>
              <w:t>12个月</w:t>
            </w:r>
          </w:p>
        </w:tc>
      </w:tr>
      <w:tr>
        <w:tblPrEx>
          <w:tblCellMar>
            <w:top w:w="0" w:type="dxa"/>
            <w:left w:w="108" w:type="dxa"/>
            <w:bottom w:w="0" w:type="dxa"/>
            <w:right w:w="108" w:type="dxa"/>
          </w:tblCellMar>
        </w:tblPrEx>
        <w:trPr>
          <w:trHeight w:val="390" w:hRule="atLeast"/>
        </w:trPr>
        <w:tc>
          <w:tcPr>
            <w:tcW w:w="817"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8</w:t>
            </w:r>
          </w:p>
        </w:tc>
        <w:tc>
          <w:tcPr>
            <w:tcW w:w="175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服务器</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IBM 3850</w:t>
            </w:r>
          </w:p>
        </w:tc>
        <w:tc>
          <w:tcPr>
            <w:tcW w:w="612"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w:t>
            </w:r>
          </w:p>
        </w:tc>
        <w:tc>
          <w:tcPr>
            <w:tcW w:w="1056"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1948</w:t>
            </w:r>
          </w:p>
        </w:tc>
        <w:tc>
          <w:tcPr>
            <w:tcW w:w="1020"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1948</w:t>
            </w:r>
          </w:p>
        </w:tc>
        <w:tc>
          <w:tcPr>
            <w:tcW w:w="681" w:type="dxa"/>
            <w:tcBorders>
              <w:top w:val="nil"/>
              <w:left w:val="nil"/>
              <w:bottom w:val="single" w:color="auto" w:sz="4" w:space="0"/>
              <w:right w:val="single" w:color="auto" w:sz="4" w:space="0"/>
            </w:tcBorders>
          </w:tcPr>
          <w:p/>
        </w:tc>
        <w:tc>
          <w:tcPr>
            <w:tcW w:w="1165"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kern w:val="0"/>
                <w:sz w:val="24"/>
                <w:szCs w:val="24"/>
              </w:rPr>
              <w:t>5.5个月</w:t>
            </w:r>
          </w:p>
        </w:tc>
      </w:tr>
      <w:tr>
        <w:tblPrEx>
          <w:tblCellMar>
            <w:top w:w="0" w:type="dxa"/>
            <w:left w:w="108" w:type="dxa"/>
            <w:bottom w:w="0" w:type="dxa"/>
            <w:right w:w="108" w:type="dxa"/>
          </w:tblCellMar>
        </w:tblPrEx>
        <w:trPr>
          <w:trHeight w:val="390" w:hRule="atLeast"/>
        </w:trPr>
        <w:tc>
          <w:tcPr>
            <w:tcW w:w="817"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9</w:t>
            </w:r>
          </w:p>
        </w:tc>
        <w:tc>
          <w:tcPr>
            <w:tcW w:w="175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服务器</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HP DL580G7</w:t>
            </w:r>
          </w:p>
        </w:tc>
        <w:tc>
          <w:tcPr>
            <w:tcW w:w="612"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5</w:t>
            </w:r>
          </w:p>
        </w:tc>
        <w:tc>
          <w:tcPr>
            <w:tcW w:w="1056"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1948</w:t>
            </w:r>
          </w:p>
        </w:tc>
        <w:tc>
          <w:tcPr>
            <w:tcW w:w="1020"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9740</w:t>
            </w:r>
          </w:p>
        </w:tc>
        <w:tc>
          <w:tcPr>
            <w:tcW w:w="681" w:type="dxa"/>
            <w:tcBorders>
              <w:top w:val="nil"/>
              <w:left w:val="nil"/>
              <w:bottom w:val="single" w:color="auto" w:sz="4" w:space="0"/>
              <w:right w:val="single" w:color="auto" w:sz="4" w:space="0"/>
            </w:tcBorders>
          </w:tcPr>
          <w:p/>
        </w:tc>
        <w:tc>
          <w:tcPr>
            <w:tcW w:w="1165"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kern w:val="0"/>
                <w:sz w:val="24"/>
                <w:szCs w:val="24"/>
              </w:rPr>
              <w:t>5.5个月</w:t>
            </w:r>
          </w:p>
        </w:tc>
      </w:tr>
      <w:tr>
        <w:tblPrEx>
          <w:tblCellMar>
            <w:top w:w="0" w:type="dxa"/>
            <w:left w:w="108" w:type="dxa"/>
            <w:bottom w:w="0" w:type="dxa"/>
            <w:right w:w="108" w:type="dxa"/>
          </w:tblCellMar>
        </w:tblPrEx>
        <w:trPr>
          <w:trHeight w:val="390" w:hRule="atLeast"/>
        </w:trPr>
        <w:tc>
          <w:tcPr>
            <w:tcW w:w="817"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10</w:t>
            </w:r>
          </w:p>
        </w:tc>
        <w:tc>
          <w:tcPr>
            <w:tcW w:w="175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存储</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N9000</w:t>
            </w:r>
          </w:p>
        </w:tc>
        <w:tc>
          <w:tcPr>
            <w:tcW w:w="612"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w:t>
            </w:r>
          </w:p>
        </w:tc>
        <w:tc>
          <w:tcPr>
            <w:tcW w:w="1056"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22917</w:t>
            </w:r>
          </w:p>
        </w:tc>
        <w:tc>
          <w:tcPr>
            <w:tcW w:w="1020"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22917</w:t>
            </w:r>
          </w:p>
        </w:tc>
        <w:tc>
          <w:tcPr>
            <w:tcW w:w="681" w:type="dxa"/>
            <w:tcBorders>
              <w:top w:val="nil"/>
              <w:left w:val="nil"/>
              <w:bottom w:val="single" w:color="auto" w:sz="4" w:space="0"/>
              <w:right w:val="single" w:color="auto" w:sz="4" w:space="0"/>
            </w:tcBorders>
          </w:tcPr>
          <w:p/>
        </w:tc>
        <w:tc>
          <w:tcPr>
            <w:tcW w:w="1165"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kern w:val="0"/>
                <w:sz w:val="24"/>
                <w:szCs w:val="24"/>
              </w:rPr>
              <w:t>5.5个月</w:t>
            </w:r>
          </w:p>
        </w:tc>
      </w:tr>
      <w:tr>
        <w:tblPrEx>
          <w:tblCellMar>
            <w:top w:w="0" w:type="dxa"/>
            <w:left w:w="108" w:type="dxa"/>
            <w:bottom w:w="0" w:type="dxa"/>
            <w:right w:w="108" w:type="dxa"/>
          </w:tblCellMar>
        </w:tblPrEx>
        <w:trPr>
          <w:trHeight w:val="390" w:hRule="atLeast"/>
        </w:trPr>
        <w:tc>
          <w:tcPr>
            <w:tcW w:w="817"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11</w:t>
            </w:r>
          </w:p>
        </w:tc>
        <w:tc>
          <w:tcPr>
            <w:tcW w:w="175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服务器</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联想X3650M5</w:t>
            </w:r>
          </w:p>
        </w:tc>
        <w:tc>
          <w:tcPr>
            <w:tcW w:w="612"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4</w:t>
            </w:r>
          </w:p>
        </w:tc>
        <w:tc>
          <w:tcPr>
            <w:tcW w:w="1056"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1948</w:t>
            </w:r>
          </w:p>
        </w:tc>
        <w:tc>
          <w:tcPr>
            <w:tcW w:w="1020"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7792</w:t>
            </w:r>
          </w:p>
        </w:tc>
        <w:tc>
          <w:tcPr>
            <w:tcW w:w="681" w:type="dxa"/>
            <w:tcBorders>
              <w:top w:val="nil"/>
              <w:left w:val="nil"/>
              <w:bottom w:val="single" w:color="auto" w:sz="4" w:space="0"/>
              <w:right w:val="single" w:color="auto" w:sz="4" w:space="0"/>
            </w:tcBorders>
          </w:tcPr>
          <w:p/>
        </w:tc>
        <w:tc>
          <w:tcPr>
            <w:tcW w:w="1165"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kern w:val="0"/>
                <w:sz w:val="24"/>
                <w:szCs w:val="24"/>
              </w:rPr>
              <w:t>5.5个月</w:t>
            </w:r>
          </w:p>
        </w:tc>
      </w:tr>
      <w:tr>
        <w:tblPrEx>
          <w:tblCellMar>
            <w:top w:w="0" w:type="dxa"/>
            <w:left w:w="108" w:type="dxa"/>
            <w:bottom w:w="0" w:type="dxa"/>
            <w:right w:w="108" w:type="dxa"/>
          </w:tblCellMar>
        </w:tblPrEx>
        <w:trPr>
          <w:trHeight w:val="390" w:hRule="atLeast"/>
        </w:trPr>
        <w:tc>
          <w:tcPr>
            <w:tcW w:w="817"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12</w:t>
            </w:r>
          </w:p>
        </w:tc>
        <w:tc>
          <w:tcPr>
            <w:tcW w:w="1750"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服务器</w:t>
            </w:r>
          </w:p>
        </w:tc>
        <w:tc>
          <w:tcPr>
            <w:tcW w:w="198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H3C R4800 G2</w:t>
            </w:r>
          </w:p>
        </w:tc>
        <w:tc>
          <w:tcPr>
            <w:tcW w:w="612"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4</w:t>
            </w:r>
          </w:p>
        </w:tc>
        <w:tc>
          <w:tcPr>
            <w:tcW w:w="1056"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715.75</w:t>
            </w:r>
          </w:p>
        </w:tc>
        <w:tc>
          <w:tcPr>
            <w:tcW w:w="1020"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2863</w:t>
            </w:r>
          </w:p>
        </w:tc>
        <w:tc>
          <w:tcPr>
            <w:tcW w:w="681" w:type="dxa"/>
            <w:tcBorders>
              <w:top w:val="nil"/>
              <w:left w:val="nil"/>
              <w:bottom w:val="single" w:color="auto" w:sz="4" w:space="0"/>
              <w:right w:val="single" w:color="auto" w:sz="4" w:space="0"/>
            </w:tcBorders>
          </w:tcPr>
          <w:p/>
        </w:tc>
        <w:tc>
          <w:tcPr>
            <w:tcW w:w="1165" w:type="dxa"/>
            <w:tcBorders>
              <w:top w:val="nil"/>
              <w:left w:val="nil"/>
              <w:bottom w:val="single" w:color="auto" w:sz="4" w:space="0"/>
              <w:right w:val="single" w:color="auto" w:sz="4" w:space="0"/>
            </w:tcBorders>
          </w:tcPr>
          <w:p>
            <w:pPr>
              <w:widowControl/>
              <w:jc w:val="left"/>
              <w:rPr>
                <w:rFonts w:ascii="彩虹粗仿宋" w:hAnsi="宋体" w:eastAsia="彩虹粗仿宋" w:cs="宋体"/>
                <w:kern w:val="0"/>
                <w:sz w:val="24"/>
                <w:szCs w:val="24"/>
              </w:rPr>
            </w:pPr>
            <w:r>
              <w:rPr>
                <w:rFonts w:hint="eastAsia" w:ascii="彩虹粗仿宋" w:hAnsi="宋体" w:eastAsia="彩虹粗仿宋" w:cs="宋体"/>
                <w:color w:val="000000"/>
                <w:kern w:val="0"/>
                <w:sz w:val="24"/>
                <w:szCs w:val="24"/>
              </w:rPr>
              <w:t>4.5个月</w:t>
            </w:r>
          </w:p>
        </w:tc>
      </w:tr>
      <w:tr>
        <w:tblPrEx>
          <w:tblCellMar>
            <w:top w:w="0" w:type="dxa"/>
            <w:left w:w="108" w:type="dxa"/>
            <w:bottom w:w="0" w:type="dxa"/>
            <w:right w:w="108" w:type="dxa"/>
          </w:tblCellMar>
        </w:tblPrEx>
        <w:trPr>
          <w:trHeight w:val="390" w:hRule="atLeast"/>
        </w:trPr>
        <w:tc>
          <w:tcPr>
            <w:tcW w:w="817"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13</w:t>
            </w:r>
          </w:p>
        </w:tc>
        <w:tc>
          <w:tcPr>
            <w:tcW w:w="1750"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服务器</w:t>
            </w:r>
          </w:p>
        </w:tc>
        <w:tc>
          <w:tcPr>
            <w:tcW w:w="198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H3C R4800 G2</w:t>
            </w:r>
          </w:p>
        </w:tc>
        <w:tc>
          <w:tcPr>
            <w:tcW w:w="612"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w:t>
            </w:r>
          </w:p>
        </w:tc>
        <w:tc>
          <w:tcPr>
            <w:tcW w:w="1056"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874</w:t>
            </w:r>
          </w:p>
        </w:tc>
        <w:tc>
          <w:tcPr>
            <w:tcW w:w="1020" w:type="dxa"/>
            <w:tcBorders>
              <w:top w:val="single" w:color="auto" w:sz="4" w:space="0"/>
              <w:left w:val="single" w:color="auto" w:sz="4" w:space="0"/>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1748</w:t>
            </w:r>
          </w:p>
        </w:tc>
        <w:tc>
          <w:tcPr>
            <w:tcW w:w="681" w:type="dxa"/>
            <w:tcBorders>
              <w:top w:val="nil"/>
              <w:left w:val="nil"/>
              <w:bottom w:val="single" w:color="auto" w:sz="4" w:space="0"/>
              <w:right w:val="single" w:color="auto" w:sz="4" w:space="0"/>
            </w:tcBorders>
          </w:tcPr>
          <w:p/>
        </w:tc>
        <w:tc>
          <w:tcPr>
            <w:tcW w:w="1165" w:type="dxa"/>
            <w:tcBorders>
              <w:top w:val="nil"/>
              <w:left w:val="nil"/>
              <w:bottom w:val="single" w:color="auto" w:sz="4" w:space="0"/>
              <w:right w:val="single" w:color="auto" w:sz="4" w:space="0"/>
            </w:tcBorders>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5.5个月</w:t>
            </w:r>
          </w:p>
        </w:tc>
      </w:tr>
      <w:tr>
        <w:tblPrEx>
          <w:tblCellMar>
            <w:top w:w="0" w:type="dxa"/>
            <w:left w:w="108" w:type="dxa"/>
            <w:bottom w:w="0" w:type="dxa"/>
            <w:right w:w="108" w:type="dxa"/>
          </w:tblCellMar>
        </w:tblPrEx>
        <w:trPr>
          <w:trHeight w:val="684" w:hRule="atLeast"/>
        </w:trPr>
        <w:tc>
          <w:tcPr>
            <w:tcW w:w="817"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14</w:t>
            </w:r>
          </w:p>
        </w:tc>
        <w:tc>
          <w:tcPr>
            <w:tcW w:w="175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服务器</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29台H3C R6800G2</w:t>
            </w:r>
          </w:p>
        </w:tc>
        <w:tc>
          <w:tcPr>
            <w:tcW w:w="612"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29</w:t>
            </w:r>
          </w:p>
        </w:tc>
        <w:tc>
          <w:tcPr>
            <w:tcW w:w="1056"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2294</w:t>
            </w:r>
          </w:p>
        </w:tc>
        <w:tc>
          <w:tcPr>
            <w:tcW w:w="1020" w:type="dxa"/>
            <w:tcBorders>
              <w:top w:val="single" w:color="auto" w:sz="4" w:space="0"/>
              <w:left w:val="single" w:color="auto" w:sz="4" w:space="0"/>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66531</w:t>
            </w:r>
          </w:p>
        </w:tc>
        <w:tc>
          <w:tcPr>
            <w:tcW w:w="681" w:type="dxa"/>
            <w:tcBorders>
              <w:top w:val="nil"/>
              <w:left w:val="nil"/>
              <w:bottom w:val="single" w:color="auto" w:sz="4" w:space="0"/>
              <w:right w:val="single" w:color="auto" w:sz="4" w:space="0"/>
            </w:tcBorders>
          </w:tcPr>
          <w:p/>
        </w:tc>
        <w:tc>
          <w:tcPr>
            <w:tcW w:w="1165"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kern w:val="0"/>
                <w:sz w:val="24"/>
                <w:szCs w:val="24"/>
              </w:rPr>
              <w:t>5.5个月</w:t>
            </w:r>
          </w:p>
        </w:tc>
      </w:tr>
      <w:tr>
        <w:tblPrEx>
          <w:tblCellMar>
            <w:top w:w="0" w:type="dxa"/>
            <w:left w:w="108" w:type="dxa"/>
            <w:bottom w:w="0" w:type="dxa"/>
            <w:right w:w="108" w:type="dxa"/>
          </w:tblCellMar>
        </w:tblPrEx>
        <w:trPr>
          <w:trHeight w:val="390" w:hRule="atLeast"/>
        </w:trPr>
        <w:tc>
          <w:tcPr>
            <w:tcW w:w="817"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15</w:t>
            </w:r>
          </w:p>
        </w:tc>
        <w:tc>
          <w:tcPr>
            <w:tcW w:w="175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防病毒网关1</w:t>
            </w:r>
          </w:p>
        </w:tc>
        <w:tc>
          <w:tcPr>
            <w:tcW w:w="198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网御星云V6000-A5310</w:t>
            </w:r>
          </w:p>
        </w:tc>
        <w:tc>
          <w:tcPr>
            <w:tcW w:w="612"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w:t>
            </w:r>
          </w:p>
        </w:tc>
        <w:tc>
          <w:tcPr>
            <w:tcW w:w="1056"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7917</w:t>
            </w:r>
          </w:p>
        </w:tc>
        <w:tc>
          <w:tcPr>
            <w:tcW w:w="1020" w:type="dxa"/>
            <w:tcBorders>
              <w:top w:val="single" w:color="auto" w:sz="4" w:space="0"/>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15834</w:t>
            </w:r>
          </w:p>
        </w:tc>
        <w:tc>
          <w:tcPr>
            <w:tcW w:w="681"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p>
        </w:tc>
        <w:tc>
          <w:tcPr>
            <w:tcW w:w="1165"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9.5个月</w:t>
            </w:r>
          </w:p>
        </w:tc>
      </w:tr>
      <w:tr>
        <w:tblPrEx>
          <w:tblCellMar>
            <w:top w:w="0" w:type="dxa"/>
            <w:left w:w="108" w:type="dxa"/>
            <w:bottom w:w="0" w:type="dxa"/>
            <w:right w:w="108" w:type="dxa"/>
          </w:tblCellMar>
        </w:tblPrEx>
        <w:trPr>
          <w:trHeight w:val="390" w:hRule="atLeast"/>
        </w:trPr>
        <w:tc>
          <w:tcPr>
            <w:tcW w:w="817"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16</w:t>
            </w:r>
          </w:p>
        </w:tc>
        <w:tc>
          <w:tcPr>
            <w:tcW w:w="175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负载均衡1</w:t>
            </w:r>
          </w:p>
        </w:tc>
        <w:tc>
          <w:tcPr>
            <w:tcW w:w="198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Citrix MPX 8910</w:t>
            </w:r>
          </w:p>
        </w:tc>
        <w:tc>
          <w:tcPr>
            <w:tcW w:w="612"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w:t>
            </w:r>
          </w:p>
        </w:tc>
        <w:tc>
          <w:tcPr>
            <w:tcW w:w="1056"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23750</w:t>
            </w:r>
          </w:p>
        </w:tc>
        <w:tc>
          <w:tcPr>
            <w:tcW w:w="1020"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47500</w:t>
            </w:r>
          </w:p>
        </w:tc>
        <w:tc>
          <w:tcPr>
            <w:tcW w:w="681"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p>
        </w:tc>
        <w:tc>
          <w:tcPr>
            <w:tcW w:w="1165" w:type="dxa"/>
            <w:tcBorders>
              <w:top w:val="nil"/>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9.5个月</w:t>
            </w:r>
          </w:p>
        </w:tc>
      </w:tr>
      <w:tr>
        <w:tblPrEx>
          <w:tblCellMar>
            <w:top w:w="0" w:type="dxa"/>
            <w:left w:w="108" w:type="dxa"/>
            <w:bottom w:w="0" w:type="dxa"/>
            <w:right w:w="108" w:type="dxa"/>
          </w:tblCellMar>
        </w:tblPrEx>
        <w:trPr>
          <w:trHeight w:val="390" w:hRule="atLeast"/>
        </w:trPr>
        <w:tc>
          <w:tcPr>
            <w:tcW w:w="817" w:type="dxa"/>
            <w:tcBorders>
              <w:top w:val="single" w:color="auto" w:sz="4" w:space="0"/>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p>
        </w:tc>
        <w:tc>
          <w:tcPr>
            <w:tcW w:w="1750"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合计</w:t>
            </w:r>
          </w:p>
        </w:tc>
        <w:tc>
          <w:tcPr>
            <w:tcW w:w="1984" w:type="dxa"/>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p>
        </w:tc>
        <w:tc>
          <w:tcPr>
            <w:tcW w:w="612" w:type="dxa"/>
            <w:tcBorders>
              <w:top w:val="single" w:color="auto" w:sz="4" w:space="0"/>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61</w:t>
            </w:r>
          </w:p>
        </w:tc>
        <w:tc>
          <w:tcPr>
            <w:tcW w:w="1056" w:type="dxa"/>
            <w:tcBorders>
              <w:top w:val="single" w:color="auto" w:sz="4" w:space="0"/>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p>
        </w:tc>
        <w:tc>
          <w:tcPr>
            <w:tcW w:w="1020" w:type="dxa"/>
            <w:tcBorders>
              <w:top w:val="single" w:color="auto" w:sz="4" w:space="0"/>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p>
        </w:tc>
        <w:tc>
          <w:tcPr>
            <w:tcW w:w="681" w:type="dxa"/>
            <w:tcBorders>
              <w:top w:val="single" w:color="auto" w:sz="4" w:space="0"/>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p>
        </w:tc>
        <w:tc>
          <w:tcPr>
            <w:tcW w:w="1165" w:type="dxa"/>
            <w:tcBorders>
              <w:top w:val="single" w:color="auto" w:sz="4" w:space="0"/>
              <w:left w:val="nil"/>
              <w:bottom w:val="single" w:color="auto" w:sz="4" w:space="0"/>
              <w:right w:val="single" w:color="auto" w:sz="4" w:space="0"/>
            </w:tcBorders>
          </w:tcPr>
          <w:p>
            <w:pPr>
              <w:widowControl/>
              <w:jc w:val="left"/>
              <w:rPr>
                <w:rFonts w:ascii="彩虹粗仿宋" w:hAnsi="宋体" w:eastAsia="彩虹粗仿宋" w:cs="宋体"/>
                <w:color w:val="000000"/>
                <w:kern w:val="0"/>
                <w:sz w:val="24"/>
                <w:szCs w:val="24"/>
              </w:rPr>
            </w:pPr>
          </w:p>
        </w:tc>
      </w:tr>
    </w:tbl>
    <w:p>
      <w:pPr>
        <w:adjustRightInd w:val="0"/>
        <w:snapToGrid w:val="0"/>
        <w:spacing w:line="560" w:lineRule="exact"/>
        <w:ind w:firstLine="640" w:firstLineChars="200"/>
        <w:rPr>
          <w:rFonts w:ascii="彩虹粗仿宋" w:hAnsi="宋体" w:eastAsia="彩虹粗仿宋"/>
          <w:sz w:val="32"/>
          <w:szCs w:val="32"/>
        </w:rPr>
      </w:pPr>
    </w:p>
    <w:p>
      <w:pPr>
        <w:spacing w:line="560" w:lineRule="exact"/>
        <w:ind w:firstLine="640" w:firstLineChars="200"/>
        <w:rPr>
          <w:rFonts w:ascii="彩虹黑体" w:hAnsi="宋体" w:eastAsia="彩虹黑体" w:cs="Times New Roman"/>
          <w:snapToGrid w:val="0"/>
          <w:kern w:val="0"/>
          <w:sz w:val="32"/>
          <w:szCs w:val="32"/>
        </w:rPr>
      </w:pPr>
      <w:r>
        <w:rPr>
          <w:rFonts w:hint="eastAsia" w:ascii="彩虹黑体" w:hAnsi="宋体" w:eastAsia="彩虹黑体" w:cs="Times New Roman"/>
          <w:snapToGrid w:val="0"/>
          <w:kern w:val="0"/>
          <w:sz w:val="32"/>
          <w:szCs w:val="32"/>
        </w:rPr>
        <w:t>十一、供应链管理要求</w:t>
      </w:r>
    </w:p>
    <w:p>
      <w:pPr>
        <w:spacing w:line="560" w:lineRule="exact"/>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根据招标方供应链管理要求，投标方在参与此项目期间，需要按照招标方的要求在合同安全条款、供应链企业安全责任承诺、供应商行为管理、人员管理及安全评估方面予以配合并按照招标方格式要求作出对应承诺。</w:t>
      </w:r>
    </w:p>
    <w:p>
      <w:pPr>
        <w:adjustRightInd w:val="0"/>
        <w:spacing w:line="560" w:lineRule="atLeast"/>
        <w:ind w:firstLine="643" w:firstLineChars="200"/>
        <w:rPr>
          <w:rFonts w:ascii="彩虹楷体" w:eastAsia="彩虹楷体"/>
          <w:b/>
          <w:sz w:val="32"/>
          <w:szCs w:val="32"/>
        </w:rPr>
      </w:pPr>
      <w:r>
        <w:rPr>
          <w:rFonts w:hint="eastAsia" w:ascii="彩虹楷体" w:eastAsia="彩虹楷体"/>
          <w:b/>
          <w:sz w:val="32"/>
          <w:szCs w:val="32"/>
        </w:rPr>
        <w:t>（一）合同安全条款要求</w:t>
      </w:r>
    </w:p>
    <w:p>
      <w:pPr>
        <w:spacing w:line="560" w:lineRule="exact"/>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合同或协议应体现我行数据安全及供应链安全的管理要求。数据安全条款，按照我行数据管理相关要求执行。供应链安全条款示例（详见附件二）。</w:t>
      </w:r>
    </w:p>
    <w:p>
      <w:pPr>
        <w:adjustRightInd w:val="0"/>
        <w:spacing w:line="560" w:lineRule="atLeast"/>
        <w:ind w:firstLine="643" w:firstLineChars="200"/>
        <w:rPr>
          <w:rFonts w:ascii="彩虹楷体" w:eastAsia="彩虹楷体"/>
          <w:b/>
          <w:sz w:val="32"/>
          <w:szCs w:val="32"/>
        </w:rPr>
      </w:pPr>
      <w:r>
        <w:rPr>
          <w:rFonts w:hint="eastAsia" w:ascii="彩虹楷体" w:eastAsia="彩虹楷体"/>
          <w:b/>
          <w:sz w:val="32"/>
          <w:szCs w:val="32"/>
        </w:rPr>
        <w:t>（二）供应商安全承诺要求</w:t>
      </w:r>
    </w:p>
    <w:p>
      <w:pPr>
        <w:spacing w:line="560" w:lineRule="exact"/>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供应商应签署《供应链企业安全责任与保密承诺函》（详见附件三），并将承诺函作为合同附件。</w:t>
      </w:r>
    </w:p>
    <w:p>
      <w:pPr>
        <w:adjustRightInd w:val="0"/>
        <w:spacing w:line="560" w:lineRule="atLeast"/>
        <w:ind w:firstLine="643" w:firstLineChars="200"/>
        <w:rPr>
          <w:rFonts w:ascii="彩虹楷体" w:eastAsia="彩虹楷体"/>
          <w:b/>
          <w:sz w:val="32"/>
          <w:szCs w:val="32"/>
        </w:rPr>
      </w:pPr>
      <w:r>
        <w:rPr>
          <w:rFonts w:hint="eastAsia" w:ascii="彩虹楷体" w:eastAsia="彩虹楷体"/>
          <w:b/>
          <w:sz w:val="32"/>
          <w:szCs w:val="32"/>
        </w:rPr>
        <w:t>（三）可致合同终止的行为</w:t>
      </w:r>
    </w:p>
    <w:p>
      <w:pPr>
        <w:pStyle w:val="34"/>
        <w:adjustRightInd w:val="0"/>
        <w:snapToGrid w:val="0"/>
        <w:spacing w:line="560" w:lineRule="exact"/>
        <w:ind w:left="0" w:firstLine="640"/>
        <w:rPr>
          <w:rFonts w:ascii="彩虹粗仿宋" w:hAnsi="彩虹粗仿宋" w:eastAsia="彩虹粗仿宋" w:cs="彩虹粗仿宋"/>
          <w:snapToGrid w:val="0"/>
        </w:rPr>
      </w:pPr>
      <w:r>
        <w:rPr>
          <w:rFonts w:hint="eastAsia" w:ascii="彩虹粗仿宋" w:hAnsi="彩虹粗仿宋" w:eastAsia="彩虹粗仿宋" w:cs="彩虹粗仿宋"/>
          <w:snapToGrid w:val="0"/>
        </w:rPr>
        <w:t>供应商发生以下不良行为的，我行有权终止合同并追究相关责任：</w:t>
      </w:r>
    </w:p>
    <w:p>
      <w:pPr>
        <w:pStyle w:val="34"/>
        <w:adjustRightInd w:val="0"/>
        <w:snapToGrid w:val="0"/>
        <w:spacing w:line="560" w:lineRule="exact"/>
        <w:ind w:left="0" w:firstLine="640"/>
        <w:rPr>
          <w:rFonts w:ascii="彩虹粗仿宋" w:hAnsi="彩虹粗仿宋" w:eastAsia="彩虹粗仿宋" w:cs="彩虹粗仿宋"/>
          <w:snapToGrid w:val="0"/>
        </w:rPr>
      </w:pPr>
      <w:r>
        <w:rPr>
          <w:rFonts w:hint="eastAsia" w:ascii="彩虹粗仿宋" w:hAnsi="彩虹粗仿宋" w:eastAsia="彩虹粗仿宋" w:cs="彩虹粗仿宋"/>
          <w:snapToGrid w:val="0"/>
        </w:rPr>
        <w:t>1.发生我行</w:t>
      </w:r>
      <w:r>
        <w:rPr>
          <w:rFonts w:hint="eastAsia" w:ascii="彩虹粗仿宋" w:hAnsi="彩虹粗仿宋" w:eastAsia="彩虹粗仿宋" w:cs="彩虹粗仿宋"/>
          <w:bCs/>
        </w:rPr>
        <w:t>数据泄露、丢失和篡改</w:t>
      </w:r>
      <w:r>
        <w:rPr>
          <w:rFonts w:hint="eastAsia" w:ascii="彩虹粗仿宋" w:hAnsi="彩虹粗仿宋" w:eastAsia="彩虹粗仿宋" w:cs="彩虹粗仿宋"/>
          <w:snapToGrid w:val="0"/>
        </w:rPr>
        <w:t>、导致</w:t>
      </w:r>
      <w:r>
        <w:rPr>
          <w:rFonts w:hint="eastAsia" w:ascii="彩虹粗仿宋" w:hAnsi="彩虹粗仿宋" w:eastAsia="彩虹粗仿宋" w:cs="彩虹粗仿宋"/>
          <w:bCs/>
        </w:rPr>
        <w:t>我行网络被攻破、恶意供应中断、我行客户资金损失、侵权</w:t>
      </w:r>
      <w:r>
        <w:rPr>
          <w:rFonts w:hint="eastAsia" w:ascii="彩虹粗仿宋" w:hAnsi="彩虹粗仿宋" w:eastAsia="彩虹粗仿宋" w:cs="彩虹粗仿宋"/>
          <w:snapToGrid w:val="0"/>
        </w:rPr>
        <w:t>等供应链安全事件。</w:t>
      </w:r>
    </w:p>
    <w:p>
      <w:pPr>
        <w:pStyle w:val="6"/>
        <w:widowControl w:val="0"/>
        <w:adjustRightInd w:val="0"/>
        <w:snapToGrid w:val="0"/>
        <w:spacing w:after="0" w:line="560" w:lineRule="exact"/>
        <w:ind w:firstLine="640" w:firstLineChars="200"/>
        <w:jc w:val="both"/>
        <w:rPr>
          <w:rFonts w:ascii="彩虹粗仿宋" w:hAnsi="彩虹粗仿宋" w:eastAsia="彩虹粗仿宋" w:cs="彩虹粗仿宋"/>
          <w:bCs/>
          <w:szCs w:val="32"/>
        </w:rPr>
      </w:pPr>
      <w:r>
        <w:rPr>
          <w:rFonts w:hint="eastAsia" w:ascii="彩虹粗仿宋" w:hAnsi="彩虹粗仿宋" w:eastAsia="彩虹粗仿宋" w:cs="彩虹粗仿宋"/>
          <w:bCs/>
          <w:szCs w:val="32"/>
        </w:rPr>
        <w:t>2.故意在产品和服务中设置后门程序或</w:t>
      </w:r>
      <w:r>
        <w:rPr>
          <w:rFonts w:hint="eastAsia" w:ascii="彩虹粗仿宋" w:hAnsi="彩虹粗仿宋" w:eastAsia="彩虹粗仿宋" w:cs="彩虹粗仿宋"/>
          <w:szCs w:val="32"/>
        </w:rPr>
        <w:t>导致泄密的装置</w:t>
      </w:r>
      <w:r>
        <w:rPr>
          <w:rFonts w:hint="eastAsia" w:ascii="彩虹粗仿宋" w:hAnsi="彩虹粗仿宋" w:eastAsia="彩虹粗仿宋" w:cs="彩虹粗仿宋"/>
          <w:bCs/>
          <w:szCs w:val="32"/>
        </w:rPr>
        <w:t>，非法获取我行数据、控制和操纵我行系统和设备。</w:t>
      </w:r>
    </w:p>
    <w:p>
      <w:pPr>
        <w:pStyle w:val="6"/>
        <w:widowControl w:val="0"/>
        <w:adjustRightInd w:val="0"/>
        <w:snapToGrid w:val="0"/>
        <w:spacing w:after="0" w:line="560" w:lineRule="exact"/>
        <w:ind w:firstLine="640" w:firstLineChars="200"/>
        <w:jc w:val="both"/>
        <w:rPr>
          <w:rFonts w:ascii="彩虹粗仿宋" w:hAnsi="彩虹粗仿宋" w:eastAsia="彩虹粗仿宋" w:cs="彩虹粗仿宋"/>
          <w:bCs/>
          <w:szCs w:val="32"/>
        </w:rPr>
      </w:pPr>
      <w:r>
        <w:rPr>
          <w:rFonts w:hint="eastAsia" w:ascii="彩虹粗仿宋" w:hAnsi="彩虹粗仿宋" w:eastAsia="彩虹粗仿宋" w:cs="彩虹粗仿宋"/>
          <w:bCs/>
          <w:szCs w:val="32"/>
        </w:rPr>
        <w:t>3.发生其他我行认定的不良行为。</w:t>
      </w:r>
    </w:p>
    <w:p>
      <w:pPr>
        <w:adjustRightInd w:val="0"/>
        <w:spacing w:line="560" w:lineRule="atLeast"/>
        <w:ind w:firstLine="643" w:firstLineChars="200"/>
        <w:rPr>
          <w:rFonts w:ascii="彩虹楷体" w:eastAsia="彩虹楷体"/>
          <w:b/>
          <w:sz w:val="32"/>
          <w:szCs w:val="32"/>
        </w:rPr>
      </w:pPr>
      <w:r>
        <w:rPr>
          <w:rFonts w:hint="eastAsia" w:ascii="彩虹楷体" w:eastAsia="彩虹楷体"/>
          <w:b/>
          <w:sz w:val="32"/>
          <w:szCs w:val="32"/>
        </w:rPr>
        <w:t>（四）人员管理</w:t>
      </w:r>
    </w:p>
    <w:p>
      <w:pPr>
        <w:spacing w:line="560" w:lineRule="exact"/>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1.供应商应建立服务我行人员台账并向我行报备，包括人员基本信息、联系方式、工作职责、在职离职情况、系统和服务权限等，台账应动态维护。</w:t>
      </w:r>
    </w:p>
    <w:p>
      <w:pPr>
        <w:spacing w:line="560" w:lineRule="exact"/>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2.供应商应与其服务我行人员签署保密协议。</w:t>
      </w:r>
    </w:p>
    <w:p>
      <w:pPr>
        <w:spacing w:line="560" w:lineRule="exact"/>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3.供应商应组织其服务我行人员，定期开展教育培训活动，提升人员安全意识，包括不限于制度规范、安全培训、应急流程、内部攻防演练等。</w:t>
      </w:r>
    </w:p>
    <w:p>
      <w:pPr>
        <w:spacing w:line="560" w:lineRule="exact"/>
        <w:ind w:firstLine="640" w:firstLineChars="200"/>
        <w:rPr>
          <w:rFonts w:ascii="彩虹粗仿宋" w:hAnsi="彩虹粗仿宋" w:eastAsia="彩虹粗仿宋" w:cs="彩虹粗仿宋"/>
          <w:sz w:val="32"/>
          <w:szCs w:val="32"/>
        </w:rPr>
      </w:pPr>
      <w:r>
        <w:rPr>
          <w:rFonts w:hint="eastAsia" w:ascii="彩虹粗仿宋" w:hAnsi="彩虹粗仿宋" w:eastAsia="彩虹粗仿宋" w:cs="彩虹粗仿宋"/>
          <w:sz w:val="32"/>
          <w:szCs w:val="32"/>
        </w:rPr>
        <w:t>4.当服务人员离职时，供应商应建立离职人员账号、权限、材料等交接、清理流程，并应具有完整的离职交接记录，包括不限于账号注销、系统权限撤销、材料交接等。</w:t>
      </w:r>
    </w:p>
    <w:p>
      <w:pPr>
        <w:adjustRightInd w:val="0"/>
        <w:spacing w:line="560" w:lineRule="atLeast"/>
        <w:ind w:firstLine="643" w:firstLineChars="200"/>
        <w:rPr>
          <w:rFonts w:ascii="彩虹楷体" w:eastAsia="彩虹楷体"/>
          <w:b/>
          <w:sz w:val="32"/>
          <w:szCs w:val="32"/>
        </w:rPr>
      </w:pPr>
      <w:r>
        <w:rPr>
          <w:rFonts w:hint="eastAsia" w:ascii="彩虹楷体" w:eastAsia="彩虹楷体"/>
          <w:b/>
          <w:sz w:val="32"/>
          <w:szCs w:val="32"/>
        </w:rPr>
        <w:t>（五）安全评估要求</w:t>
      </w:r>
    </w:p>
    <w:p>
      <w:pPr>
        <w:spacing w:line="560" w:lineRule="exact"/>
        <w:ind w:firstLine="640" w:firstLineChars="200"/>
        <w:rPr>
          <w:rFonts w:ascii="彩虹粗仿宋" w:hAnsi="彩虹粗仿宋" w:eastAsia="彩虹粗仿宋" w:cs="彩虹粗仿宋"/>
          <w:snapToGrid w:val="0"/>
          <w:kern w:val="0"/>
          <w:sz w:val="32"/>
          <w:szCs w:val="32"/>
        </w:rPr>
      </w:pPr>
      <w:r>
        <w:rPr>
          <w:rFonts w:hint="eastAsia" w:ascii="彩虹粗仿宋" w:hAnsi="彩虹粗仿宋" w:eastAsia="彩虹粗仿宋" w:cs="彩虹粗仿宋"/>
          <w:snapToGrid w:val="0"/>
          <w:kern w:val="0"/>
          <w:sz w:val="32"/>
          <w:szCs w:val="32"/>
        </w:rPr>
        <w:t>合同签订前，招标方将充分评估供应商的安全能力，投标方需要配合招标方如实反映公司基本情况、内控管理、人员管理、网络和信息安全、数据安全保障能力、连续性管理及外部评价等方面的信息，完成相关的安全评估，指标见附件四。</w:t>
      </w:r>
    </w:p>
    <w:p>
      <w:pPr>
        <w:widowControl/>
        <w:jc w:val="left"/>
        <w:rPr>
          <w:rFonts w:ascii="彩虹粗仿宋" w:hAnsi="仿宋" w:eastAsia="彩虹粗仿宋" w:cs="Arial"/>
          <w:sz w:val="32"/>
          <w:szCs w:val="32"/>
        </w:rPr>
      </w:pPr>
      <w:r>
        <w:rPr>
          <w:rFonts w:ascii="彩虹粗仿宋" w:hAnsi="彩虹粗仿宋" w:eastAsia="彩虹粗仿宋" w:cs="彩虹粗仿宋"/>
          <w:snapToGrid w:val="0"/>
          <w:kern w:val="0"/>
          <w:sz w:val="32"/>
          <w:szCs w:val="32"/>
        </w:rPr>
        <w:br w:type="page"/>
      </w:r>
      <w:r>
        <w:rPr>
          <w:rFonts w:hint="eastAsia" w:ascii="彩虹粗仿宋" w:hAnsi="宋体" w:eastAsia="彩虹粗仿宋"/>
          <w:sz w:val="32"/>
          <w:szCs w:val="32"/>
        </w:rPr>
        <w:t>附件一：</w:t>
      </w:r>
      <w:r>
        <w:rPr>
          <w:rFonts w:hint="eastAsia" w:ascii="彩虹粗仿宋" w:hAnsi="仿宋" w:eastAsia="彩虹粗仿宋" w:cs="Arial"/>
          <w:sz w:val="32"/>
          <w:szCs w:val="32"/>
        </w:rPr>
        <w:t>设备用途、型号及详细配置</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仿宋" w:eastAsia="彩虹粗仿宋" w:cs="Arial"/>
          <w:sz w:val="32"/>
          <w:szCs w:val="32"/>
        </w:rPr>
        <w:t>1、设备用途及型号</w:t>
      </w:r>
    </w:p>
    <w:tbl>
      <w:tblPr>
        <w:tblStyle w:val="15"/>
        <w:tblW w:w="8520" w:type="dxa"/>
        <w:tblInd w:w="93" w:type="dxa"/>
        <w:tblLayout w:type="autofit"/>
        <w:tblCellMar>
          <w:top w:w="0" w:type="dxa"/>
          <w:left w:w="108" w:type="dxa"/>
          <w:bottom w:w="0" w:type="dxa"/>
          <w:right w:w="108" w:type="dxa"/>
        </w:tblCellMar>
      </w:tblPr>
      <w:tblGrid>
        <w:gridCol w:w="931"/>
        <w:gridCol w:w="1967"/>
        <w:gridCol w:w="3316"/>
        <w:gridCol w:w="2306"/>
      </w:tblGrid>
      <w:tr>
        <w:tblPrEx>
          <w:tblCellMar>
            <w:top w:w="0" w:type="dxa"/>
            <w:left w:w="108" w:type="dxa"/>
            <w:bottom w:w="0" w:type="dxa"/>
            <w:right w:w="108" w:type="dxa"/>
          </w:tblCellMar>
        </w:tblPrEx>
        <w:trPr>
          <w:trHeight w:val="375" w:hRule="atLeast"/>
        </w:trPr>
        <w:tc>
          <w:tcPr>
            <w:tcW w:w="8379" w:type="dxa"/>
            <w:gridSpan w:val="4"/>
            <w:tcBorders>
              <w:top w:val="nil"/>
              <w:left w:val="nil"/>
              <w:bottom w:val="single" w:color="auto" w:sz="4" w:space="0"/>
              <w:right w:val="nil"/>
            </w:tcBorders>
            <w:shd w:val="clear" w:color="auto" w:fill="auto"/>
            <w:noWrap/>
            <w:vAlign w:val="bottom"/>
          </w:tcPr>
          <w:p>
            <w:pPr>
              <w:widowControl/>
              <w:jc w:val="center"/>
              <w:rPr>
                <w:rFonts w:ascii="宋体" w:hAnsi="宋体" w:eastAsia="宋体" w:cs="宋体"/>
                <w:color w:val="000000"/>
                <w:kern w:val="0"/>
                <w:sz w:val="28"/>
                <w:szCs w:val="28"/>
              </w:rPr>
            </w:pPr>
            <w:r>
              <w:rPr>
                <w:rFonts w:hint="eastAsia" w:ascii="宋体" w:hAnsi="宋体" w:eastAsia="宋体" w:cs="宋体"/>
                <w:color w:val="000000"/>
                <w:kern w:val="0"/>
                <w:sz w:val="28"/>
                <w:szCs w:val="28"/>
              </w:rPr>
              <w:t>中心机房系统类设备用途及型号</w:t>
            </w:r>
          </w:p>
        </w:tc>
      </w:tr>
      <w:tr>
        <w:tblPrEx>
          <w:tblCellMar>
            <w:top w:w="0" w:type="dxa"/>
            <w:left w:w="108" w:type="dxa"/>
            <w:bottom w:w="0" w:type="dxa"/>
            <w:right w:w="108" w:type="dxa"/>
          </w:tblCellMar>
        </w:tblPrEx>
        <w:trPr>
          <w:trHeight w:val="375"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1934" w:type="dxa"/>
            <w:tcBorders>
              <w:top w:val="nil"/>
              <w:left w:val="nil"/>
              <w:bottom w:val="single" w:color="auto" w:sz="4" w:space="0"/>
              <w:right w:val="single" w:color="auto" w:sz="4" w:space="0"/>
            </w:tcBorders>
            <w:shd w:val="clear" w:color="auto" w:fill="auto"/>
            <w:noWrap/>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设备类型</w:t>
            </w:r>
          </w:p>
        </w:tc>
        <w:tc>
          <w:tcPr>
            <w:tcW w:w="3261" w:type="dxa"/>
            <w:tcBorders>
              <w:top w:val="nil"/>
              <w:left w:val="nil"/>
              <w:bottom w:val="single" w:color="auto" w:sz="4" w:space="0"/>
              <w:right w:val="single" w:color="auto" w:sz="4" w:space="0"/>
            </w:tcBorders>
            <w:shd w:val="clear" w:color="auto" w:fill="auto"/>
            <w:noWrap/>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设备用途</w:t>
            </w:r>
          </w:p>
        </w:tc>
        <w:tc>
          <w:tcPr>
            <w:tcW w:w="2268" w:type="dxa"/>
            <w:tcBorders>
              <w:top w:val="nil"/>
              <w:left w:val="nil"/>
              <w:bottom w:val="single" w:color="auto" w:sz="4" w:space="0"/>
              <w:right w:val="single" w:color="auto" w:sz="4" w:space="0"/>
            </w:tcBorders>
            <w:shd w:val="clear" w:color="auto" w:fill="auto"/>
            <w:noWrap/>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设备型号</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w:t>
            </w:r>
          </w:p>
        </w:tc>
        <w:tc>
          <w:tcPr>
            <w:tcW w:w="193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小型机</w:t>
            </w:r>
          </w:p>
        </w:tc>
        <w:tc>
          <w:tcPr>
            <w:tcW w:w="3261"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历史数据查询,用于我行历史数据查询。</w:t>
            </w:r>
          </w:p>
        </w:tc>
        <w:tc>
          <w:tcPr>
            <w:tcW w:w="2268"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HP RX9900</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w:t>
            </w:r>
          </w:p>
        </w:tc>
        <w:tc>
          <w:tcPr>
            <w:tcW w:w="193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存储</w:t>
            </w:r>
          </w:p>
        </w:tc>
        <w:tc>
          <w:tcPr>
            <w:tcW w:w="3261"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存放数据查询系统数据</w:t>
            </w:r>
          </w:p>
        </w:tc>
        <w:tc>
          <w:tcPr>
            <w:tcW w:w="2268"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华为5600 V3</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3</w:t>
            </w:r>
          </w:p>
        </w:tc>
        <w:tc>
          <w:tcPr>
            <w:tcW w:w="193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存储交换机1</w:t>
            </w:r>
          </w:p>
        </w:tc>
        <w:tc>
          <w:tcPr>
            <w:tcW w:w="3261"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机房搬迁后测试环境部署</w:t>
            </w:r>
          </w:p>
        </w:tc>
        <w:tc>
          <w:tcPr>
            <w:tcW w:w="2268"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Brocade-8510</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4</w:t>
            </w:r>
          </w:p>
        </w:tc>
        <w:tc>
          <w:tcPr>
            <w:tcW w:w="193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存储交换机2</w:t>
            </w:r>
          </w:p>
        </w:tc>
        <w:tc>
          <w:tcPr>
            <w:tcW w:w="3261"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机房搬迁后测试环境部署</w:t>
            </w:r>
          </w:p>
        </w:tc>
        <w:tc>
          <w:tcPr>
            <w:tcW w:w="2268"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Brocade-8510</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5</w:t>
            </w:r>
          </w:p>
        </w:tc>
        <w:tc>
          <w:tcPr>
            <w:tcW w:w="193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DVD光盘库1</w:t>
            </w:r>
          </w:p>
        </w:tc>
        <w:tc>
          <w:tcPr>
            <w:tcW w:w="3261"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NETZON</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GMS3560</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6</w:t>
            </w:r>
          </w:p>
        </w:tc>
        <w:tc>
          <w:tcPr>
            <w:tcW w:w="193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DVD光盘库2</w:t>
            </w:r>
          </w:p>
        </w:tc>
        <w:tc>
          <w:tcPr>
            <w:tcW w:w="3261"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NETZON</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GMS3560</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7</w:t>
            </w:r>
          </w:p>
        </w:tc>
        <w:tc>
          <w:tcPr>
            <w:tcW w:w="193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IBM小型机1</w:t>
            </w:r>
          </w:p>
        </w:tc>
        <w:tc>
          <w:tcPr>
            <w:tcW w:w="3261" w:type="dxa"/>
            <w:tcBorders>
              <w:top w:val="nil"/>
              <w:left w:val="nil"/>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会计稽核系统,用于我行历史数据查询。</w:t>
            </w:r>
          </w:p>
        </w:tc>
        <w:tc>
          <w:tcPr>
            <w:tcW w:w="2268"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P740</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8</w:t>
            </w:r>
          </w:p>
        </w:tc>
        <w:tc>
          <w:tcPr>
            <w:tcW w:w="193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IBM小型机2</w:t>
            </w:r>
          </w:p>
        </w:tc>
        <w:tc>
          <w:tcPr>
            <w:tcW w:w="3261" w:type="dxa"/>
            <w:tcBorders>
              <w:top w:val="nil"/>
              <w:left w:val="nil"/>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会计稽核系统,用于我行历史数据查询。</w:t>
            </w:r>
          </w:p>
        </w:tc>
        <w:tc>
          <w:tcPr>
            <w:tcW w:w="2268"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P740</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9</w:t>
            </w:r>
          </w:p>
        </w:tc>
        <w:tc>
          <w:tcPr>
            <w:tcW w:w="193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IBM小型机3</w:t>
            </w:r>
          </w:p>
        </w:tc>
        <w:tc>
          <w:tcPr>
            <w:tcW w:w="3261" w:type="dxa"/>
            <w:tcBorders>
              <w:top w:val="nil"/>
              <w:left w:val="nil"/>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老集中备份系统，用于我行低版本系统数据备份。</w:t>
            </w:r>
          </w:p>
        </w:tc>
        <w:tc>
          <w:tcPr>
            <w:tcW w:w="2268"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P720</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10</w:t>
            </w:r>
          </w:p>
        </w:tc>
        <w:tc>
          <w:tcPr>
            <w:tcW w:w="193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IBM小型机4</w:t>
            </w:r>
          </w:p>
        </w:tc>
        <w:tc>
          <w:tcPr>
            <w:tcW w:w="3261" w:type="dxa"/>
            <w:tcBorders>
              <w:top w:val="nil"/>
              <w:left w:val="nil"/>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老集中备份系统，用于我行低版本系统数据备份。</w:t>
            </w:r>
          </w:p>
        </w:tc>
        <w:tc>
          <w:tcPr>
            <w:tcW w:w="2268"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P720</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11</w:t>
            </w:r>
          </w:p>
        </w:tc>
        <w:tc>
          <w:tcPr>
            <w:tcW w:w="193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IBM带库</w:t>
            </w:r>
          </w:p>
        </w:tc>
        <w:tc>
          <w:tcPr>
            <w:tcW w:w="3261" w:type="dxa"/>
            <w:tcBorders>
              <w:top w:val="nil"/>
              <w:left w:val="nil"/>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b/>
                <w:bCs/>
                <w:color w:val="000000"/>
                <w:kern w:val="0"/>
                <w:sz w:val="24"/>
                <w:szCs w:val="24"/>
              </w:rPr>
            </w:pPr>
            <w:r>
              <w:rPr>
                <w:rFonts w:hint="eastAsia" w:ascii="彩虹粗仿宋" w:hAnsi="宋体" w:eastAsia="彩虹粗仿宋" w:cs="宋体"/>
                <w:color w:val="000000"/>
                <w:kern w:val="0"/>
                <w:sz w:val="24"/>
                <w:szCs w:val="24"/>
              </w:rPr>
              <w:t>老集中备份系统，用于我行低版本系统数据备份。</w:t>
            </w:r>
          </w:p>
        </w:tc>
        <w:tc>
          <w:tcPr>
            <w:tcW w:w="2268"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3500（含扩展柜）</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12</w:t>
            </w:r>
          </w:p>
        </w:tc>
        <w:tc>
          <w:tcPr>
            <w:tcW w:w="193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服务器</w:t>
            </w:r>
          </w:p>
        </w:tc>
        <w:tc>
          <w:tcPr>
            <w:tcW w:w="3261"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会计稽核内容管理</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IBM 3850</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13</w:t>
            </w:r>
          </w:p>
        </w:tc>
        <w:tc>
          <w:tcPr>
            <w:tcW w:w="193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服务器</w:t>
            </w:r>
          </w:p>
        </w:tc>
        <w:tc>
          <w:tcPr>
            <w:tcW w:w="3261"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Websense HAAP4710</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HP DL580G7</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14</w:t>
            </w:r>
          </w:p>
        </w:tc>
        <w:tc>
          <w:tcPr>
            <w:tcW w:w="193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服务器</w:t>
            </w:r>
          </w:p>
        </w:tc>
        <w:tc>
          <w:tcPr>
            <w:tcW w:w="3261"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Websense HAAP4700</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HP DL580G7</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15</w:t>
            </w:r>
          </w:p>
        </w:tc>
        <w:tc>
          <w:tcPr>
            <w:tcW w:w="193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服务器</w:t>
            </w:r>
          </w:p>
        </w:tc>
        <w:tc>
          <w:tcPr>
            <w:tcW w:w="3261"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数据备份</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HP DL580G7</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16</w:t>
            </w:r>
          </w:p>
        </w:tc>
        <w:tc>
          <w:tcPr>
            <w:tcW w:w="193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服务器</w:t>
            </w:r>
          </w:p>
        </w:tc>
        <w:tc>
          <w:tcPr>
            <w:tcW w:w="3261"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N-COS系统1</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HP DL580G7</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17</w:t>
            </w:r>
          </w:p>
        </w:tc>
        <w:tc>
          <w:tcPr>
            <w:tcW w:w="193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服务器</w:t>
            </w:r>
          </w:p>
        </w:tc>
        <w:tc>
          <w:tcPr>
            <w:tcW w:w="3261"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N-COS系统2</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HP DL580G7</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18</w:t>
            </w:r>
          </w:p>
        </w:tc>
        <w:tc>
          <w:tcPr>
            <w:tcW w:w="193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存储</w:t>
            </w:r>
          </w:p>
        </w:tc>
        <w:tc>
          <w:tcPr>
            <w:tcW w:w="3261"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华为存储</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N9000</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19</w:t>
            </w:r>
          </w:p>
        </w:tc>
        <w:tc>
          <w:tcPr>
            <w:tcW w:w="193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服务器</w:t>
            </w:r>
          </w:p>
        </w:tc>
        <w:tc>
          <w:tcPr>
            <w:tcW w:w="3261"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税控服务器1</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联想X3650M5</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20</w:t>
            </w:r>
          </w:p>
        </w:tc>
        <w:tc>
          <w:tcPr>
            <w:tcW w:w="193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服务器</w:t>
            </w:r>
          </w:p>
        </w:tc>
        <w:tc>
          <w:tcPr>
            <w:tcW w:w="3261"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税控服务器2</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联想X3650M5</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21</w:t>
            </w:r>
          </w:p>
        </w:tc>
        <w:tc>
          <w:tcPr>
            <w:tcW w:w="193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服务器</w:t>
            </w:r>
          </w:p>
        </w:tc>
        <w:tc>
          <w:tcPr>
            <w:tcW w:w="3261"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税控服务器3</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联想X3650M5</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22</w:t>
            </w:r>
          </w:p>
        </w:tc>
        <w:tc>
          <w:tcPr>
            <w:tcW w:w="193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服务器</w:t>
            </w:r>
          </w:p>
        </w:tc>
        <w:tc>
          <w:tcPr>
            <w:tcW w:w="3261"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税控服务器4</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联想X3650M5</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23</w:t>
            </w:r>
          </w:p>
        </w:tc>
        <w:tc>
          <w:tcPr>
            <w:tcW w:w="193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服务器</w:t>
            </w:r>
          </w:p>
        </w:tc>
        <w:tc>
          <w:tcPr>
            <w:tcW w:w="3261"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互联网区WEBDLP</w:t>
            </w:r>
          </w:p>
        </w:tc>
        <w:tc>
          <w:tcPr>
            <w:tcW w:w="2268"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H3C R4800 G2</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24</w:t>
            </w:r>
          </w:p>
        </w:tc>
        <w:tc>
          <w:tcPr>
            <w:tcW w:w="193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服务器</w:t>
            </w:r>
          </w:p>
        </w:tc>
        <w:tc>
          <w:tcPr>
            <w:tcW w:w="3261"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互联网区WEBDLP</w:t>
            </w:r>
          </w:p>
        </w:tc>
        <w:tc>
          <w:tcPr>
            <w:tcW w:w="2268"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H3C R4800 G2</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25</w:t>
            </w:r>
          </w:p>
        </w:tc>
        <w:tc>
          <w:tcPr>
            <w:tcW w:w="193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服务器</w:t>
            </w:r>
          </w:p>
        </w:tc>
        <w:tc>
          <w:tcPr>
            <w:tcW w:w="3261"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互联网区日志1_37</w:t>
            </w:r>
          </w:p>
        </w:tc>
        <w:tc>
          <w:tcPr>
            <w:tcW w:w="2268"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H3C R4800 G2</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26</w:t>
            </w:r>
          </w:p>
        </w:tc>
        <w:tc>
          <w:tcPr>
            <w:tcW w:w="193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服务器</w:t>
            </w:r>
          </w:p>
        </w:tc>
        <w:tc>
          <w:tcPr>
            <w:tcW w:w="3261"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互联网区网管1_40</w:t>
            </w:r>
          </w:p>
        </w:tc>
        <w:tc>
          <w:tcPr>
            <w:tcW w:w="2268"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H3C R4800 G2</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27</w:t>
            </w:r>
          </w:p>
        </w:tc>
        <w:tc>
          <w:tcPr>
            <w:tcW w:w="193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服务器</w:t>
            </w:r>
          </w:p>
        </w:tc>
        <w:tc>
          <w:tcPr>
            <w:tcW w:w="3261"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互联网区日志2_38</w:t>
            </w:r>
          </w:p>
        </w:tc>
        <w:tc>
          <w:tcPr>
            <w:tcW w:w="2268"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H3C R4800 G2</w:t>
            </w:r>
          </w:p>
        </w:tc>
      </w:tr>
      <w:tr>
        <w:tblPrEx>
          <w:tblCellMar>
            <w:top w:w="0" w:type="dxa"/>
            <w:left w:w="108" w:type="dxa"/>
            <w:bottom w:w="0" w:type="dxa"/>
            <w:right w:w="108" w:type="dxa"/>
          </w:tblCellMar>
        </w:tblPrEx>
        <w:trPr>
          <w:trHeight w:val="390" w:hRule="atLeast"/>
        </w:trPr>
        <w:tc>
          <w:tcPr>
            <w:tcW w:w="916"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28</w:t>
            </w:r>
          </w:p>
        </w:tc>
        <w:tc>
          <w:tcPr>
            <w:tcW w:w="1934"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服务器</w:t>
            </w:r>
          </w:p>
        </w:tc>
        <w:tc>
          <w:tcPr>
            <w:tcW w:w="3261"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互联网区网管2_41</w:t>
            </w:r>
          </w:p>
        </w:tc>
        <w:tc>
          <w:tcPr>
            <w:tcW w:w="2268"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kern w:val="0"/>
                <w:sz w:val="24"/>
                <w:szCs w:val="24"/>
              </w:rPr>
            </w:pPr>
            <w:r>
              <w:rPr>
                <w:rFonts w:hint="eastAsia" w:ascii="彩虹粗仿宋" w:hAnsi="宋体" w:eastAsia="彩虹粗仿宋" w:cs="宋体"/>
                <w:kern w:val="0"/>
                <w:sz w:val="24"/>
                <w:szCs w:val="24"/>
              </w:rPr>
              <w:t>H3C R4800 G2</w:t>
            </w:r>
          </w:p>
        </w:tc>
      </w:tr>
      <w:tr>
        <w:tblPrEx>
          <w:tblCellMar>
            <w:top w:w="0" w:type="dxa"/>
            <w:left w:w="108" w:type="dxa"/>
            <w:bottom w:w="0" w:type="dxa"/>
            <w:right w:w="108" w:type="dxa"/>
          </w:tblCellMar>
        </w:tblPrEx>
        <w:trPr>
          <w:trHeight w:val="1170" w:hRule="atLeast"/>
        </w:trPr>
        <w:tc>
          <w:tcPr>
            <w:tcW w:w="916"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29-57</w:t>
            </w:r>
          </w:p>
        </w:tc>
        <w:tc>
          <w:tcPr>
            <w:tcW w:w="1934"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服务器</w:t>
            </w:r>
          </w:p>
        </w:tc>
        <w:tc>
          <w:tcPr>
            <w:tcW w:w="3261"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主要部署生产虚拟化平台、新集中备份系统和测试环境虚拟化平台等</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29台H3C R6800G2</w:t>
            </w:r>
          </w:p>
        </w:tc>
      </w:tr>
    </w:tbl>
    <w:p>
      <w:pPr>
        <w:adjustRightInd w:val="0"/>
        <w:snapToGrid w:val="0"/>
        <w:spacing w:line="360" w:lineRule="auto"/>
        <w:ind w:firstLine="640" w:firstLineChars="200"/>
        <w:rPr>
          <w:rFonts w:ascii="彩虹粗仿宋" w:hAnsi="宋体" w:eastAsia="彩虹粗仿宋"/>
          <w:sz w:val="32"/>
          <w:szCs w:val="32"/>
        </w:rPr>
      </w:pPr>
    </w:p>
    <w:tbl>
      <w:tblPr>
        <w:tblStyle w:val="15"/>
        <w:tblW w:w="8520" w:type="dxa"/>
        <w:tblInd w:w="93" w:type="dxa"/>
        <w:tblLayout w:type="autofit"/>
        <w:tblCellMar>
          <w:top w:w="0" w:type="dxa"/>
          <w:left w:w="108" w:type="dxa"/>
          <w:bottom w:w="0" w:type="dxa"/>
          <w:right w:w="108" w:type="dxa"/>
        </w:tblCellMar>
      </w:tblPr>
      <w:tblGrid>
        <w:gridCol w:w="931"/>
        <w:gridCol w:w="1967"/>
        <w:gridCol w:w="3316"/>
        <w:gridCol w:w="2306"/>
      </w:tblGrid>
      <w:tr>
        <w:tblPrEx>
          <w:tblCellMar>
            <w:top w:w="0" w:type="dxa"/>
            <w:left w:w="108" w:type="dxa"/>
            <w:bottom w:w="0" w:type="dxa"/>
            <w:right w:w="108" w:type="dxa"/>
          </w:tblCellMar>
        </w:tblPrEx>
        <w:trPr>
          <w:trHeight w:val="375" w:hRule="atLeast"/>
        </w:trPr>
        <w:tc>
          <w:tcPr>
            <w:tcW w:w="8520" w:type="dxa"/>
            <w:gridSpan w:val="4"/>
            <w:tcBorders>
              <w:top w:val="nil"/>
              <w:left w:val="nil"/>
              <w:bottom w:val="single" w:color="auto" w:sz="4" w:space="0"/>
              <w:right w:val="nil"/>
            </w:tcBorders>
            <w:shd w:val="clear" w:color="auto" w:fill="auto"/>
            <w:noWrap/>
            <w:vAlign w:val="bottom"/>
          </w:tcPr>
          <w:p>
            <w:pPr>
              <w:widowControl/>
              <w:jc w:val="center"/>
              <w:rPr>
                <w:rFonts w:ascii="宋体" w:hAnsi="宋体" w:eastAsia="宋体" w:cs="宋体"/>
                <w:color w:val="000000"/>
                <w:kern w:val="0"/>
                <w:sz w:val="28"/>
                <w:szCs w:val="28"/>
              </w:rPr>
            </w:pPr>
            <w:r>
              <w:rPr>
                <w:rFonts w:hint="eastAsia" w:ascii="宋体" w:hAnsi="宋体" w:eastAsia="宋体" w:cs="宋体"/>
                <w:color w:val="000000"/>
                <w:kern w:val="0"/>
                <w:sz w:val="28"/>
                <w:szCs w:val="28"/>
              </w:rPr>
              <w:t>中心机房网络类设备用途及型号</w:t>
            </w:r>
          </w:p>
        </w:tc>
      </w:tr>
      <w:tr>
        <w:tblPrEx>
          <w:tblCellMar>
            <w:top w:w="0" w:type="dxa"/>
            <w:left w:w="108" w:type="dxa"/>
            <w:bottom w:w="0" w:type="dxa"/>
            <w:right w:w="108" w:type="dxa"/>
          </w:tblCellMar>
        </w:tblPrEx>
        <w:trPr>
          <w:trHeight w:val="375" w:hRule="atLeast"/>
        </w:trPr>
        <w:tc>
          <w:tcPr>
            <w:tcW w:w="931"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1967" w:type="dxa"/>
            <w:tcBorders>
              <w:top w:val="nil"/>
              <w:left w:val="nil"/>
              <w:bottom w:val="single" w:color="auto" w:sz="4" w:space="0"/>
              <w:right w:val="single" w:color="auto" w:sz="4" w:space="0"/>
            </w:tcBorders>
            <w:shd w:val="clear" w:color="auto" w:fill="auto"/>
            <w:noWrap/>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设备类型</w:t>
            </w:r>
          </w:p>
        </w:tc>
        <w:tc>
          <w:tcPr>
            <w:tcW w:w="3316" w:type="dxa"/>
            <w:tcBorders>
              <w:top w:val="nil"/>
              <w:left w:val="nil"/>
              <w:bottom w:val="single" w:color="auto" w:sz="4" w:space="0"/>
              <w:right w:val="single" w:color="auto" w:sz="4" w:space="0"/>
            </w:tcBorders>
            <w:shd w:val="clear" w:color="auto" w:fill="auto"/>
            <w:noWrap/>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设备用途</w:t>
            </w:r>
          </w:p>
        </w:tc>
        <w:tc>
          <w:tcPr>
            <w:tcW w:w="2306" w:type="dxa"/>
            <w:tcBorders>
              <w:top w:val="nil"/>
              <w:left w:val="nil"/>
              <w:bottom w:val="single" w:color="auto" w:sz="4" w:space="0"/>
              <w:right w:val="single" w:color="auto" w:sz="4" w:space="0"/>
            </w:tcBorders>
            <w:shd w:val="clear" w:color="auto" w:fill="auto"/>
            <w:noWrap/>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设备型号</w:t>
            </w:r>
          </w:p>
        </w:tc>
      </w:tr>
      <w:tr>
        <w:tblPrEx>
          <w:tblCellMar>
            <w:top w:w="0" w:type="dxa"/>
            <w:left w:w="108" w:type="dxa"/>
            <w:bottom w:w="0" w:type="dxa"/>
            <w:right w:w="108" w:type="dxa"/>
          </w:tblCellMar>
        </w:tblPrEx>
        <w:trPr>
          <w:trHeight w:val="390" w:hRule="atLeast"/>
        </w:trPr>
        <w:tc>
          <w:tcPr>
            <w:tcW w:w="931"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1</w:t>
            </w:r>
          </w:p>
        </w:tc>
        <w:tc>
          <w:tcPr>
            <w:tcW w:w="1967"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防病毒网关1</w:t>
            </w:r>
          </w:p>
        </w:tc>
        <w:tc>
          <w:tcPr>
            <w:tcW w:w="3316"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防病毒网关</w:t>
            </w:r>
          </w:p>
        </w:tc>
        <w:tc>
          <w:tcPr>
            <w:tcW w:w="2306"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网御星云V6000-A5310</w:t>
            </w:r>
          </w:p>
        </w:tc>
      </w:tr>
      <w:tr>
        <w:tblPrEx>
          <w:tblCellMar>
            <w:top w:w="0" w:type="dxa"/>
            <w:left w:w="108" w:type="dxa"/>
            <w:bottom w:w="0" w:type="dxa"/>
            <w:right w:w="108" w:type="dxa"/>
          </w:tblCellMar>
        </w:tblPrEx>
        <w:trPr>
          <w:trHeight w:val="390" w:hRule="atLeast"/>
        </w:trPr>
        <w:tc>
          <w:tcPr>
            <w:tcW w:w="931"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2</w:t>
            </w:r>
          </w:p>
        </w:tc>
        <w:tc>
          <w:tcPr>
            <w:tcW w:w="1967"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防病毒网关2</w:t>
            </w:r>
          </w:p>
        </w:tc>
        <w:tc>
          <w:tcPr>
            <w:tcW w:w="3316"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防病毒网关</w:t>
            </w:r>
          </w:p>
        </w:tc>
        <w:tc>
          <w:tcPr>
            <w:tcW w:w="2306"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网御星云V6000-A5310</w:t>
            </w:r>
          </w:p>
        </w:tc>
      </w:tr>
      <w:tr>
        <w:tblPrEx>
          <w:tblCellMar>
            <w:top w:w="0" w:type="dxa"/>
            <w:left w:w="108" w:type="dxa"/>
            <w:bottom w:w="0" w:type="dxa"/>
            <w:right w:w="108" w:type="dxa"/>
          </w:tblCellMar>
        </w:tblPrEx>
        <w:trPr>
          <w:trHeight w:val="390" w:hRule="atLeast"/>
        </w:trPr>
        <w:tc>
          <w:tcPr>
            <w:tcW w:w="931"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3</w:t>
            </w:r>
          </w:p>
        </w:tc>
        <w:tc>
          <w:tcPr>
            <w:tcW w:w="1967"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负载均衡1</w:t>
            </w:r>
          </w:p>
        </w:tc>
        <w:tc>
          <w:tcPr>
            <w:tcW w:w="3316"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负载均衡</w:t>
            </w:r>
          </w:p>
        </w:tc>
        <w:tc>
          <w:tcPr>
            <w:tcW w:w="2306"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Citrix MPX 8910</w:t>
            </w:r>
          </w:p>
        </w:tc>
      </w:tr>
      <w:tr>
        <w:tblPrEx>
          <w:tblCellMar>
            <w:top w:w="0" w:type="dxa"/>
            <w:left w:w="108" w:type="dxa"/>
            <w:bottom w:w="0" w:type="dxa"/>
            <w:right w:w="108" w:type="dxa"/>
          </w:tblCellMar>
        </w:tblPrEx>
        <w:trPr>
          <w:trHeight w:val="390" w:hRule="atLeast"/>
        </w:trPr>
        <w:tc>
          <w:tcPr>
            <w:tcW w:w="931" w:type="dxa"/>
            <w:tcBorders>
              <w:top w:val="nil"/>
              <w:left w:val="single" w:color="auto" w:sz="4" w:space="0"/>
              <w:bottom w:val="single" w:color="auto" w:sz="4" w:space="0"/>
              <w:right w:val="single" w:color="auto" w:sz="4" w:space="0"/>
            </w:tcBorders>
            <w:shd w:val="clear" w:color="auto" w:fill="auto"/>
            <w:noWrap/>
            <w:vAlign w:val="bottom"/>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4</w:t>
            </w:r>
          </w:p>
        </w:tc>
        <w:tc>
          <w:tcPr>
            <w:tcW w:w="1967"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负载均衡2</w:t>
            </w:r>
          </w:p>
        </w:tc>
        <w:tc>
          <w:tcPr>
            <w:tcW w:w="3316"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负载均衡</w:t>
            </w:r>
          </w:p>
        </w:tc>
        <w:tc>
          <w:tcPr>
            <w:tcW w:w="2306" w:type="dxa"/>
            <w:tcBorders>
              <w:top w:val="nil"/>
              <w:left w:val="nil"/>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kern w:val="0"/>
                <w:sz w:val="24"/>
                <w:szCs w:val="24"/>
              </w:rPr>
            </w:pPr>
            <w:r>
              <w:rPr>
                <w:rFonts w:hint="eastAsia" w:ascii="彩虹粗仿宋" w:hAnsi="宋体" w:eastAsia="彩虹粗仿宋" w:cs="宋体"/>
                <w:color w:val="000000"/>
                <w:kern w:val="0"/>
                <w:sz w:val="24"/>
                <w:szCs w:val="24"/>
              </w:rPr>
              <w:t>Citrix MPX 8910</w:t>
            </w:r>
          </w:p>
        </w:tc>
      </w:tr>
    </w:tbl>
    <w:p>
      <w:pPr>
        <w:adjustRightInd w:val="0"/>
        <w:snapToGrid w:val="0"/>
        <w:spacing w:line="360" w:lineRule="auto"/>
        <w:ind w:firstLine="640" w:firstLineChars="200"/>
        <w:rPr>
          <w:rFonts w:ascii="彩虹粗仿宋" w:hAnsi="宋体" w:eastAsia="彩虹粗仿宋"/>
          <w:sz w:val="32"/>
          <w:szCs w:val="32"/>
        </w:rPr>
      </w:pP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2、维保设备详细配置</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（1）历史数据小型机HP RX9900，</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0" w:firstLineChars="200"/>
        <w:jc w:val="left"/>
        <w:rPr>
          <w:rFonts w:ascii="宋体" w:hAnsi="宋体" w:eastAsia="宋体" w:cs="宋体"/>
          <w:kern w:val="0"/>
          <w:sz w:val="28"/>
          <w:szCs w:val="28"/>
        </w:rPr>
      </w:pPr>
      <w:r>
        <w:rPr>
          <w:rFonts w:hint="eastAsia" w:ascii="宋体" w:hAnsi="宋体" w:eastAsia="宋体" w:cs="宋体"/>
          <w:kern w:val="0"/>
          <w:sz w:val="28"/>
          <w:szCs w:val="28"/>
        </w:rPr>
        <w:t>数据查询系统1台，HP RX9900（序列号为SGH3290JWX），配置如下：</w:t>
      </w:r>
    </w:p>
    <w:tbl>
      <w:tblPr>
        <w:tblStyle w:val="15"/>
        <w:tblW w:w="7386" w:type="dxa"/>
        <w:tblInd w:w="93" w:type="dxa"/>
        <w:tblLayout w:type="autofit"/>
        <w:tblCellMar>
          <w:top w:w="0" w:type="dxa"/>
          <w:left w:w="108" w:type="dxa"/>
          <w:bottom w:w="0" w:type="dxa"/>
          <w:right w:w="108" w:type="dxa"/>
        </w:tblCellMar>
      </w:tblPr>
      <w:tblGrid>
        <w:gridCol w:w="724"/>
        <w:gridCol w:w="1985"/>
        <w:gridCol w:w="4677"/>
      </w:tblGrid>
      <w:tr>
        <w:tblPrEx>
          <w:tblCellMar>
            <w:top w:w="0" w:type="dxa"/>
            <w:left w:w="108" w:type="dxa"/>
            <w:bottom w:w="0" w:type="dxa"/>
            <w:right w:w="108" w:type="dxa"/>
          </w:tblCellMar>
        </w:tblPrEx>
        <w:trPr>
          <w:trHeight w:val="270"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widowControl/>
              <w:jc w:val="center"/>
              <w:rPr>
                <w:rFonts w:ascii="彩虹粗仿宋" w:hAnsi="宋体" w:eastAsia="彩虹粗仿宋" w:cs="宋体"/>
                <w:color w:val="000000"/>
                <w:kern w:val="0"/>
                <w:sz w:val="20"/>
                <w:szCs w:val="20"/>
              </w:rPr>
            </w:pPr>
            <w:r>
              <w:rPr>
                <w:rFonts w:hint="eastAsia" w:ascii="彩虹粗仿宋" w:hAnsi="宋体" w:eastAsia="彩虹粗仿宋" w:cs="宋体"/>
                <w:color w:val="000000"/>
                <w:kern w:val="0"/>
                <w:sz w:val="20"/>
                <w:szCs w:val="20"/>
              </w:rPr>
              <w:t>数量</w:t>
            </w:r>
          </w:p>
        </w:tc>
        <w:tc>
          <w:tcPr>
            <w:tcW w:w="1985" w:type="dxa"/>
            <w:tcBorders>
              <w:top w:val="single" w:color="auto" w:sz="4" w:space="0"/>
              <w:left w:val="nil"/>
              <w:bottom w:val="single" w:color="auto" w:sz="4" w:space="0"/>
              <w:right w:val="single" w:color="auto" w:sz="4" w:space="0"/>
            </w:tcBorders>
            <w:shd w:val="clear" w:color="000000" w:fill="FFFFFF"/>
            <w:noWrap/>
            <w:vAlign w:val="center"/>
          </w:tcPr>
          <w:p>
            <w:pPr>
              <w:widowControl/>
              <w:jc w:val="center"/>
              <w:rPr>
                <w:rFonts w:ascii="彩虹粗仿宋" w:hAnsi="宋体" w:eastAsia="彩虹粗仿宋" w:cs="宋体"/>
                <w:color w:val="000000"/>
                <w:kern w:val="0"/>
                <w:sz w:val="20"/>
                <w:szCs w:val="20"/>
              </w:rPr>
            </w:pPr>
            <w:r>
              <w:rPr>
                <w:rFonts w:hint="eastAsia" w:ascii="彩虹粗仿宋" w:hAnsi="宋体" w:eastAsia="彩虹粗仿宋" w:cs="宋体"/>
                <w:color w:val="000000"/>
                <w:kern w:val="0"/>
                <w:sz w:val="20"/>
                <w:szCs w:val="20"/>
              </w:rPr>
              <w:t>产品号</w:t>
            </w:r>
          </w:p>
        </w:tc>
        <w:tc>
          <w:tcPr>
            <w:tcW w:w="4677" w:type="dxa"/>
            <w:tcBorders>
              <w:top w:val="single" w:color="auto" w:sz="4" w:space="0"/>
              <w:left w:val="nil"/>
              <w:bottom w:val="single" w:color="auto" w:sz="4" w:space="0"/>
              <w:right w:val="single" w:color="auto" w:sz="4" w:space="0"/>
            </w:tcBorders>
            <w:shd w:val="clear" w:color="000000" w:fill="FFFFFF"/>
            <w:noWrap/>
            <w:vAlign w:val="center"/>
          </w:tcPr>
          <w:p>
            <w:pPr>
              <w:widowControl/>
              <w:jc w:val="center"/>
              <w:rPr>
                <w:rFonts w:ascii="彩虹粗仿宋" w:hAnsi="宋体" w:eastAsia="彩虹粗仿宋" w:cs="宋体"/>
                <w:color w:val="000000"/>
                <w:kern w:val="0"/>
                <w:sz w:val="20"/>
                <w:szCs w:val="20"/>
              </w:rPr>
            </w:pPr>
            <w:r>
              <w:rPr>
                <w:rFonts w:hint="eastAsia" w:ascii="彩虹粗仿宋" w:hAnsi="宋体" w:eastAsia="彩虹粗仿宋" w:cs="宋体"/>
                <w:color w:val="000000"/>
                <w:kern w:val="0"/>
                <w:sz w:val="20"/>
                <w:szCs w:val="20"/>
              </w:rPr>
              <w:t>中文详细描述</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AH383A</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 Integrity BL870c i2服务器</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AH383A      001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 BL870c i2 C7000服务器</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AH387A</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安腾9340 四核处理器</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AH387A      0D1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工厂集成</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16</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AM327A</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8GB内存条（2x4GB）</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16</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AM327A      0D1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工厂集成</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AM239A</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 Integrity 集成RAID卡</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627117-B21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 300GB 6G SAS 15krpm 2.5英</w:t>
            </w:r>
            <w:r>
              <w:rPr>
                <w:rFonts w:hint="eastAsia" w:ascii="宋体" w:hAnsi="宋体" w:eastAsia="宋体" w:cs="宋体"/>
                <w:color w:val="000000"/>
                <w:kern w:val="0"/>
                <w:sz w:val="20"/>
                <w:szCs w:val="20"/>
              </w:rPr>
              <w:t>吋</w:t>
            </w:r>
            <w:r>
              <w:rPr>
                <w:rFonts w:hint="eastAsia" w:ascii="彩虹粗仿宋" w:hAnsi="彩虹粗仿宋" w:eastAsia="彩虹粗仿宋" w:cs="彩虹粗仿宋"/>
                <w:color w:val="000000"/>
                <w:kern w:val="0"/>
                <w:sz w:val="20"/>
                <w:szCs w:val="20"/>
              </w:rPr>
              <w:t>硬盘</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627117-B21  0D1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工厂集成</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451871-B21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 双口8Gb光纤通道主机适配卡</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451871-B21  0D1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工厂集成</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508226-B21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 P700M SAS控制器（支持512M高速缓存）</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508226-B21  0D1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工厂集成</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BA931AA</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HP-UX 11i v3操作系统介质</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BA931AA     0D1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工厂集成</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BA931AA     AJR</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操作系统DVD介质</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BA931AA     A53</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HP-UX 11i v3操作系统</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BA931AA     AB2</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中文说明</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BA931AC</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HP-UX 11i v3操作系统版权</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BA931AC     B01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包含完整系统</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BA931AC     444</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HP-UX 11iv3 DCOE 4socket使用许可</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AE459B</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 1U SAS 磁带机机架模块</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HA110A3</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 3年7x24支持服务</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HA110A3     1X8</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HP-UX 11iv3 DCOE 4socket/4Core支持服务</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HA110A3     6Y2</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BL870c i2机箱硬件支持服务</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HA110A3     6Y4</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四核处理器3年7x24支持服务</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HA110A3     8S2</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1U磁带机3年7x24支持服务</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Q1587B</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 DAT 160 SAS内置磁带机</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AE465A</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 SAS 4米线缆</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AT120A</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 Integrity USB外置DVD-RW光驱</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AD361C</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c7000刀片服务器机箱</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403626-B21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刀片服务器 4Gbps 光纤Pass Thru模块</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403626-B21  0D1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工厂集成</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2</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538113-B21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 10Gb刀片直通模块</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2</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538113-B21  0D1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工厂集成</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AJ864A</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 3Gb 刀片SAS交换机</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AJ864A      0D1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工厂集成</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32</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453151-B21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HP刀片机箱1Gb光纤SFP模块</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32</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453151-B21  0D1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工厂集成</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6</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588603-B21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 2400w热插拔电源模块</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6</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588603-B21  0D1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工厂集成</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6</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412140-B21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刀片服务器机箱单风扇</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6</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412140-B21  0D1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工厂集成</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456204-B21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c7000刀片机箱冗余 OA 板载管理模块</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456204-B21  0D1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工厂集成</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677595-B21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HP刀片单相智能电源配件</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HA110A3</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 3年7x24支持服务</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HA110A3     6Q6</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 Integrity刀片机箱硬件支持服务</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HA110A3     9LZ</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 3Gb 刀片SAS交换机支持服务</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2</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252663-B33</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32A高压PDU模块核心部分（不带扩展条）</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6</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AF584A</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 2.5m 16安培电源线缆</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AF500A</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 2, 7X C-13 内部堆叠模块化PDU</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HA113A1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HP安装服务</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3</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HA113A1     5BW</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安装小家电服务</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HA124A1</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HP安装&amp;项目启动服务</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HA124A1     56H</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c7000刀片服务器机箱启动服务</w:t>
            </w:r>
          </w:p>
        </w:tc>
      </w:tr>
      <w:tr>
        <w:tblPrEx>
          <w:tblCellMar>
            <w:top w:w="0" w:type="dxa"/>
            <w:left w:w="108" w:type="dxa"/>
            <w:bottom w:w="0" w:type="dxa"/>
            <w:right w:w="108" w:type="dxa"/>
          </w:tblCellMar>
        </w:tblPrEx>
        <w:trPr>
          <w:trHeight w:val="270" w:hRule="atLeast"/>
        </w:trPr>
        <w:tc>
          <w:tcPr>
            <w:tcW w:w="724" w:type="dxa"/>
            <w:tcBorders>
              <w:top w:val="nil"/>
              <w:left w:val="single" w:color="auto" w:sz="4" w:space="0"/>
              <w:bottom w:val="single" w:color="auto" w:sz="4" w:space="0"/>
              <w:right w:val="single" w:color="auto" w:sz="4" w:space="0"/>
            </w:tcBorders>
            <w:shd w:val="clear" w:color="000000" w:fill="FFFFFF"/>
            <w:noWrap/>
            <w:vAlign w:val="bottom"/>
          </w:tcPr>
          <w:p>
            <w:pPr>
              <w:widowControl/>
              <w:jc w:val="righ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1</w:t>
            </w:r>
          </w:p>
        </w:tc>
        <w:tc>
          <w:tcPr>
            <w:tcW w:w="1985"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HA124A1     54L</w:t>
            </w:r>
          </w:p>
        </w:tc>
        <w:tc>
          <w:tcPr>
            <w:tcW w:w="4677" w:type="dxa"/>
            <w:tcBorders>
              <w:top w:val="nil"/>
              <w:left w:val="nil"/>
              <w:bottom w:val="single" w:color="auto" w:sz="4" w:space="0"/>
              <w:right w:val="single" w:color="auto" w:sz="4" w:space="0"/>
            </w:tcBorders>
            <w:shd w:val="clear" w:color="000000" w:fill="FFFFFF"/>
            <w:noWrap/>
            <w:vAlign w:val="bottom"/>
          </w:tcPr>
          <w:p>
            <w:pPr>
              <w:widowControl/>
              <w:jc w:val="left"/>
              <w:rPr>
                <w:rFonts w:ascii="彩虹粗仿宋" w:hAnsi="Arial" w:eastAsia="彩虹粗仿宋" w:cs="Arial"/>
                <w:color w:val="000000"/>
                <w:kern w:val="0"/>
                <w:sz w:val="20"/>
                <w:szCs w:val="20"/>
              </w:rPr>
            </w:pPr>
            <w:r>
              <w:rPr>
                <w:rFonts w:hint="eastAsia" w:ascii="彩虹粗仿宋" w:hAnsi="Arial" w:eastAsia="彩虹粗仿宋" w:cs="Arial"/>
                <w:color w:val="000000"/>
                <w:kern w:val="0"/>
                <w:sz w:val="20"/>
                <w:szCs w:val="20"/>
              </w:rPr>
              <w:t>HP刀片SAN交换机启动服务</w:t>
            </w:r>
          </w:p>
        </w:tc>
      </w:tr>
    </w:tbl>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40" w:firstLineChars="100"/>
        <w:jc w:val="left"/>
        <w:rPr>
          <w:rFonts w:ascii="彩虹粗仿宋" w:hAnsi="宋体" w:eastAsia="彩虹粗仿宋" w:cs="Times New Roman"/>
          <w:color w:val="000000"/>
          <w:sz w:val="24"/>
          <w:szCs w:val="24"/>
        </w:rPr>
      </w:pPr>
    </w:p>
    <w:p>
      <w:pPr>
        <w:ind w:firstLine="640" w:firstLineChars="200"/>
        <w:rPr>
          <w:rFonts w:ascii="彩虹粗仿宋" w:hAnsi="Times New Roman" w:eastAsia="彩虹粗仿宋" w:cs="Times New Roman"/>
          <w:color w:val="000000"/>
          <w:sz w:val="32"/>
          <w:szCs w:val="32"/>
        </w:rPr>
      </w:pPr>
      <w:r>
        <w:rPr>
          <w:rFonts w:hint="eastAsia" w:ascii="彩虹粗仿宋" w:hAnsi="宋体" w:eastAsia="彩虹粗仿宋"/>
          <w:sz w:val="32"/>
          <w:szCs w:val="32"/>
        </w:rPr>
        <w:t>（2）</w:t>
      </w:r>
      <w:r>
        <w:rPr>
          <w:rFonts w:hint="eastAsia" w:ascii="彩虹粗仿宋" w:hAnsi="Times New Roman" w:eastAsia="彩虹粗仿宋" w:cs="Times New Roman"/>
          <w:color w:val="000000"/>
          <w:sz w:val="32"/>
          <w:szCs w:val="32"/>
        </w:rPr>
        <w:t>华为存储</w:t>
      </w:r>
      <w:r>
        <w:rPr>
          <w:rFonts w:hint="eastAsia" w:ascii="彩虹粗仿宋" w:hAnsi="Times New Roman" w:eastAsia="彩虹粗仿宋" w:cs="Times New Roman"/>
          <w:color w:val="000000"/>
          <w:sz w:val="28"/>
          <w:szCs w:val="28"/>
        </w:rPr>
        <w:t>S5600V3</w:t>
      </w:r>
      <w:r>
        <w:rPr>
          <w:rFonts w:hint="eastAsia" w:ascii="彩虹粗仿宋" w:hAnsi="Times New Roman" w:eastAsia="彩虹粗仿宋" w:cs="Times New Roman"/>
          <w:color w:val="000000"/>
          <w:sz w:val="32"/>
          <w:szCs w:val="32"/>
        </w:rPr>
        <w:t>设备配置清单：</w:t>
      </w:r>
      <w:r>
        <w:rPr>
          <w:rFonts w:ascii="彩虹粗仿宋" w:hAnsi="Times New Roman" w:eastAsia="彩虹粗仿宋" w:cs="Times New Roman"/>
          <w:color w:val="000000"/>
          <w:sz w:val="32"/>
          <w:szCs w:val="32"/>
        </w:rPr>
        <w:t xml:space="preserve"> </w:t>
      </w:r>
    </w:p>
    <w:tbl>
      <w:tblPr>
        <w:tblStyle w:val="15"/>
        <w:tblW w:w="8247" w:type="dxa"/>
        <w:tblInd w:w="93" w:type="dxa"/>
        <w:tblLayout w:type="autofit"/>
        <w:tblCellMar>
          <w:top w:w="0" w:type="dxa"/>
          <w:left w:w="108" w:type="dxa"/>
          <w:bottom w:w="0" w:type="dxa"/>
          <w:right w:w="108" w:type="dxa"/>
        </w:tblCellMar>
      </w:tblPr>
      <w:tblGrid>
        <w:gridCol w:w="1291"/>
        <w:gridCol w:w="1206"/>
        <w:gridCol w:w="5750"/>
      </w:tblGrid>
      <w:tr>
        <w:tblPrEx>
          <w:tblCellMar>
            <w:top w:w="0" w:type="dxa"/>
            <w:left w:w="108" w:type="dxa"/>
            <w:bottom w:w="0" w:type="dxa"/>
            <w:right w:w="108" w:type="dxa"/>
          </w:tblCellMar>
        </w:tblPrEx>
        <w:trPr>
          <w:trHeight w:val="609" w:hRule="atLeast"/>
        </w:trPr>
        <w:tc>
          <w:tcPr>
            <w:tcW w:w="1291" w:type="dxa"/>
            <w:tcBorders>
              <w:top w:val="single" w:color="auto" w:sz="4" w:space="0"/>
              <w:left w:val="single" w:color="auto" w:sz="4" w:space="0"/>
              <w:bottom w:val="single" w:color="auto" w:sz="4" w:space="0"/>
              <w:right w:val="single" w:color="auto" w:sz="4" w:space="0"/>
            </w:tcBorders>
            <w:shd w:val="clear" w:color="000000" w:fill="auto"/>
            <w:vAlign w:val="center"/>
          </w:tcPr>
          <w:p>
            <w:pPr>
              <w:widowControl/>
              <w:jc w:val="center"/>
              <w:rPr>
                <w:rFonts w:ascii="彩虹粗仿宋" w:hAnsi="微软雅黑" w:eastAsia="彩虹粗仿宋" w:cs="宋体"/>
                <w:b/>
                <w:bCs/>
                <w:color w:val="000000"/>
                <w:kern w:val="0"/>
                <w:sz w:val="24"/>
                <w:szCs w:val="24"/>
              </w:rPr>
            </w:pPr>
            <w:r>
              <w:rPr>
                <w:rFonts w:hint="eastAsia" w:ascii="彩虹粗仿宋" w:hAnsi="微软雅黑" w:eastAsia="彩虹粗仿宋" w:cs="宋体"/>
                <w:b/>
                <w:bCs/>
                <w:color w:val="000000"/>
                <w:kern w:val="0"/>
                <w:sz w:val="24"/>
                <w:szCs w:val="24"/>
              </w:rPr>
              <w:t>设备型号</w:t>
            </w:r>
          </w:p>
        </w:tc>
        <w:tc>
          <w:tcPr>
            <w:tcW w:w="1206" w:type="dxa"/>
            <w:tcBorders>
              <w:top w:val="single" w:color="auto" w:sz="4" w:space="0"/>
              <w:left w:val="nil"/>
              <w:bottom w:val="single" w:color="auto" w:sz="4" w:space="0"/>
              <w:right w:val="single" w:color="auto" w:sz="4" w:space="0"/>
            </w:tcBorders>
            <w:shd w:val="clear" w:color="000000" w:fill="auto"/>
            <w:vAlign w:val="center"/>
          </w:tcPr>
          <w:p>
            <w:pPr>
              <w:widowControl/>
              <w:jc w:val="center"/>
              <w:rPr>
                <w:rFonts w:ascii="彩虹粗仿宋" w:hAnsi="微软雅黑" w:eastAsia="彩虹粗仿宋" w:cs="宋体"/>
                <w:b/>
                <w:bCs/>
                <w:color w:val="000000"/>
                <w:kern w:val="0"/>
                <w:sz w:val="24"/>
                <w:szCs w:val="24"/>
              </w:rPr>
            </w:pPr>
            <w:r>
              <w:rPr>
                <w:rFonts w:hint="eastAsia" w:ascii="彩虹粗仿宋" w:hAnsi="微软雅黑" w:eastAsia="彩虹粗仿宋" w:cs="宋体"/>
                <w:b/>
                <w:bCs/>
                <w:color w:val="000000"/>
                <w:kern w:val="0"/>
                <w:sz w:val="24"/>
                <w:szCs w:val="24"/>
              </w:rPr>
              <w:t>配置概要</w:t>
            </w:r>
          </w:p>
        </w:tc>
        <w:tc>
          <w:tcPr>
            <w:tcW w:w="5750" w:type="dxa"/>
            <w:tcBorders>
              <w:top w:val="single" w:color="auto" w:sz="4" w:space="0"/>
              <w:left w:val="nil"/>
              <w:bottom w:val="single" w:color="auto" w:sz="4" w:space="0"/>
              <w:right w:val="single" w:color="auto" w:sz="4" w:space="0"/>
            </w:tcBorders>
            <w:shd w:val="clear" w:color="000000" w:fill="auto"/>
            <w:vAlign w:val="center"/>
          </w:tcPr>
          <w:p>
            <w:pPr>
              <w:widowControl/>
              <w:jc w:val="center"/>
              <w:rPr>
                <w:rFonts w:ascii="彩虹粗仿宋" w:hAnsi="微软雅黑" w:eastAsia="彩虹粗仿宋" w:cs="宋体"/>
                <w:b/>
                <w:bCs/>
                <w:color w:val="000000"/>
                <w:kern w:val="0"/>
                <w:sz w:val="24"/>
                <w:szCs w:val="24"/>
              </w:rPr>
            </w:pPr>
            <w:r>
              <w:rPr>
                <w:rFonts w:hint="eastAsia" w:ascii="彩虹粗仿宋" w:hAnsi="微软雅黑" w:eastAsia="彩虹粗仿宋" w:cs="宋体"/>
                <w:b/>
                <w:bCs/>
                <w:color w:val="000000"/>
                <w:kern w:val="0"/>
                <w:sz w:val="24"/>
                <w:szCs w:val="24"/>
              </w:rPr>
              <w:t>框架配置</w:t>
            </w:r>
          </w:p>
        </w:tc>
      </w:tr>
      <w:tr>
        <w:tblPrEx>
          <w:tblCellMar>
            <w:top w:w="0" w:type="dxa"/>
            <w:left w:w="108" w:type="dxa"/>
            <w:bottom w:w="0" w:type="dxa"/>
            <w:right w:w="108" w:type="dxa"/>
          </w:tblCellMar>
        </w:tblPrEx>
        <w:trPr>
          <w:trHeight w:val="2741" w:hRule="atLeast"/>
        </w:trPr>
        <w:tc>
          <w:tcPr>
            <w:tcW w:w="1291"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彩虹粗仿宋" w:hAnsi="微软雅黑" w:eastAsia="彩虹粗仿宋" w:cs="宋体"/>
                <w:color w:val="000000"/>
                <w:kern w:val="0"/>
                <w:sz w:val="24"/>
                <w:szCs w:val="24"/>
              </w:rPr>
            </w:pPr>
            <w:r>
              <w:rPr>
                <w:rFonts w:hint="eastAsia" w:ascii="彩虹粗仿宋" w:hAnsi="微软雅黑" w:eastAsia="彩虹粗仿宋" w:cs="宋体"/>
                <w:color w:val="000000"/>
                <w:kern w:val="0"/>
                <w:sz w:val="24"/>
                <w:szCs w:val="24"/>
              </w:rPr>
              <w:t>华为S5600V3</w:t>
            </w:r>
          </w:p>
        </w:tc>
        <w:tc>
          <w:tcPr>
            <w:tcW w:w="1206"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彩虹粗仿宋" w:hAnsi="微软雅黑" w:eastAsia="彩虹粗仿宋" w:cs="宋体"/>
                <w:color w:val="000000"/>
                <w:kern w:val="0"/>
                <w:sz w:val="24"/>
                <w:szCs w:val="24"/>
              </w:rPr>
            </w:pPr>
            <w:r>
              <w:rPr>
                <w:rFonts w:hint="eastAsia" w:ascii="彩虹粗仿宋" w:hAnsi="微软雅黑" w:eastAsia="彩虹粗仿宋" w:cs="宋体"/>
                <w:color w:val="000000"/>
                <w:kern w:val="0"/>
                <w:sz w:val="24"/>
                <w:szCs w:val="24"/>
              </w:rPr>
              <w:t>分行存储标准化</w:t>
            </w:r>
            <w:r>
              <w:rPr>
                <w:rFonts w:hint="eastAsia" w:ascii="彩虹粗仿宋" w:hAnsi="微软雅黑" w:eastAsia="彩虹粗仿宋" w:cs="宋体"/>
                <w:color w:val="000000"/>
                <w:kern w:val="0"/>
                <w:sz w:val="24"/>
                <w:szCs w:val="24"/>
              </w:rPr>
              <w:br w:type="textWrapping"/>
            </w:r>
            <w:r>
              <w:rPr>
                <w:rFonts w:hint="eastAsia" w:ascii="彩虹粗仿宋" w:hAnsi="微软雅黑" w:eastAsia="彩虹粗仿宋" w:cs="宋体"/>
                <w:color w:val="000000"/>
                <w:kern w:val="0"/>
                <w:sz w:val="24"/>
                <w:szCs w:val="24"/>
              </w:rPr>
              <w:t>197T</w:t>
            </w:r>
          </w:p>
        </w:tc>
        <w:tc>
          <w:tcPr>
            <w:tcW w:w="5750" w:type="dxa"/>
            <w:tcBorders>
              <w:top w:val="single" w:color="auto" w:sz="4" w:space="0"/>
              <w:left w:val="nil"/>
              <w:bottom w:val="single" w:color="auto" w:sz="4" w:space="0"/>
              <w:right w:val="single" w:color="auto" w:sz="4" w:space="0"/>
            </w:tcBorders>
            <w:shd w:val="clear" w:color="000000" w:fill="auto"/>
            <w:vAlign w:val="center"/>
          </w:tcPr>
          <w:p>
            <w:pPr>
              <w:widowControl/>
              <w:jc w:val="left"/>
              <w:rPr>
                <w:rFonts w:ascii="彩虹粗仿宋" w:hAnsi="微软雅黑" w:eastAsia="彩虹粗仿宋" w:cs="宋体"/>
                <w:color w:val="000000"/>
                <w:kern w:val="0"/>
                <w:sz w:val="24"/>
                <w:szCs w:val="24"/>
              </w:rPr>
            </w:pPr>
            <w:r>
              <w:rPr>
                <w:rFonts w:hint="eastAsia" w:ascii="彩虹粗仿宋" w:hAnsi="微软雅黑" w:eastAsia="彩虹粗仿宋" w:cs="宋体"/>
                <w:color w:val="000000"/>
                <w:kern w:val="0"/>
                <w:sz w:val="24"/>
                <w:szCs w:val="24"/>
              </w:rPr>
              <w:t>1. 存储容量：197TB（裸容量）。</w:t>
            </w:r>
            <w:r>
              <w:rPr>
                <w:rFonts w:hint="eastAsia" w:ascii="彩虹粗仿宋" w:hAnsi="微软雅黑" w:eastAsia="彩虹粗仿宋" w:cs="宋体"/>
                <w:color w:val="000000"/>
                <w:kern w:val="0"/>
                <w:sz w:val="24"/>
                <w:szCs w:val="24"/>
              </w:rPr>
              <w:br w:type="textWrapping"/>
            </w:r>
            <w:r>
              <w:rPr>
                <w:rFonts w:hint="eastAsia" w:ascii="彩虹粗仿宋" w:hAnsi="微软雅黑" w:eastAsia="彩虹粗仿宋" w:cs="宋体"/>
                <w:color w:val="000000"/>
                <w:kern w:val="0"/>
                <w:sz w:val="24"/>
                <w:szCs w:val="24"/>
              </w:rPr>
              <w:t>2. 磁盘数量及类型：336块600G 10K SAS 磁盘。</w:t>
            </w:r>
            <w:r>
              <w:rPr>
                <w:rFonts w:hint="eastAsia" w:ascii="彩虹粗仿宋" w:hAnsi="微软雅黑" w:eastAsia="彩虹粗仿宋" w:cs="宋体"/>
                <w:color w:val="000000"/>
                <w:kern w:val="0"/>
                <w:sz w:val="24"/>
                <w:szCs w:val="24"/>
              </w:rPr>
              <w:br w:type="textWrapping"/>
            </w:r>
            <w:r>
              <w:rPr>
                <w:rFonts w:hint="eastAsia" w:ascii="彩虹粗仿宋" w:hAnsi="微软雅黑" w:eastAsia="彩虹粗仿宋" w:cs="宋体"/>
                <w:color w:val="000000"/>
                <w:kern w:val="0"/>
                <w:sz w:val="24"/>
                <w:szCs w:val="24"/>
              </w:rPr>
              <w:t>3. 处理单元：2控制器</w:t>
            </w:r>
            <w:r>
              <w:rPr>
                <w:rFonts w:hint="eastAsia" w:ascii="彩虹粗仿宋" w:hAnsi="微软雅黑" w:eastAsia="彩虹粗仿宋" w:cs="宋体"/>
                <w:color w:val="000000"/>
                <w:kern w:val="0"/>
                <w:sz w:val="24"/>
                <w:szCs w:val="24"/>
              </w:rPr>
              <w:br w:type="textWrapping"/>
            </w:r>
            <w:r>
              <w:rPr>
                <w:rFonts w:hint="eastAsia" w:ascii="彩虹粗仿宋" w:hAnsi="微软雅黑" w:eastAsia="彩虹粗仿宋" w:cs="宋体"/>
                <w:color w:val="000000"/>
                <w:kern w:val="0"/>
                <w:sz w:val="24"/>
                <w:szCs w:val="24"/>
              </w:rPr>
              <w:t>4. 端口：8个8GB 前端光纤通道接口。</w:t>
            </w:r>
            <w:r>
              <w:rPr>
                <w:rFonts w:hint="eastAsia" w:ascii="彩虹粗仿宋" w:hAnsi="微软雅黑" w:eastAsia="彩虹粗仿宋" w:cs="宋体"/>
                <w:color w:val="000000"/>
                <w:kern w:val="0"/>
                <w:sz w:val="24"/>
                <w:szCs w:val="24"/>
              </w:rPr>
              <w:br w:type="textWrapping"/>
            </w:r>
            <w:r>
              <w:rPr>
                <w:rFonts w:hint="eastAsia" w:ascii="彩虹粗仿宋" w:hAnsi="微软雅黑" w:eastAsia="彩虹粗仿宋" w:cs="宋体"/>
                <w:color w:val="000000"/>
                <w:kern w:val="0"/>
                <w:sz w:val="24"/>
                <w:szCs w:val="24"/>
              </w:rPr>
              <w:t>5. 缓存：128G数据缓存。</w:t>
            </w:r>
            <w:r>
              <w:rPr>
                <w:rFonts w:hint="eastAsia" w:ascii="彩虹粗仿宋" w:hAnsi="微软雅黑" w:eastAsia="彩虹粗仿宋" w:cs="宋体"/>
                <w:color w:val="000000"/>
                <w:kern w:val="0"/>
                <w:sz w:val="24"/>
                <w:szCs w:val="24"/>
              </w:rPr>
              <w:br w:type="textWrapping"/>
            </w:r>
            <w:r>
              <w:rPr>
                <w:rFonts w:hint="eastAsia" w:ascii="彩虹粗仿宋" w:hAnsi="微软雅黑" w:eastAsia="彩虹粗仿宋" w:cs="宋体"/>
                <w:color w:val="000000"/>
                <w:kern w:val="0"/>
                <w:sz w:val="24"/>
                <w:szCs w:val="24"/>
              </w:rPr>
              <w:t>6. 软件：①存储管理软件及许可；②性能分析软件及许可；③负载均衡软件及许可；④精简配置软件及许可；⑤多路径管理软件；</w:t>
            </w:r>
            <w:r>
              <w:rPr>
                <w:rFonts w:hint="eastAsia" w:ascii="彩虹粗仿宋" w:hAnsi="微软雅黑" w:eastAsia="彩虹粗仿宋" w:cs="宋体"/>
                <w:color w:val="000000"/>
                <w:kern w:val="0"/>
                <w:sz w:val="24"/>
                <w:szCs w:val="24"/>
              </w:rPr>
              <w:br w:type="textWrapping"/>
            </w:r>
            <w:r>
              <w:rPr>
                <w:rFonts w:hint="eastAsia" w:ascii="彩虹粗仿宋" w:hAnsi="微软雅黑" w:eastAsia="彩虹粗仿宋" w:cs="宋体"/>
                <w:color w:val="000000"/>
                <w:kern w:val="0"/>
                <w:sz w:val="24"/>
                <w:szCs w:val="24"/>
              </w:rPr>
              <w:t>7. 服务：①基础软硬件安装、配置、调试实施服务；②3年7*24小时保修服务，包括现场和热线支持服务；③数据迁移服务。</w:t>
            </w:r>
          </w:p>
        </w:tc>
      </w:tr>
    </w:tbl>
    <w:p>
      <w:pPr>
        <w:spacing w:line="360" w:lineRule="auto"/>
        <w:ind w:firstLine="560" w:firstLineChars="200"/>
        <w:rPr>
          <w:rFonts w:ascii="彩虹粗仿宋" w:hAnsi="仿宋" w:eastAsia="彩虹粗仿宋" w:cs="宋体"/>
          <w:color w:val="000000"/>
          <w:kern w:val="0"/>
          <w:sz w:val="28"/>
          <w:szCs w:val="28"/>
        </w:rPr>
      </w:pPr>
      <w:r>
        <w:rPr>
          <w:rFonts w:hint="eastAsia" w:ascii="彩虹粗仿宋" w:hAnsi="仿宋" w:eastAsia="彩虹粗仿宋" w:cs="宋体"/>
          <w:color w:val="000000"/>
          <w:kern w:val="0"/>
          <w:sz w:val="28"/>
          <w:szCs w:val="28"/>
        </w:rPr>
        <w:t>具体配置：</w:t>
      </w:r>
    </w:p>
    <w:tbl>
      <w:tblPr>
        <w:tblStyle w:val="15"/>
        <w:tblW w:w="8136" w:type="dxa"/>
        <w:tblInd w:w="93" w:type="dxa"/>
        <w:tblLayout w:type="autofit"/>
        <w:tblCellMar>
          <w:top w:w="0" w:type="dxa"/>
          <w:left w:w="108" w:type="dxa"/>
          <w:bottom w:w="0" w:type="dxa"/>
          <w:right w:w="108" w:type="dxa"/>
        </w:tblCellMar>
      </w:tblPr>
      <w:tblGrid>
        <w:gridCol w:w="960"/>
        <w:gridCol w:w="6216"/>
        <w:gridCol w:w="960"/>
      </w:tblGrid>
      <w:tr>
        <w:tblPrEx>
          <w:tblCellMar>
            <w:top w:w="0" w:type="dxa"/>
            <w:left w:w="108" w:type="dxa"/>
            <w:bottom w:w="0" w:type="dxa"/>
            <w:right w:w="108" w:type="dxa"/>
          </w:tblCellMar>
        </w:tblPrEx>
        <w:trPr>
          <w:trHeight w:val="288" w:hRule="atLeast"/>
        </w:trPr>
        <w:tc>
          <w:tcPr>
            <w:tcW w:w="960" w:type="dxa"/>
            <w:tcBorders>
              <w:top w:val="single" w:color="auto" w:sz="4" w:space="0"/>
              <w:left w:val="single" w:color="auto" w:sz="4" w:space="0"/>
              <w:bottom w:val="single" w:color="auto" w:sz="4" w:space="0"/>
              <w:right w:val="single" w:color="auto" w:sz="4" w:space="0"/>
            </w:tcBorders>
            <w:shd w:val="clear" w:color="000000" w:fill="FFFFFF"/>
            <w:noWrap/>
            <w:vAlign w:val="center"/>
          </w:tcPr>
          <w:p>
            <w:pPr>
              <w:widowControl/>
              <w:jc w:val="center"/>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5600 V3</w:t>
            </w:r>
          </w:p>
        </w:tc>
        <w:tc>
          <w:tcPr>
            <w:tcW w:w="6216" w:type="dxa"/>
            <w:tcBorders>
              <w:top w:val="single" w:color="auto" w:sz="4" w:space="0"/>
              <w:left w:val="nil"/>
              <w:bottom w:val="single" w:color="auto" w:sz="4" w:space="0"/>
              <w:right w:val="single" w:color="auto" w:sz="4" w:space="0"/>
            </w:tcBorders>
            <w:shd w:val="clear" w:color="000000" w:fill="FFFFFF"/>
            <w:vAlign w:val="center"/>
          </w:tcPr>
          <w:p>
            <w:pPr>
              <w:widowControl/>
              <w:jc w:val="center"/>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型号</w:t>
            </w:r>
          </w:p>
        </w:tc>
        <w:tc>
          <w:tcPr>
            <w:tcW w:w="960" w:type="dxa"/>
            <w:tcBorders>
              <w:top w:val="single" w:color="auto" w:sz="4" w:space="0"/>
              <w:left w:val="nil"/>
              <w:bottom w:val="single" w:color="auto" w:sz="4" w:space="0"/>
              <w:right w:val="single" w:color="auto" w:sz="4" w:space="0"/>
            </w:tcBorders>
            <w:shd w:val="clear" w:color="000000" w:fill="FFFFFF"/>
            <w:noWrap/>
            <w:vAlign w:val="center"/>
          </w:tcPr>
          <w:p>
            <w:pPr>
              <w:widowControl/>
              <w:jc w:val="center"/>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数量</w:t>
            </w:r>
          </w:p>
        </w:tc>
      </w:tr>
      <w:tr>
        <w:tblPrEx>
          <w:tblCellMar>
            <w:top w:w="0" w:type="dxa"/>
            <w:left w:w="108" w:type="dxa"/>
            <w:bottom w:w="0" w:type="dxa"/>
            <w:right w:w="108" w:type="dxa"/>
          </w:tblCellMar>
        </w:tblPrEx>
        <w:trPr>
          <w:trHeight w:val="720" w:hRule="atLeast"/>
        </w:trPr>
        <w:tc>
          <w:tcPr>
            <w:tcW w:w="960" w:type="dxa"/>
            <w:tcBorders>
              <w:top w:val="nil"/>
              <w:left w:val="single" w:color="auto" w:sz="4" w:space="0"/>
              <w:bottom w:val="single" w:color="auto" w:sz="4" w:space="0"/>
              <w:right w:val="single" w:color="auto" w:sz="4" w:space="0"/>
            </w:tcBorders>
            <w:shd w:val="clear" w:color="000000" w:fill="FFFFFF"/>
            <w:noWrap/>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部件1</w:t>
            </w:r>
          </w:p>
        </w:tc>
        <w:tc>
          <w:tcPr>
            <w:tcW w:w="6216" w:type="dxa"/>
            <w:tcBorders>
              <w:top w:val="nil"/>
              <w:left w:val="nil"/>
              <w:bottom w:val="single" w:color="auto" w:sz="4" w:space="0"/>
              <w:right w:val="single" w:color="auto" w:sz="4" w:space="0"/>
            </w:tcBorders>
            <w:shd w:val="clear" w:color="000000" w:fill="FFFFFF"/>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5600 V3控制框(3U,双控,交流,128GB缓存,8*8Gb FC前端接口,8*4*12Gb 后端通道)</w:t>
            </w:r>
          </w:p>
        </w:tc>
        <w:tc>
          <w:tcPr>
            <w:tcW w:w="960" w:type="dxa"/>
            <w:tcBorders>
              <w:top w:val="nil"/>
              <w:left w:val="nil"/>
              <w:bottom w:val="single" w:color="auto" w:sz="4" w:space="0"/>
              <w:right w:val="single" w:color="auto" w:sz="4" w:space="0"/>
            </w:tcBorders>
            <w:shd w:val="clear" w:color="000000" w:fill="FFFFFF"/>
            <w:noWrap/>
            <w:vAlign w:val="center"/>
          </w:tcPr>
          <w:p>
            <w:pPr>
              <w:widowControl/>
              <w:jc w:val="righ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1</w:t>
            </w:r>
          </w:p>
        </w:tc>
      </w:tr>
      <w:tr>
        <w:tblPrEx>
          <w:tblCellMar>
            <w:top w:w="0" w:type="dxa"/>
            <w:left w:w="108" w:type="dxa"/>
            <w:bottom w:w="0" w:type="dxa"/>
            <w:right w:w="108" w:type="dxa"/>
          </w:tblCellMar>
        </w:tblPrEx>
        <w:trPr>
          <w:trHeight w:val="480" w:hRule="atLeast"/>
        </w:trPr>
        <w:tc>
          <w:tcPr>
            <w:tcW w:w="960" w:type="dxa"/>
            <w:tcBorders>
              <w:top w:val="nil"/>
              <w:left w:val="single" w:color="auto" w:sz="4" w:space="0"/>
              <w:bottom w:val="single" w:color="auto" w:sz="4" w:space="0"/>
              <w:right w:val="single" w:color="auto" w:sz="4" w:space="0"/>
            </w:tcBorders>
            <w:shd w:val="clear" w:color="000000" w:fill="FFFFFF"/>
            <w:noWrap/>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部件2</w:t>
            </w:r>
          </w:p>
        </w:tc>
        <w:tc>
          <w:tcPr>
            <w:tcW w:w="6216" w:type="dxa"/>
            <w:tcBorders>
              <w:top w:val="nil"/>
              <w:left w:val="nil"/>
              <w:bottom w:val="single" w:color="auto" w:sz="4" w:space="0"/>
              <w:right w:val="single" w:color="auto" w:sz="4" w:space="0"/>
            </w:tcBorders>
            <w:shd w:val="clear" w:color="000000" w:fill="FFFFFF"/>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600GB 10K RPM SAS硬盘单元(2.5")-5600 V3</w:t>
            </w:r>
          </w:p>
        </w:tc>
        <w:tc>
          <w:tcPr>
            <w:tcW w:w="960" w:type="dxa"/>
            <w:tcBorders>
              <w:top w:val="nil"/>
              <w:left w:val="nil"/>
              <w:bottom w:val="single" w:color="auto" w:sz="4" w:space="0"/>
              <w:right w:val="single" w:color="auto" w:sz="4" w:space="0"/>
            </w:tcBorders>
            <w:shd w:val="clear" w:color="000000" w:fill="FFFFFF"/>
            <w:noWrap/>
            <w:vAlign w:val="center"/>
          </w:tcPr>
          <w:p>
            <w:pPr>
              <w:widowControl/>
              <w:jc w:val="righ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336</w:t>
            </w:r>
          </w:p>
        </w:tc>
      </w:tr>
      <w:tr>
        <w:tblPrEx>
          <w:tblCellMar>
            <w:top w:w="0" w:type="dxa"/>
            <w:left w:w="108" w:type="dxa"/>
            <w:bottom w:w="0" w:type="dxa"/>
            <w:right w:w="108" w:type="dxa"/>
          </w:tblCellMar>
        </w:tblPrEx>
        <w:trPr>
          <w:trHeight w:val="480" w:hRule="atLeast"/>
        </w:trPr>
        <w:tc>
          <w:tcPr>
            <w:tcW w:w="960" w:type="dxa"/>
            <w:tcBorders>
              <w:top w:val="nil"/>
              <w:left w:val="single" w:color="auto" w:sz="4" w:space="0"/>
              <w:bottom w:val="single" w:color="auto" w:sz="4" w:space="0"/>
              <w:right w:val="single" w:color="auto" w:sz="4" w:space="0"/>
            </w:tcBorders>
            <w:shd w:val="clear" w:color="000000" w:fill="FFFFFF"/>
            <w:noWrap/>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部件3</w:t>
            </w:r>
          </w:p>
        </w:tc>
        <w:tc>
          <w:tcPr>
            <w:tcW w:w="6216" w:type="dxa"/>
            <w:tcBorders>
              <w:top w:val="nil"/>
              <w:left w:val="nil"/>
              <w:bottom w:val="single" w:color="auto" w:sz="4" w:space="0"/>
              <w:right w:val="single" w:color="auto" w:sz="4" w:space="0"/>
            </w:tcBorders>
            <w:shd w:val="clear" w:color="000000" w:fill="FFFFFF"/>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硬盘框(2U,2.5寸,交流,SAS级联模块,不包含硬盘单元)-5600 V3</w:t>
            </w:r>
          </w:p>
        </w:tc>
        <w:tc>
          <w:tcPr>
            <w:tcW w:w="960" w:type="dxa"/>
            <w:tcBorders>
              <w:top w:val="nil"/>
              <w:left w:val="nil"/>
              <w:bottom w:val="single" w:color="auto" w:sz="4" w:space="0"/>
              <w:right w:val="single" w:color="auto" w:sz="4" w:space="0"/>
            </w:tcBorders>
            <w:shd w:val="clear" w:color="000000" w:fill="FFFFFF"/>
            <w:noWrap/>
            <w:vAlign w:val="center"/>
          </w:tcPr>
          <w:p>
            <w:pPr>
              <w:widowControl/>
              <w:jc w:val="righ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14</w:t>
            </w:r>
          </w:p>
        </w:tc>
      </w:tr>
      <w:tr>
        <w:tblPrEx>
          <w:tblCellMar>
            <w:top w:w="0" w:type="dxa"/>
            <w:left w:w="108" w:type="dxa"/>
            <w:bottom w:w="0" w:type="dxa"/>
            <w:right w:w="108" w:type="dxa"/>
          </w:tblCellMar>
        </w:tblPrEx>
        <w:trPr>
          <w:trHeight w:val="480" w:hRule="atLeast"/>
        </w:trPr>
        <w:tc>
          <w:tcPr>
            <w:tcW w:w="960" w:type="dxa"/>
            <w:tcBorders>
              <w:top w:val="nil"/>
              <w:left w:val="single" w:color="auto" w:sz="4" w:space="0"/>
              <w:bottom w:val="single" w:color="auto" w:sz="4" w:space="0"/>
              <w:right w:val="single" w:color="auto" w:sz="4" w:space="0"/>
            </w:tcBorders>
            <w:shd w:val="clear" w:color="000000" w:fill="FFFFFF"/>
            <w:noWrap/>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部件4</w:t>
            </w:r>
          </w:p>
        </w:tc>
        <w:tc>
          <w:tcPr>
            <w:tcW w:w="6216" w:type="dxa"/>
            <w:tcBorders>
              <w:top w:val="nil"/>
              <w:left w:val="nil"/>
              <w:bottom w:val="single" w:color="auto" w:sz="4" w:space="0"/>
              <w:right w:val="single" w:color="auto" w:sz="4" w:space="0"/>
            </w:tcBorders>
            <w:shd w:val="clear" w:color="000000" w:fill="FFFFFF"/>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光跳线-DLC/PC-DLC/PC-多模-A1B-2mm-3m</w:t>
            </w:r>
          </w:p>
        </w:tc>
        <w:tc>
          <w:tcPr>
            <w:tcW w:w="960" w:type="dxa"/>
            <w:tcBorders>
              <w:top w:val="nil"/>
              <w:left w:val="nil"/>
              <w:bottom w:val="single" w:color="auto" w:sz="4" w:space="0"/>
              <w:right w:val="single" w:color="auto" w:sz="4" w:space="0"/>
            </w:tcBorders>
            <w:shd w:val="clear" w:color="000000" w:fill="FFFFFF"/>
            <w:noWrap/>
            <w:vAlign w:val="center"/>
          </w:tcPr>
          <w:p>
            <w:pPr>
              <w:widowControl/>
              <w:jc w:val="righ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8</w:t>
            </w:r>
          </w:p>
        </w:tc>
      </w:tr>
      <w:tr>
        <w:tblPrEx>
          <w:tblCellMar>
            <w:top w:w="0" w:type="dxa"/>
            <w:left w:w="108" w:type="dxa"/>
            <w:bottom w:w="0" w:type="dxa"/>
            <w:right w:w="108" w:type="dxa"/>
          </w:tblCellMar>
        </w:tblPrEx>
        <w:trPr>
          <w:trHeight w:val="720" w:hRule="atLeast"/>
        </w:trPr>
        <w:tc>
          <w:tcPr>
            <w:tcW w:w="960" w:type="dxa"/>
            <w:tcBorders>
              <w:top w:val="nil"/>
              <w:left w:val="single" w:color="auto" w:sz="4" w:space="0"/>
              <w:bottom w:val="single" w:color="auto" w:sz="4" w:space="0"/>
              <w:right w:val="single" w:color="auto" w:sz="4" w:space="0"/>
            </w:tcBorders>
            <w:shd w:val="clear" w:color="000000" w:fill="FFFFFF"/>
            <w:noWrap/>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部件5</w:t>
            </w:r>
          </w:p>
        </w:tc>
        <w:tc>
          <w:tcPr>
            <w:tcW w:w="6216" w:type="dxa"/>
            <w:tcBorders>
              <w:top w:val="nil"/>
              <w:left w:val="nil"/>
              <w:bottom w:val="single" w:color="auto" w:sz="4" w:space="0"/>
              <w:right w:val="single" w:color="auto" w:sz="4" w:space="0"/>
            </w:tcBorders>
            <w:shd w:val="clear" w:color="000000" w:fill="FFFFFF"/>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高速电缆-Mini SAS HD Cable-5m-(SFF 8644 Plug)-(26AWG*4P*2黑(S))-(SFF 8644 Plug)-室内用</w:t>
            </w:r>
          </w:p>
        </w:tc>
        <w:tc>
          <w:tcPr>
            <w:tcW w:w="960" w:type="dxa"/>
            <w:tcBorders>
              <w:top w:val="nil"/>
              <w:left w:val="nil"/>
              <w:bottom w:val="single" w:color="auto" w:sz="4" w:space="0"/>
              <w:right w:val="single" w:color="auto" w:sz="4" w:space="0"/>
            </w:tcBorders>
            <w:shd w:val="clear" w:color="000000" w:fill="FFFFFF"/>
            <w:noWrap/>
            <w:vAlign w:val="center"/>
          </w:tcPr>
          <w:p>
            <w:pPr>
              <w:widowControl/>
              <w:jc w:val="righ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3</w:t>
            </w:r>
          </w:p>
        </w:tc>
      </w:tr>
      <w:tr>
        <w:tblPrEx>
          <w:tblCellMar>
            <w:top w:w="0" w:type="dxa"/>
            <w:left w:w="108" w:type="dxa"/>
            <w:bottom w:w="0" w:type="dxa"/>
            <w:right w:w="108" w:type="dxa"/>
          </w:tblCellMar>
        </w:tblPrEx>
        <w:trPr>
          <w:trHeight w:val="288" w:hRule="atLeast"/>
        </w:trPr>
        <w:tc>
          <w:tcPr>
            <w:tcW w:w="960" w:type="dxa"/>
            <w:tcBorders>
              <w:top w:val="nil"/>
              <w:left w:val="single" w:color="auto" w:sz="4" w:space="0"/>
              <w:bottom w:val="single" w:color="auto" w:sz="4" w:space="0"/>
              <w:right w:val="single" w:color="auto" w:sz="4" w:space="0"/>
            </w:tcBorders>
            <w:shd w:val="clear" w:color="000000" w:fill="FFFFFF"/>
            <w:noWrap/>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部件6</w:t>
            </w:r>
          </w:p>
        </w:tc>
        <w:tc>
          <w:tcPr>
            <w:tcW w:w="6216" w:type="dxa"/>
            <w:tcBorders>
              <w:top w:val="nil"/>
              <w:left w:val="nil"/>
              <w:bottom w:val="single" w:color="auto" w:sz="4" w:space="0"/>
              <w:right w:val="single" w:color="auto" w:sz="4" w:space="0"/>
            </w:tcBorders>
            <w:shd w:val="clear" w:color="000000" w:fill="FFFFFF"/>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SAS模块</w:t>
            </w:r>
          </w:p>
        </w:tc>
        <w:tc>
          <w:tcPr>
            <w:tcW w:w="960" w:type="dxa"/>
            <w:tcBorders>
              <w:top w:val="nil"/>
              <w:left w:val="nil"/>
              <w:bottom w:val="single" w:color="auto" w:sz="4" w:space="0"/>
              <w:right w:val="single" w:color="auto" w:sz="4" w:space="0"/>
            </w:tcBorders>
            <w:shd w:val="clear" w:color="000000" w:fill="FFFFFF"/>
            <w:noWrap/>
            <w:vAlign w:val="center"/>
          </w:tcPr>
          <w:p>
            <w:pPr>
              <w:widowControl/>
              <w:jc w:val="righ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2</w:t>
            </w:r>
          </w:p>
        </w:tc>
      </w:tr>
      <w:tr>
        <w:tblPrEx>
          <w:tblCellMar>
            <w:top w:w="0" w:type="dxa"/>
            <w:left w:w="108" w:type="dxa"/>
            <w:bottom w:w="0" w:type="dxa"/>
            <w:right w:w="108" w:type="dxa"/>
          </w:tblCellMar>
        </w:tblPrEx>
        <w:trPr>
          <w:trHeight w:val="288" w:hRule="atLeast"/>
        </w:trPr>
        <w:tc>
          <w:tcPr>
            <w:tcW w:w="960" w:type="dxa"/>
            <w:tcBorders>
              <w:top w:val="nil"/>
              <w:left w:val="single" w:color="auto" w:sz="4" w:space="0"/>
              <w:bottom w:val="single" w:color="auto" w:sz="4" w:space="0"/>
              <w:right w:val="single" w:color="auto" w:sz="4" w:space="0"/>
            </w:tcBorders>
            <w:shd w:val="clear" w:color="000000" w:fill="FFFFFF"/>
            <w:noWrap/>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部件7</w:t>
            </w:r>
          </w:p>
        </w:tc>
        <w:tc>
          <w:tcPr>
            <w:tcW w:w="6216" w:type="dxa"/>
            <w:tcBorders>
              <w:top w:val="nil"/>
              <w:left w:val="nil"/>
              <w:bottom w:val="single" w:color="auto" w:sz="4" w:space="0"/>
              <w:right w:val="single" w:color="auto" w:sz="4" w:space="0"/>
            </w:tcBorders>
            <w:shd w:val="clear" w:color="000000" w:fill="FFFFFF"/>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调制解调器(无线GPRS,48Kbps,无线接口)</w:t>
            </w:r>
          </w:p>
        </w:tc>
        <w:tc>
          <w:tcPr>
            <w:tcW w:w="960" w:type="dxa"/>
            <w:tcBorders>
              <w:top w:val="nil"/>
              <w:left w:val="nil"/>
              <w:bottom w:val="single" w:color="auto" w:sz="4" w:space="0"/>
              <w:right w:val="single" w:color="auto" w:sz="4" w:space="0"/>
            </w:tcBorders>
            <w:shd w:val="clear" w:color="000000" w:fill="FFFFFF"/>
            <w:noWrap/>
            <w:vAlign w:val="center"/>
          </w:tcPr>
          <w:p>
            <w:pPr>
              <w:widowControl/>
              <w:jc w:val="righ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1</w:t>
            </w:r>
          </w:p>
        </w:tc>
      </w:tr>
      <w:tr>
        <w:tblPrEx>
          <w:tblCellMar>
            <w:top w:w="0" w:type="dxa"/>
            <w:left w:w="108" w:type="dxa"/>
            <w:bottom w:w="0" w:type="dxa"/>
            <w:right w:w="108" w:type="dxa"/>
          </w:tblCellMar>
        </w:tblPrEx>
        <w:trPr>
          <w:trHeight w:val="480" w:hRule="atLeast"/>
        </w:trPr>
        <w:tc>
          <w:tcPr>
            <w:tcW w:w="960" w:type="dxa"/>
            <w:tcBorders>
              <w:top w:val="nil"/>
              <w:left w:val="single" w:color="auto" w:sz="4" w:space="0"/>
              <w:bottom w:val="single" w:color="auto" w:sz="4" w:space="0"/>
              <w:right w:val="single" w:color="auto" w:sz="4" w:space="0"/>
            </w:tcBorders>
            <w:shd w:val="clear" w:color="000000" w:fill="FFFFFF"/>
            <w:noWrap/>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部件8</w:t>
            </w:r>
          </w:p>
        </w:tc>
        <w:tc>
          <w:tcPr>
            <w:tcW w:w="6216" w:type="dxa"/>
            <w:tcBorders>
              <w:top w:val="nil"/>
              <w:left w:val="nil"/>
              <w:bottom w:val="single" w:color="auto" w:sz="4" w:space="0"/>
              <w:right w:val="single" w:color="auto" w:sz="4" w:space="0"/>
            </w:tcBorders>
            <w:shd w:val="clear" w:color="000000" w:fill="FFFFFF"/>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调制解调器(56Kbps,二线专线-数据/传真,外置式)</w:t>
            </w:r>
          </w:p>
        </w:tc>
        <w:tc>
          <w:tcPr>
            <w:tcW w:w="960" w:type="dxa"/>
            <w:tcBorders>
              <w:top w:val="nil"/>
              <w:left w:val="nil"/>
              <w:bottom w:val="single" w:color="auto" w:sz="4" w:space="0"/>
              <w:right w:val="single" w:color="auto" w:sz="4" w:space="0"/>
            </w:tcBorders>
            <w:shd w:val="clear" w:color="000000" w:fill="FFFFFF"/>
            <w:noWrap/>
            <w:vAlign w:val="center"/>
          </w:tcPr>
          <w:p>
            <w:pPr>
              <w:widowControl/>
              <w:jc w:val="righ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1</w:t>
            </w:r>
          </w:p>
        </w:tc>
      </w:tr>
      <w:tr>
        <w:tblPrEx>
          <w:tblCellMar>
            <w:top w:w="0" w:type="dxa"/>
            <w:left w:w="108" w:type="dxa"/>
            <w:bottom w:w="0" w:type="dxa"/>
            <w:right w:w="108" w:type="dxa"/>
          </w:tblCellMar>
        </w:tblPrEx>
        <w:trPr>
          <w:trHeight w:val="288" w:hRule="atLeast"/>
        </w:trPr>
        <w:tc>
          <w:tcPr>
            <w:tcW w:w="960" w:type="dxa"/>
            <w:tcBorders>
              <w:top w:val="nil"/>
              <w:left w:val="single" w:color="auto" w:sz="4" w:space="0"/>
              <w:bottom w:val="single" w:color="auto" w:sz="4" w:space="0"/>
              <w:right w:val="single" w:color="auto" w:sz="4" w:space="0"/>
            </w:tcBorders>
            <w:shd w:val="clear" w:color="000000" w:fill="FFFFFF"/>
            <w:noWrap/>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部件9</w:t>
            </w:r>
          </w:p>
        </w:tc>
        <w:tc>
          <w:tcPr>
            <w:tcW w:w="6216" w:type="dxa"/>
            <w:tcBorders>
              <w:top w:val="nil"/>
              <w:left w:val="nil"/>
              <w:bottom w:val="single" w:color="auto" w:sz="4" w:space="0"/>
              <w:right w:val="single" w:color="auto" w:sz="4" w:space="0"/>
            </w:tcBorders>
            <w:shd w:val="clear" w:color="000000" w:fill="FFFFFF"/>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42U通用机柜</w:t>
            </w:r>
          </w:p>
        </w:tc>
        <w:tc>
          <w:tcPr>
            <w:tcW w:w="960" w:type="dxa"/>
            <w:tcBorders>
              <w:top w:val="nil"/>
              <w:left w:val="nil"/>
              <w:bottom w:val="single" w:color="auto" w:sz="4" w:space="0"/>
              <w:right w:val="single" w:color="auto" w:sz="4" w:space="0"/>
            </w:tcBorders>
            <w:shd w:val="clear" w:color="000000" w:fill="FFFFFF"/>
            <w:noWrap/>
            <w:vAlign w:val="center"/>
          </w:tcPr>
          <w:p>
            <w:pPr>
              <w:widowControl/>
              <w:jc w:val="righ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1</w:t>
            </w:r>
          </w:p>
        </w:tc>
      </w:tr>
      <w:tr>
        <w:tblPrEx>
          <w:tblCellMar>
            <w:top w:w="0" w:type="dxa"/>
            <w:left w:w="108" w:type="dxa"/>
            <w:bottom w:w="0" w:type="dxa"/>
            <w:right w:w="108" w:type="dxa"/>
          </w:tblCellMar>
        </w:tblPrEx>
        <w:trPr>
          <w:trHeight w:val="960" w:hRule="atLeast"/>
        </w:trPr>
        <w:tc>
          <w:tcPr>
            <w:tcW w:w="960" w:type="dxa"/>
            <w:tcBorders>
              <w:top w:val="nil"/>
              <w:left w:val="single" w:color="auto" w:sz="4" w:space="0"/>
              <w:bottom w:val="single" w:color="auto" w:sz="4" w:space="0"/>
              <w:right w:val="single" w:color="auto" w:sz="4" w:space="0"/>
            </w:tcBorders>
            <w:shd w:val="clear" w:color="000000" w:fill="FFFFFF"/>
            <w:noWrap/>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部件10</w:t>
            </w:r>
          </w:p>
        </w:tc>
        <w:tc>
          <w:tcPr>
            <w:tcW w:w="6216" w:type="dxa"/>
            <w:tcBorders>
              <w:top w:val="nil"/>
              <w:left w:val="nil"/>
              <w:bottom w:val="single" w:color="auto" w:sz="4" w:space="0"/>
              <w:right w:val="single" w:color="auto" w:sz="4" w:space="0"/>
            </w:tcBorders>
            <w:shd w:val="clear" w:color="000000" w:fill="FFFFFF"/>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块基础软件包授权(含Device Management,SmartMulti-tenant,SmartMigration,SmartErase,Cloud Service)</w:t>
            </w:r>
          </w:p>
        </w:tc>
        <w:tc>
          <w:tcPr>
            <w:tcW w:w="960" w:type="dxa"/>
            <w:tcBorders>
              <w:top w:val="nil"/>
              <w:left w:val="nil"/>
              <w:bottom w:val="single" w:color="auto" w:sz="4" w:space="0"/>
              <w:right w:val="single" w:color="auto" w:sz="4" w:space="0"/>
            </w:tcBorders>
            <w:shd w:val="clear" w:color="000000" w:fill="FFFFFF"/>
            <w:noWrap/>
            <w:vAlign w:val="center"/>
          </w:tcPr>
          <w:p>
            <w:pPr>
              <w:widowControl/>
              <w:jc w:val="righ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1</w:t>
            </w:r>
          </w:p>
        </w:tc>
      </w:tr>
      <w:tr>
        <w:tblPrEx>
          <w:tblCellMar>
            <w:top w:w="0" w:type="dxa"/>
            <w:left w:w="108" w:type="dxa"/>
            <w:bottom w:w="0" w:type="dxa"/>
            <w:right w:w="108" w:type="dxa"/>
          </w:tblCellMar>
        </w:tblPrEx>
        <w:trPr>
          <w:trHeight w:val="288" w:hRule="atLeast"/>
        </w:trPr>
        <w:tc>
          <w:tcPr>
            <w:tcW w:w="960" w:type="dxa"/>
            <w:tcBorders>
              <w:top w:val="nil"/>
              <w:left w:val="single" w:color="auto" w:sz="4" w:space="0"/>
              <w:bottom w:val="single" w:color="auto" w:sz="4" w:space="0"/>
              <w:right w:val="single" w:color="auto" w:sz="4" w:space="0"/>
            </w:tcBorders>
            <w:shd w:val="clear" w:color="000000" w:fill="FFFFFF"/>
            <w:noWrap/>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部件11</w:t>
            </w:r>
          </w:p>
        </w:tc>
        <w:tc>
          <w:tcPr>
            <w:tcW w:w="6216" w:type="dxa"/>
            <w:tcBorders>
              <w:top w:val="nil"/>
              <w:left w:val="nil"/>
              <w:bottom w:val="single" w:color="auto" w:sz="4" w:space="0"/>
              <w:right w:val="single" w:color="auto" w:sz="4" w:space="0"/>
            </w:tcBorders>
            <w:shd w:val="clear" w:color="000000" w:fill="FFFFFF"/>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OceanStor 华为多路径软件许可</w:t>
            </w:r>
          </w:p>
        </w:tc>
        <w:tc>
          <w:tcPr>
            <w:tcW w:w="960" w:type="dxa"/>
            <w:tcBorders>
              <w:top w:val="nil"/>
              <w:left w:val="nil"/>
              <w:bottom w:val="single" w:color="auto" w:sz="4" w:space="0"/>
              <w:right w:val="single" w:color="auto" w:sz="4" w:space="0"/>
            </w:tcBorders>
            <w:shd w:val="clear" w:color="000000" w:fill="FFFFFF"/>
            <w:noWrap/>
            <w:vAlign w:val="center"/>
          </w:tcPr>
          <w:p>
            <w:pPr>
              <w:widowControl/>
              <w:jc w:val="righ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1</w:t>
            </w:r>
          </w:p>
        </w:tc>
      </w:tr>
      <w:tr>
        <w:tblPrEx>
          <w:tblCellMar>
            <w:top w:w="0" w:type="dxa"/>
            <w:left w:w="108" w:type="dxa"/>
            <w:bottom w:w="0" w:type="dxa"/>
            <w:right w:w="108" w:type="dxa"/>
          </w:tblCellMar>
        </w:tblPrEx>
        <w:trPr>
          <w:trHeight w:val="288" w:hRule="atLeast"/>
        </w:trPr>
        <w:tc>
          <w:tcPr>
            <w:tcW w:w="960" w:type="dxa"/>
            <w:tcBorders>
              <w:top w:val="nil"/>
              <w:left w:val="single" w:color="auto" w:sz="4" w:space="0"/>
              <w:bottom w:val="single" w:color="auto" w:sz="4" w:space="0"/>
              <w:right w:val="single" w:color="auto" w:sz="4" w:space="0"/>
            </w:tcBorders>
            <w:shd w:val="clear" w:color="000000" w:fill="FFFFFF"/>
            <w:noWrap/>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部件12</w:t>
            </w:r>
          </w:p>
        </w:tc>
        <w:tc>
          <w:tcPr>
            <w:tcW w:w="6216" w:type="dxa"/>
            <w:tcBorders>
              <w:top w:val="nil"/>
              <w:left w:val="nil"/>
              <w:bottom w:val="single" w:color="auto" w:sz="4" w:space="0"/>
              <w:right w:val="single" w:color="auto" w:sz="4" w:space="0"/>
            </w:tcBorders>
            <w:shd w:val="clear" w:color="000000" w:fill="FFFFFF"/>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V3 智能精简配置</w:t>
            </w:r>
          </w:p>
        </w:tc>
        <w:tc>
          <w:tcPr>
            <w:tcW w:w="960" w:type="dxa"/>
            <w:tcBorders>
              <w:top w:val="nil"/>
              <w:left w:val="nil"/>
              <w:bottom w:val="single" w:color="auto" w:sz="4" w:space="0"/>
              <w:right w:val="single" w:color="auto" w:sz="4" w:space="0"/>
            </w:tcBorders>
            <w:shd w:val="clear" w:color="000000" w:fill="FFFFFF"/>
            <w:noWrap/>
            <w:vAlign w:val="center"/>
          </w:tcPr>
          <w:p>
            <w:pPr>
              <w:widowControl/>
              <w:jc w:val="righ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1</w:t>
            </w:r>
          </w:p>
        </w:tc>
      </w:tr>
      <w:tr>
        <w:tblPrEx>
          <w:tblCellMar>
            <w:top w:w="0" w:type="dxa"/>
            <w:left w:w="108" w:type="dxa"/>
            <w:bottom w:w="0" w:type="dxa"/>
            <w:right w:w="108" w:type="dxa"/>
          </w:tblCellMar>
        </w:tblPrEx>
        <w:trPr>
          <w:trHeight w:val="288" w:hRule="atLeast"/>
        </w:trPr>
        <w:tc>
          <w:tcPr>
            <w:tcW w:w="960" w:type="dxa"/>
            <w:tcBorders>
              <w:top w:val="nil"/>
              <w:left w:val="single" w:color="auto" w:sz="4" w:space="0"/>
              <w:bottom w:val="single" w:color="auto" w:sz="4" w:space="0"/>
              <w:right w:val="single" w:color="auto" w:sz="4" w:space="0"/>
            </w:tcBorders>
            <w:shd w:val="clear" w:color="000000" w:fill="FFFFFF"/>
            <w:noWrap/>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部件13</w:t>
            </w:r>
          </w:p>
        </w:tc>
        <w:tc>
          <w:tcPr>
            <w:tcW w:w="6216" w:type="dxa"/>
            <w:tcBorders>
              <w:top w:val="nil"/>
              <w:left w:val="nil"/>
              <w:bottom w:val="single" w:color="auto" w:sz="4" w:space="0"/>
              <w:right w:val="single" w:color="auto" w:sz="4" w:space="0"/>
            </w:tcBorders>
            <w:shd w:val="clear" w:color="000000" w:fill="FFFFFF"/>
            <w:vAlign w:val="center"/>
          </w:tcPr>
          <w:p>
            <w:pPr>
              <w:widowControl/>
              <w:jc w:val="lef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性能报表软件</w:t>
            </w:r>
          </w:p>
        </w:tc>
        <w:tc>
          <w:tcPr>
            <w:tcW w:w="960" w:type="dxa"/>
            <w:tcBorders>
              <w:top w:val="nil"/>
              <w:left w:val="nil"/>
              <w:bottom w:val="single" w:color="auto" w:sz="4" w:space="0"/>
              <w:right w:val="single" w:color="auto" w:sz="4" w:space="0"/>
            </w:tcBorders>
            <w:shd w:val="clear" w:color="000000" w:fill="FFFFFF"/>
            <w:noWrap/>
            <w:vAlign w:val="center"/>
          </w:tcPr>
          <w:p>
            <w:pPr>
              <w:widowControl/>
              <w:jc w:val="right"/>
              <w:rPr>
                <w:rFonts w:ascii="彩虹粗仿宋" w:hAnsi="宋体" w:eastAsia="彩虹粗仿宋" w:cs="宋体"/>
                <w:color w:val="000000"/>
                <w:kern w:val="0"/>
                <w:szCs w:val="21"/>
              </w:rPr>
            </w:pPr>
            <w:r>
              <w:rPr>
                <w:rFonts w:hint="eastAsia" w:ascii="彩虹粗仿宋" w:hAnsi="宋体" w:eastAsia="彩虹粗仿宋" w:cs="宋体"/>
                <w:color w:val="000000"/>
                <w:kern w:val="0"/>
                <w:szCs w:val="21"/>
              </w:rPr>
              <w:t>1</w:t>
            </w:r>
          </w:p>
        </w:tc>
      </w:tr>
    </w:tbl>
    <w:p>
      <w:pPr>
        <w:autoSpaceDE w:val="0"/>
        <w:autoSpaceDN w:val="0"/>
        <w:adjustRightInd w:val="0"/>
        <w:spacing w:line="360" w:lineRule="auto"/>
        <w:ind w:firstLine="560" w:firstLineChars="200"/>
        <w:rPr>
          <w:rFonts w:ascii="彩虹粗仿宋" w:hAnsi="仿宋" w:eastAsia="彩虹粗仿宋"/>
          <w:snapToGrid w:val="0"/>
          <w:color w:val="000000" w:themeColor="text1"/>
          <w:sz w:val="28"/>
          <w:szCs w:val="28"/>
          <w:shd w:val="clear" w:color="auto" w:fill="FFFFFF"/>
        </w:rPr>
      </w:pPr>
      <w:r>
        <w:rPr>
          <w:rFonts w:hint="eastAsia" w:ascii="彩虹粗仿宋" w:hAnsi="仿宋" w:eastAsia="彩虹粗仿宋"/>
          <w:snapToGrid w:val="0"/>
          <w:color w:val="000000" w:themeColor="text1"/>
          <w:sz w:val="28"/>
          <w:szCs w:val="28"/>
          <w:shd w:val="clear" w:color="auto" w:fill="FFFFFF"/>
        </w:rPr>
        <w:t>（3）Brocade-8510详细配置如下：</w:t>
      </w:r>
    </w:p>
    <w:p>
      <w:pPr>
        <w:spacing w:line="360" w:lineRule="auto"/>
        <w:ind w:firstLine="420" w:firstLineChars="150"/>
        <w:rPr>
          <w:rFonts w:ascii="仿宋_GB2312" w:hAnsi="宋体" w:eastAsia="仿宋_GB2312" w:cs="Times New Roman"/>
          <w:color w:val="000000" w:themeColor="text1"/>
          <w:sz w:val="28"/>
          <w:szCs w:val="28"/>
        </w:rPr>
      </w:pPr>
      <w:r>
        <w:rPr>
          <w:rFonts w:hint="eastAsia" w:ascii="仿宋_GB2312" w:hAnsi="宋体" w:eastAsia="仿宋_GB2312" w:cs="Times New Roman"/>
          <w:color w:val="000000" w:themeColor="text1"/>
          <w:sz w:val="28"/>
          <w:szCs w:val="28"/>
        </w:rPr>
        <w:t>存储交换机（AFX2516L00E、AFX2516L004）单台设备详细配置如下：</w:t>
      </w:r>
    </w:p>
    <w:tbl>
      <w:tblPr>
        <w:tblStyle w:val="15"/>
        <w:tblW w:w="6780" w:type="dxa"/>
        <w:jc w:val="center"/>
        <w:tblLayout w:type="autofit"/>
        <w:tblCellMar>
          <w:top w:w="0" w:type="dxa"/>
          <w:left w:w="108" w:type="dxa"/>
          <w:bottom w:w="0" w:type="dxa"/>
          <w:right w:w="108" w:type="dxa"/>
        </w:tblCellMar>
      </w:tblPr>
      <w:tblGrid>
        <w:gridCol w:w="2060"/>
        <w:gridCol w:w="3640"/>
        <w:gridCol w:w="1080"/>
      </w:tblGrid>
      <w:tr>
        <w:tblPrEx>
          <w:tblCellMar>
            <w:top w:w="0" w:type="dxa"/>
            <w:left w:w="108" w:type="dxa"/>
            <w:bottom w:w="0" w:type="dxa"/>
            <w:right w:w="108" w:type="dxa"/>
          </w:tblCellMar>
        </w:tblPrEx>
        <w:trPr>
          <w:trHeight w:val="300" w:hRule="atLeast"/>
          <w:jc w:val="center"/>
        </w:trPr>
        <w:tc>
          <w:tcPr>
            <w:tcW w:w="2060" w:type="dxa"/>
            <w:tcBorders>
              <w:top w:val="single" w:color="auto" w:sz="8" w:space="0"/>
              <w:left w:val="single" w:color="auto" w:sz="4" w:space="0"/>
              <w:bottom w:val="single" w:color="auto" w:sz="4" w:space="0"/>
              <w:right w:val="single" w:color="auto" w:sz="4" w:space="0"/>
            </w:tcBorders>
            <w:shd w:val="clear" w:color="auto" w:fill="FFFFFF"/>
            <w:vAlign w:val="center"/>
          </w:tcPr>
          <w:p>
            <w:pPr>
              <w:widowControl/>
              <w:jc w:val="center"/>
              <w:rPr>
                <w:rFonts w:ascii="彩虹粗仿宋" w:hAnsi="宋体" w:eastAsia="彩虹粗仿宋" w:cs="宋体"/>
                <w:color w:val="000000" w:themeColor="text1"/>
                <w:kern w:val="0"/>
                <w:sz w:val="20"/>
                <w:szCs w:val="20"/>
              </w:rPr>
            </w:pPr>
            <w:r>
              <w:rPr>
                <w:rFonts w:hint="eastAsia" w:ascii="彩虹粗仿宋" w:hAnsi="宋体" w:eastAsia="彩虹粗仿宋" w:cs="宋体"/>
                <w:color w:val="000000" w:themeColor="text1"/>
                <w:kern w:val="0"/>
                <w:sz w:val="20"/>
                <w:szCs w:val="20"/>
              </w:rPr>
              <w:t xml:space="preserve">部件号 </w:t>
            </w:r>
          </w:p>
        </w:tc>
        <w:tc>
          <w:tcPr>
            <w:tcW w:w="3640" w:type="dxa"/>
            <w:tcBorders>
              <w:top w:val="single" w:color="auto" w:sz="8" w:space="0"/>
              <w:left w:val="nil"/>
              <w:bottom w:val="single" w:color="auto" w:sz="4" w:space="0"/>
              <w:right w:val="single" w:color="auto" w:sz="4" w:space="0"/>
            </w:tcBorders>
            <w:shd w:val="clear" w:color="auto" w:fill="FFFFFF"/>
            <w:vAlign w:val="center"/>
          </w:tcPr>
          <w:p>
            <w:pPr>
              <w:widowControl/>
              <w:jc w:val="center"/>
              <w:rPr>
                <w:rFonts w:ascii="彩虹粗仿宋" w:hAnsi="宋体" w:eastAsia="彩虹粗仿宋" w:cs="宋体"/>
                <w:color w:val="000000" w:themeColor="text1"/>
                <w:kern w:val="0"/>
                <w:sz w:val="20"/>
                <w:szCs w:val="20"/>
              </w:rPr>
            </w:pPr>
            <w:r>
              <w:rPr>
                <w:rFonts w:hint="eastAsia" w:ascii="彩虹粗仿宋" w:hAnsi="宋体" w:eastAsia="彩虹粗仿宋" w:cs="宋体"/>
                <w:color w:val="000000" w:themeColor="text1"/>
                <w:kern w:val="0"/>
                <w:sz w:val="20"/>
                <w:szCs w:val="20"/>
              </w:rPr>
              <w:t xml:space="preserve"> 描述 </w:t>
            </w:r>
          </w:p>
        </w:tc>
        <w:tc>
          <w:tcPr>
            <w:tcW w:w="1080" w:type="dxa"/>
            <w:tcBorders>
              <w:top w:val="single" w:color="auto" w:sz="8" w:space="0"/>
              <w:left w:val="nil"/>
              <w:bottom w:val="single" w:color="auto" w:sz="4" w:space="0"/>
              <w:right w:val="single" w:color="auto" w:sz="4" w:space="0"/>
            </w:tcBorders>
            <w:shd w:val="clear" w:color="auto" w:fill="FFFFFF"/>
            <w:vAlign w:val="center"/>
          </w:tcPr>
          <w:p>
            <w:pPr>
              <w:widowControl/>
              <w:jc w:val="center"/>
              <w:rPr>
                <w:rFonts w:ascii="彩虹粗仿宋" w:hAnsi="宋体" w:eastAsia="彩虹粗仿宋" w:cs="宋体"/>
                <w:color w:val="000000" w:themeColor="text1"/>
                <w:kern w:val="0"/>
                <w:sz w:val="20"/>
                <w:szCs w:val="20"/>
              </w:rPr>
            </w:pPr>
            <w:r>
              <w:rPr>
                <w:rFonts w:hint="eastAsia" w:ascii="彩虹粗仿宋" w:hAnsi="宋体" w:eastAsia="彩虹粗仿宋" w:cs="宋体"/>
                <w:color w:val="000000" w:themeColor="text1"/>
                <w:kern w:val="0"/>
                <w:sz w:val="20"/>
                <w:szCs w:val="20"/>
              </w:rPr>
              <w:t xml:space="preserve"> 数量 </w:t>
            </w:r>
          </w:p>
        </w:tc>
      </w:tr>
      <w:tr>
        <w:tblPrEx>
          <w:tblCellMar>
            <w:top w:w="0" w:type="dxa"/>
            <w:left w:w="108" w:type="dxa"/>
            <w:bottom w:w="0" w:type="dxa"/>
            <w:right w:w="108" w:type="dxa"/>
          </w:tblCellMar>
        </w:tblPrEx>
        <w:trPr>
          <w:trHeight w:val="1950" w:hRule="atLeast"/>
          <w:jc w:val="center"/>
        </w:trPr>
        <w:tc>
          <w:tcPr>
            <w:tcW w:w="2060" w:type="dxa"/>
            <w:tcBorders>
              <w:top w:val="single" w:color="auto" w:sz="8" w:space="0"/>
              <w:left w:val="single" w:color="auto" w:sz="4" w:space="0"/>
              <w:bottom w:val="single" w:color="auto" w:sz="4" w:space="0"/>
              <w:right w:val="single" w:color="auto" w:sz="4" w:space="0"/>
            </w:tcBorders>
            <w:shd w:val="clear" w:color="auto" w:fill="FFFFFF"/>
            <w:noWrap/>
            <w:vAlign w:val="center"/>
          </w:tcPr>
          <w:p>
            <w:pPr>
              <w:widowControl/>
              <w:jc w:val="left"/>
              <w:rPr>
                <w:rFonts w:ascii="彩虹粗仿宋" w:hAnsi="宋体" w:eastAsia="彩虹粗仿宋" w:cs="宋体"/>
                <w:color w:val="000000" w:themeColor="text1"/>
                <w:kern w:val="0"/>
                <w:sz w:val="20"/>
                <w:szCs w:val="20"/>
              </w:rPr>
            </w:pPr>
            <w:r>
              <w:rPr>
                <w:rFonts w:hint="eastAsia" w:ascii="彩虹粗仿宋" w:hAnsi="宋体" w:eastAsia="彩虹粗仿宋" w:cs="宋体"/>
                <w:color w:val="000000" w:themeColor="text1"/>
                <w:kern w:val="0"/>
                <w:sz w:val="20"/>
                <w:szCs w:val="20"/>
              </w:rPr>
              <w:t xml:space="preserve"> BR-DCX8518-0001 </w:t>
            </w:r>
          </w:p>
        </w:tc>
        <w:tc>
          <w:tcPr>
            <w:tcW w:w="3640" w:type="dxa"/>
            <w:tcBorders>
              <w:top w:val="single" w:color="auto" w:sz="8" w:space="0"/>
              <w:left w:val="nil"/>
              <w:bottom w:val="single" w:color="auto" w:sz="4" w:space="0"/>
              <w:right w:val="single" w:color="auto" w:sz="4" w:space="0"/>
            </w:tcBorders>
            <w:shd w:val="clear" w:color="auto" w:fill="FFFFFF"/>
            <w:vAlign w:val="center"/>
          </w:tcPr>
          <w:p>
            <w:pPr>
              <w:widowControl/>
              <w:jc w:val="left"/>
              <w:rPr>
                <w:rFonts w:ascii="彩虹粗仿宋" w:hAnsi="宋体" w:eastAsia="彩虹粗仿宋" w:cs="宋体"/>
                <w:color w:val="000000" w:themeColor="text1"/>
                <w:kern w:val="0"/>
                <w:sz w:val="20"/>
                <w:szCs w:val="20"/>
              </w:rPr>
            </w:pPr>
            <w:r>
              <w:rPr>
                <w:rFonts w:hint="eastAsia" w:ascii="彩虹粗仿宋" w:hAnsi="宋体" w:eastAsia="彩虹粗仿宋" w:cs="宋体"/>
                <w:color w:val="000000" w:themeColor="text1"/>
                <w:kern w:val="0"/>
                <w:sz w:val="20"/>
                <w:szCs w:val="20"/>
              </w:rPr>
              <w:t xml:space="preserve"> DCX8510-8,2PS,0P,2CP,2 16GB CORE,0 SFP,EB,BR</w:t>
            </w:r>
            <w:r>
              <w:rPr>
                <w:rFonts w:hint="eastAsia" w:ascii="彩虹粗仿宋" w:hAnsi="宋体" w:eastAsia="彩虹粗仿宋" w:cs="宋体"/>
                <w:color w:val="000000" w:themeColor="text1"/>
                <w:kern w:val="0"/>
                <w:sz w:val="20"/>
                <w:szCs w:val="20"/>
              </w:rPr>
              <w:br w:type="textWrapping"/>
            </w:r>
            <w:r>
              <w:rPr>
                <w:rFonts w:hint="eastAsia" w:ascii="彩虹粗仿宋" w:hAnsi="宋体" w:eastAsia="彩虹粗仿宋" w:cs="宋体"/>
                <w:color w:val="000000" w:themeColor="text1"/>
                <w:kern w:val="0"/>
                <w:sz w:val="20"/>
                <w:szCs w:val="20"/>
              </w:rPr>
              <w:t xml:space="preserve">DCX8510机箱，8个端口版插槽，2个控制器，2个16G核心交换板，不含端口板，企业级License </w:t>
            </w:r>
          </w:p>
        </w:tc>
        <w:tc>
          <w:tcPr>
            <w:tcW w:w="1080" w:type="dxa"/>
            <w:tcBorders>
              <w:top w:val="single" w:color="auto" w:sz="8" w:space="0"/>
              <w:left w:val="nil"/>
              <w:bottom w:val="single" w:color="auto" w:sz="4" w:space="0"/>
              <w:right w:val="single" w:color="auto" w:sz="4" w:space="0"/>
            </w:tcBorders>
            <w:shd w:val="clear" w:color="auto" w:fill="FFFFFF"/>
            <w:vAlign w:val="center"/>
          </w:tcPr>
          <w:p>
            <w:pPr>
              <w:widowControl/>
              <w:jc w:val="center"/>
              <w:rPr>
                <w:rFonts w:ascii="彩虹粗仿宋" w:hAnsi="宋体" w:eastAsia="彩虹粗仿宋" w:cs="宋体"/>
                <w:color w:val="000000" w:themeColor="text1"/>
                <w:kern w:val="0"/>
                <w:sz w:val="20"/>
                <w:szCs w:val="20"/>
              </w:rPr>
            </w:pPr>
            <w:r>
              <w:rPr>
                <w:rFonts w:hint="eastAsia" w:ascii="彩虹粗仿宋" w:hAnsi="宋体" w:eastAsia="彩虹粗仿宋" w:cs="宋体"/>
                <w:color w:val="000000" w:themeColor="text1"/>
                <w:kern w:val="0"/>
                <w:sz w:val="20"/>
                <w:szCs w:val="20"/>
              </w:rPr>
              <w:t xml:space="preserve">1 </w:t>
            </w:r>
          </w:p>
        </w:tc>
      </w:tr>
      <w:tr>
        <w:tblPrEx>
          <w:tblCellMar>
            <w:top w:w="0" w:type="dxa"/>
            <w:left w:w="108" w:type="dxa"/>
            <w:bottom w:w="0" w:type="dxa"/>
            <w:right w:w="108" w:type="dxa"/>
          </w:tblCellMar>
        </w:tblPrEx>
        <w:trPr>
          <w:trHeight w:val="705" w:hRule="atLeast"/>
          <w:jc w:val="center"/>
        </w:trPr>
        <w:tc>
          <w:tcPr>
            <w:tcW w:w="2060" w:type="dxa"/>
            <w:tcBorders>
              <w:top w:val="nil"/>
              <w:left w:val="single" w:color="auto" w:sz="4" w:space="0"/>
              <w:bottom w:val="single" w:color="auto" w:sz="4" w:space="0"/>
              <w:right w:val="single" w:color="auto" w:sz="4" w:space="0"/>
            </w:tcBorders>
            <w:shd w:val="clear" w:color="auto" w:fill="FFFFFF"/>
            <w:noWrap/>
            <w:vAlign w:val="center"/>
          </w:tcPr>
          <w:p>
            <w:pPr>
              <w:widowControl/>
              <w:jc w:val="left"/>
              <w:rPr>
                <w:rFonts w:ascii="彩虹粗仿宋" w:hAnsi="宋体" w:eastAsia="彩虹粗仿宋" w:cs="宋体"/>
                <w:color w:val="000000" w:themeColor="text1"/>
                <w:kern w:val="0"/>
                <w:sz w:val="20"/>
                <w:szCs w:val="20"/>
              </w:rPr>
            </w:pPr>
            <w:r>
              <w:rPr>
                <w:rFonts w:hint="eastAsia" w:ascii="彩虹粗仿宋" w:hAnsi="宋体" w:eastAsia="彩虹粗仿宋" w:cs="宋体"/>
                <w:color w:val="000000" w:themeColor="text1"/>
                <w:kern w:val="0"/>
                <w:sz w:val="20"/>
                <w:szCs w:val="20"/>
              </w:rPr>
              <w:t xml:space="preserve"> BR-DCX-0135 </w:t>
            </w:r>
          </w:p>
        </w:tc>
        <w:tc>
          <w:tcPr>
            <w:tcW w:w="3640" w:type="dxa"/>
            <w:tcBorders>
              <w:top w:val="nil"/>
              <w:left w:val="nil"/>
              <w:bottom w:val="single" w:color="auto" w:sz="4" w:space="0"/>
              <w:right w:val="single" w:color="auto" w:sz="4" w:space="0"/>
            </w:tcBorders>
            <w:shd w:val="clear" w:color="auto" w:fill="FFFFFF"/>
            <w:vAlign w:val="center"/>
          </w:tcPr>
          <w:p>
            <w:pPr>
              <w:widowControl/>
              <w:jc w:val="left"/>
              <w:rPr>
                <w:rFonts w:ascii="彩虹粗仿宋" w:hAnsi="宋体" w:eastAsia="彩虹粗仿宋" w:cs="宋体"/>
                <w:color w:val="000000" w:themeColor="text1"/>
                <w:kern w:val="0"/>
                <w:sz w:val="20"/>
                <w:szCs w:val="20"/>
              </w:rPr>
            </w:pPr>
            <w:r>
              <w:rPr>
                <w:rFonts w:hint="eastAsia" w:ascii="彩虹粗仿宋" w:hAnsi="宋体" w:eastAsia="彩虹粗仿宋" w:cs="宋体"/>
                <w:color w:val="000000" w:themeColor="text1"/>
                <w:kern w:val="0"/>
                <w:sz w:val="20"/>
                <w:szCs w:val="20"/>
              </w:rPr>
              <w:t xml:space="preserve"> KIT,2 PWR CORD,AUST/NZ,250V</w:t>
            </w:r>
            <w:r>
              <w:rPr>
                <w:rFonts w:hint="eastAsia" w:ascii="彩虹粗仿宋" w:hAnsi="宋体" w:eastAsia="彩虹粗仿宋" w:cs="宋体"/>
                <w:color w:val="000000" w:themeColor="text1"/>
                <w:kern w:val="0"/>
                <w:sz w:val="20"/>
                <w:szCs w:val="20"/>
              </w:rPr>
              <w:br w:type="textWrapping"/>
            </w:r>
            <w:r>
              <w:rPr>
                <w:rFonts w:hint="eastAsia" w:ascii="彩虹粗仿宋" w:hAnsi="宋体" w:eastAsia="彩虹粗仿宋" w:cs="宋体"/>
                <w:color w:val="000000" w:themeColor="text1"/>
                <w:kern w:val="0"/>
                <w:sz w:val="20"/>
                <w:szCs w:val="20"/>
              </w:rPr>
              <w:t xml:space="preserve">电源线 </w:t>
            </w:r>
          </w:p>
        </w:tc>
        <w:tc>
          <w:tcPr>
            <w:tcW w:w="1080" w:type="dxa"/>
            <w:tcBorders>
              <w:top w:val="nil"/>
              <w:left w:val="nil"/>
              <w:bottom w:val="single" w:color="auto" w:sz="4" w:space="0"/>
              <w:right w:val="single" w:color="auto" w:sz="4" w:space="0"/>
            </w:tcBorders>
            <w:shd w:val="clear" w:color="auto" w:fill="FFFFFF"/>
            <w:noWrap/>
            <w:vAlign w:val="center"/>
          </w:tcPr>
          <w:p>
            <w:pPr>
              <w:widowControl/>
              <w:jc w:val="center"/>
              <w:rPr>
                <w:rFonts w:ascii="彩虹粗仿宋" w:hAnsi="宋体" w:eastAsia="彩虹粗仿宋" w:cs="宋体"/>
                <w:color w:val="000000" w:themeColor="text1"/>
                <w:kern w:val="0"/>
                <w:sz w:val="20"/>
                <w:szCs w:val="20"/>
              </w:rPr>
            </w:pPr>
            <w:r>
              <w:rPr>
                <w:rFonts w:hint="eastAsia" w:ascii="彩虹粗仿宋" w:hAnsi="宋体" w:eastAsia="彩虹粗仿宋" w:cs="宋体"/>
                <w:color w:val="000000" w:themeColor="text1"/>
                <w:kern w:val="0"/>
                <w:sz w:val="20"/>
                <w:szCs w:val="20"/>
              </w:rPr>
              <w:t xml:space="preserve">1 </w:t>
            </w:r>
          </w:p>
        </w:tc>
      </w:tr>
      <w:tr>
        <w:tblPrEx>
          <w:tblCellMar>
            <w:top w:w="0" w:type="dxa"/>
            <w:left w:w="108" w:type="dxa"/>
            <w:bottom w:w="0" w:type="dxa"/>
            <w:right w:w="108" w:type="dxa"/>
          </w:tblCellMar>
        </w:tblPrEx>
        <w:trPr>
          <w:trHeight w:val="1110" w:hRule="atLeast"/>
          <w:jc w:val="center"/>
        </w:trPr>
        <w:tc>
          <w:tcPr>
            <w:tcW w:w="2060" w:type="dxa"/>
            <w:tcBorders>
              <w:top w:val="nil"/>
              <w:left w:val="single" w:color="auto" w:sz="4" w:space="0"/>
              <w:bottom w:val="single" w:color="auto" w:sz="4" w:space="0"/>
              <w:right w:val="single" w:color="auto" w:sz="4" w:space="0"/>
            </w:tcBorders>
            <w:shd w:val="clear" w:color="auto" w:fill="FFFFFF"/>
            <w:noWrap/>
            <w:vAlign w:val="center"/>
          </w:tcPr>
          <w:p>
            <w:pPr>
              <w:widowControl/>
              <w:jc w:val="left"/>
              <w:rPr>
                <w:rFonts w:ascii="彩虹粗仿宋" w:hAnsi="宋体" w:eastAsia="彩虹粗仿宋" w:cs="宋体"/>
                <w:color w:val="000000" w:themeColor="text1"/>
                <w:kern w:val="0"/>
                <w:sz w:val="20"/>
                <w:szCs w:val="20"/>
              </w:rPr>
            </w:pPr>
            <w:r>
              <w:rPr>
                <w:rFonts w:hint="eastAsia" w:ascii="彩虹粗仿宋" w:hAnsi="宋体" w:eastAsia="彩虹粗仿宋" w:cs="宋体"/>
                <w:color w:val="000000" w:themeColor="text1"/>
                <w:kern w:val="0"/>
                <w:sz w:val="20"/>
                <w:szCs w:val="20"/>
              </w:rPr>
              <w:t xml:space="preserve"> BR-DCX8510-2048 </w:t>
            </w:r>
          </w:p>
        </w:tc>
        <w:tc>
          <w:tcPr>
            <w:tcW w:w="3640" w:type="dxa"/>
            <w:tcBorders>
              <w:top w:val="nil"/>
              <w:left w:val="nil"/>
              <w:bottom w:val="single" w:color="auto" w:sz="4" w:space="0"/>
              <w:right w:val="single" w:color="auto" w:sz="4" w:space="0"/>
            </w:tcBorders>
            <w:shd w:val="clear" w:color="auto" w:fill="FFFFFF"/>
            <w:vAlign w:val="center"/>
          </w:tcPr>
          <w:p>
            <w:pPr>
              <w:widowControl/>
              <w:jc w:val="left"/>
              <w:rPr>
                <w:rFonts w:ascii="彩虹粗仿宋" w:hAnsi="宋体" w:eastAsia="彩虹粗仿宋" w:cs="宋体"/>
                <w:color w:val="000000" w:themeColor="text1"/>
                <w:kern w:val="0"/>
                <w:sz w:val="20"/>
                <w:szCs w:val="20"/>
              </w:rPr>
            </w:pPr>
            <w:r>
              <w:rPr>
                <w:rFonts w:hint="eastAsia" w:ascii="彩虹粗仿宋" w:hAnsi="宋体" w:eastAsia="彩虹粗仿宋" w:cs="宋体"/>
                <w:color w:val="000000" w:themeColor="text1"/>
                <w:kern w:val="0"/>
                <w:sz w:val="20"/>
                <w:szCs w:val="20"/>
              </w:rPr>
              <w:t xml:space="preserve"> PORT BLADE,FC8-48E, 48P,48 8G SWL SFP,BR</w:t>
            </w:r>
            <w:r>
              <w:rPr>
                <w:rFonts w:hint="eastAsia" w:ascii="彩虹粗仿宋" w:hAnsi="宋体" w:eastAsia="彩虹粗仿宋" w:cs="宋体"/>
                <w:color w:val="000000" w:themeColor="text1"/>
                <w:kern w:val="0"/>
                <w:sz w:val="20"/>
                <w:szCs w:val="20"/>
              </w:rPr>
              <w:br w:type="textWrapping"/>
            </w:r>
            <w:r>
              <w:rPr>
                <w:rFonts w:hint="eastAsia" w:ascii="彩虹粗仿宋" w:hAnsi="宋体" w:eastAsia="彩虹粗仿宋" w:cs="宋体"/>
                <w:color w:val="000000" w:themeColor="text1"/>
                <w:kern w:val="0"/>
                <w:sz w:val="20"/>
                <w:szCs w:val="20"/>
              </w:rPr>
              <w:t xml:space="preserve">48口8G端口板，含48个短波SFP模块 </w:t>
            </w:r>
          </w:p>
        </w:tc>
        <w:tc>
          <w:tcPr>
            <w:tcW w:w="1080" w:type="dxa"/>
            <w:tcBorders>
              <w:top w:val="nil"/>
              <w:left w:val="nil"/>
              <w:bottom w:val="single" w:color="auto" w:sz="4" w:space="0"/>
              <w:right w:val="single" w:color="auto" w:sz="4" w:space="0"/>
            </w:tcBorders>
            <w:shd w:val="clear" w:color="auto" w:fill="FFFFFF"/>
            <w:noWrap/>
            <w:vAlign w:val="center"/>
          </w:tcPr>
          <w:p>
            <w:pPr>
              <w:widowControl/>
              <w:jc w:val="center"/>
              <w:rPr>
                <w:rFonts w:ascii="彩虹粗仿宋" w:hAnsi="宋体" w:eastAsia="彩虹粗仿宋" w:cs="宋体"/>
                <w:color w:val="000000" w:themeColor="text1"/>
                <w:kern w:val="0"/>
                <w:sz w:val="20"/>
                <w:szCs w:val="20"/>
              </w:rPr>
            </w:pPr>
            <w:r>
              <w:rPr>
                <w:rFonts w:hint="eastAsia" w:ascii="彩虹粗仿宋" w:hAnsi="宋体" w:eastAsia="彩虹粗仿宋" w:cs="宋体"/>
                <w:color w:val="000000" w:themeColor="text1"/>
                <w:kern w:val="0"/>
                <w:sz w:val="20"/>
                <w:szCs w:val="20"/>
              </w:rPr>
              <w:t xml:space="preserve">6 </w:t>
            </w:r>
          </w:p>
        </w:tc>
      </w:tr>
    </w:tbl>
    <w:p>
      <w:pPr>
        <w:snapToGrid w:val="0"/>
        <w:spacing w:line="360" w:lineRule="auto"/>
        <w:contextualSpacing/>
        <w:rPr>
          <w:rFonts w:ascii="宋体" w:hAnsi="宋体" w:eastAsia="宋体"/>
          <w:b/>
          <w:sz w:val="28"/>
          <w:szCs w:val="28"/>
        </w:rPr>
      </w:pP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（4）单台光盘库配置</w:t>
      </w:r>
    </w:p>
    <w:tbl>
      <w:tblPr>
        <w:tblStyle w:val="15"/>
        <w:tblW w:w="6155" w:type="dxa"/>
        <w:jc w:val="center"/>
        <w:tblLayout w:type="autofit"/>
        <w:tblCellMar>
          <w:top w:w="0" w:type="dxa"/>
          <w:left w:w="108" w:type="dxa"/>
          <w:bottom w:w="0" w:type="dxa"/>
          <w:right w:w="108" w:type="dxa"/>
        </w:tblCellMar>
      </w:tblPr>
      <w:tblGrid>
        <w:gridCol w:w="1080"/>
        <w:gridCol w:w="2860"/>
        <w:gridCol w:w="2215"/>
      </w:tblGrid>
      <w:tr>
        <w:tblPrEx>
          <w:tblCellMar>
            <w:top w:w="0" w:type="dxa"/>
            <w:left w:w="108" w:type="dxa"/>
            <w:bottom w:w="0" w:type="dxa"/>
            <w:right w:w="108" w:type="dxa"/>
          </w:tblCellMar>
        </w:tblPrEx>
        <w:trPr>
          <w:trHeight w:val="285" w:hRule="atLeast"/>
          <w:jc w:val="center"/>
        </w:trPr>
        <w:tc>
          <w:tcPr>
            <w:tcW w:w="1080" w:type="dxa"/>
            <w:tcBorders>
              <w:top w:val="single" w:color="auto" w:sz="8" w:space="0"/>
              <w:left w:val="single" w:color="auto" w:sz="8" w:space="0"/>
              <w:bottom w:val="single" w:color="auto" w:sz="8" w:space="0"/>
              <w:right w:val="single" w:color="auto" w:sz="8" w:space="0"/>
            </w:tcBorders>
            <w:noWrap/>
            <w:vAlign w:val="center"/>
          </w:tcPr>
          <w:p>
            <w:pPr>
              <w:widowControl/>
              <w:jc w:val="center"/>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库体型号</w:t>
            </w:r>
          </w:p>
        </w:tc>
        <w:tc>
          <w:tcPr>
            <w:tcW w:w="2860" w:type="dxa"/>
            <w:tcBorders>
              <w:top w:val="single" w:color="auto" w:sz="8" w:space="0"/>
              <w:left w:val="nil"/>
              <w:bottom w:val="single" w:color="auto" w:sz="8" w:space="0"/>
              <w:right w:val="single" w:color="auto" w:sz="8" w:space="0"/>
            </w:tcBorders>
            <w:noWrap/>
            <w:vAlign w:val="center"/>
          </w:tcPr>
          <w:p>
            <w:pPr>
              <w:widowControl/>
              <w:jc w:val="center"/>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部件名称</w:t>
            </w:r>
          </w:p>
        </w:tc>
        <w:tc>
          <w:tcPr>
            <w:tcW w:w="2215" w:type="dxa"/>
            <w:tcBorders>
              <w:top w:val="single" w:color="auto" w:sz="8" w:space="0"/>
              <w:left w:val="nil"/>
              <w:bottom w:val="single" w:color="auto" w:sz="8" w:space="0"/>
              <w:right w:val="single" w:color="auto" w:sz="8" w:space="0"/>
            </w:tcBorders>
            <w:noWrap/>
            <w:vAlign w:val="center"/>
          </w:tcPr>
          <w:p>
            <w:pPr>
              <w:widowControl/>
              <w:jc w:val="center"/>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数量</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LED显示板和面板控制键盘</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步进电机控制板</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主控制板</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传感器板</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片匣传感器板</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SCSI内部电缆</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机箱左盖板</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机箱右盖板</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内机架</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机箱外架</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正门及装饰板</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机械臂</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开关电源</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光盘驱动器(5个)</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SCSI卡及电缆</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转接桥及卡线</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导轨电机电源</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精密导轨</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机械手导轨</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机械手抓盘组件</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传送齿皮带</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弹出屉</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门锁和钥匙</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机械手端头</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轮子（4个）</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打印机托盘</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打印机门</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弹出屉门</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薄膜电缆</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位置开关</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r>
        <w:tblPrEx>
          <w:tblCellMar>
            <w:top w:w="0" w:type="dxa"/>
            <w:left w:w="108" w:type="dxa"/>
            <w:bottom w:w="0" w:type="dxa"/>
            <w:right w:w="108" w:type="dxa"/>
          </w:tblCellMar>
        </w:tblPrEx>
        <w:trPr>
          <w:trHeight w:val="285" w:hRule="atLeast"/>
          <w:jc w:val="center"/>
        </w:trPr>
        <w:tc>
          <w:tcPr>
            <w:tcW w:w="1080" w:type="dxa"/>
            <w:tcBorders>
              <w:top w:val="nil"/>
              <w:left w:val="single" w:color="auto" w:sz="8" w:space="0"/>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GMS3560</w:t>
            </w:r>
          </w:p>
        </w:tc>
        <w:tc>
          <w:tcPr>
            <w:tcW w:w="2860" w:type="dxa"/>
            <w:tcBorders>
              <w:top w:val="nil"/>
              <w:left w:val="nil"/>
              <w:bottom w:val="single" w:color="auto" w:sz="8" w:space="0"/>
              <w:right w:val="single" w:color="auto" w:sz="8" w:space="0"/>
            </w:tcBorders>
            <w:noWrap/>
            <w:vAlign w:val="center"/>
          </w:tcPr>
          <w:p>
            <w:pPr>
              <w:widowControl/>
              <w:jc w:val="lef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步进电机</w:t>
            </w:r>
          </w:p>
        </w:tc>
        <w:tc>
          <w:tcPr>
            <w:tcW w:w="2215" w:type="dxa"/>
            <w:tcBorders>
              <w:top w:val="nil"/>
              <w:left w:val="nil"/>
              <w:bottom w:val="single" w:color="auto" w:sz="8" w:space="0"/>
              <w:right w:val="single" w:color="auto" w:sz="8" w:space="0"/>
            </w:tcBorders>
            <w:noWrap/>
            <w:vAlign w:val="center"/>
          </w:tcPr>
          <w:p>
            <w:pPr>
              <w:widowControl/>
              <w:jc w:val="right"/>
              <w:rPr>
                <w:rFonts w:ascii="彩虹粗仿宋" w:hAnsi="宋体" w:eastAsia="彩虹粗仿宋" w:cs="宋体"/>
                <w:color w:val="000000"/>
                <w:kern w:val="0"/>
                <w:sz w:val="18"/>
                <w:szCs w:val="18"/>
              </w:rPr>
            </w:pPr>
            <w:r>
              <w:rPr>
                <w:rFonts w:hint="eastAsia" w:ascii="彩虹粗仿宋" w:hAnsi="宋体" w:eastAsia="彩虹粗仿宋" w:cs="宋体"/>
                <w:color w:val="000000"/>
                <w:kern w:val="0"/>
                <w:sz w:val="18"/>
                <w:szCs w:val="18"/>
              </w:rPr>
              <w:t>1</w:t>
            </w:r>
          </w:p>
        </w:tc>
      </w:tr>
    </w:tbl>
    <w:p>
      <w:pPr>
        <w:adjustRightInd w:val="0"/>
        <w:snapToGrid w:val="0"/>
        <w:spacing w:line="360" w:lineRule="auto"/>
        <w:ind w:firstLine="640" w:firstLineChars="200"/>
        <w:rPr>
          <w:rFonts w:ascii="彩虹粗仿宋" w:hAnsi="宋体" w:eastAsia="彩虹粗仿宋"/>
          <w:sz w:val="32"/>
          <w:szCs w:val="32"/>
        </w:rPr>
      </w:pPr>
    </w:p>
    <w:p>
      <w:pPr>
        <w:ind w:firstLine="560" w:firstLineChars="200"/>
        <w:rPr>
          <w:rFonts w:ascii="彩虹粗仿宋" w:hAnsi="仿宋" w:eastAsia="彩虹粗仿宋" w:cs="Times New Roman"/>
          <w:color w:val="000000" w:themeColor="text1"/>
          <w:sz w:val="28"/>
          <w:szCs w:val="28"/>
        </w:rPr>
      </w:pPr>
      <w:r>
        <w:rPr>
          <w:rFonts w:hint="eastAsia" w:ascii="彩虹粗仿宋" w:hAnsi="仿宋" w:eastAsia="彩虹粗仿宋" w:cs="Times New Roman"/>
          <w:color w:val="000000" w:themeColor="text1"/>
          <w:sz w:val="28"/>
          <w:szCs w:val="28"/>
        </w:rPr>
        <w:t>（5）两台P740，单台配置（运行会计稽核系统，序列号为06FBB5R和06FBAFR）见下：</w:t>
      </w:r>
    </w:p>
    <w:tbl>
      <w:tblPr>
        <w:tblStyle w:val="15"/>
        <w:tblW w:w="7528" w:type="dxa"/>
        <w:tblInd w:w="93" w:type="dxa"/>
        <w:tblLayout w:type="autofit"/>
        <w:tblCellMar>
          <w:top w:w="0" w:type="dxa"/>
          <w:left w:w="108" w:type="dxa"/>
          <w:bottom w:w="0" w:type="dxa"/>
          <w:right w:w="108" w:type="dxa"/>
        </w:tblCellMar>
      </w:tblPr>
      <w:tblGrid>
        <w:gridCol w:w="1180"/>
        <w:gridCol w:w="5480"/>
        <w:gridCol w:w="868"/>
      </w:tblGrid>
      <w:tr>
        <w:tblPrEx>
          <w:tblCellMar>
            <w:top w:w="0" w:type="dxa"/>
            <w:left w:w="108" w:type="dxa"/>
            <w:bottom w:w="0" w:type="dxa"/>
            <w:right w:w="108" w:type="dxa"/>
          </w:tblCellMar>
        </w:tblPrEx>
        <w:trPr>
          <w:trHeight w:val="240" w:hRule="atLeast"/>
        </w:trPr>
        <w:tc>
          <w:tcPr>
            <w:tcW w:w="1180" w:type="dxa"/>
            <w:tcBorders>
              <w:top w:val="single" w:color="auto" w:sz="4" w:space="0"/>
              <w:left w:val="single" w:color="auto" w:sz="4" w:space="0"/>
              <w:bottom w:val="single" w:color="auto" w:sz="4" w:space="0"/>
              <w:right w:val="single" w:color="auto" w:sz="4" w:space="0"/>
            </w:tcBorders>
            <w:shd w:val="clear" w:color="000000" w:fill="C0C0C0"/>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Product</w:t>
            </w:r>
          </w:p>
        </w:tc>
        <w:tc>
          <w:tcPr>
            <w:tcW w:w="5480" w:type="dxa"/>
            <w:tcBorders>
              <w:top w:val="single" w:color="auto" w:sz="4" w:space="0"/>
              <w:left w:val="nil"/>
              <w:bottom w:val="single" w:color="auto" w:sz="4" w:space="0"/>
              <w:right w:val="single" w:color="auto" w:sz="4" w:space="0"/>
            </w:tcBorders>
            <w:shd w:val="clear" w:color="000000" w:fill="C0C0C0"/>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Description</w:t>
            </w:r>
          </w:p>
        </w:tc>
        <w:tc>
          <w:tcPr>
            <w:tcW w:w="868" w:type="dxa"/>
            <w:tcBorders>
              <w:top w:val="single" w:color="auto" w:sz="4" w:space="0"/>
              <w:left w:val="nil"/>
              <w:bottom w:val="single" w:color="auto" w:sz="4" w:space="0"/>
              <w:right w:val="single" w:color="auto" w:sz="4" w:space="0"/>
            </w:tcBorders>
            <w:shd w:val="clear" w:color="000000" w:fill="C0C0C0"/>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Qty</w:t>
            </w:r>
          </w:p>
        </w:tc>
      </w:tr>
      <w:tr>
        <w:tblPrEx>
          <w:tblCellMar>
            <w:top w:w="0" w:type="dxa"/>
            <w:left w:w="108" w:type="dxa"/>
            <w:bottom w:w="0" w:type="dxa"/>
            <w:right w:w="108" w:type="dxa"/>
          </w:tblCellMar>
        </w:tblPrEx>
        <w:trPr>
          <w:trHeight w:val="461"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8205-E6C</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Server 1:8205 Model E6C</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265</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AIX Partition Specify</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1880</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300GB 15K RPM SAS SFF Disk Drive (AIX/Linux)</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4</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2146</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Primary OS - AIX</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3656</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SAS SFF Cable</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3928</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Serial Port Null Modem Cable, 9-pin to 9-pin, 10M</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3930</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System Serial Port Converter Cable</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4650</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Rack Indicator- Not Factory Integrated</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5000</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Software Preload Required</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5227</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PowerVM Standard Edition</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8</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5273</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PCIe LP 8Gb 2-Port Fibre Channel Adapter</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2</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5603</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System AC Power Supply, 1725 W</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2</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5618</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Storage Backplane -- 6 SFF Bays/ SATA DVD/HH Tape</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5619</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80/160GB DAT160 SAS Tape Drive</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5685</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PCIe Riser Card (Gen2)</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5762</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SATA Slimline DVD-RAM Drive</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5768</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2-Port Gigabit Ethernet-SX PCI Express Adapter</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3</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5785</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4 Port Async EIA-232 PCIe Adapter</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6458</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Power Cable 4.3m (14-ft), Drawer to IBM PDU, (250V/10A)</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2</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7131</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IBM Rack-mount Drawer Bezel and Hardware</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7145</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IBM/OEM Rack-mount Drawer Rail Kit</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5899</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PCIe2 4-Port 1GBE Adapter</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9440</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New AIX License Core Counter</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8</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9722</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Language Group Specify - Simplified Chinese (PRC)</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EM16</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16GB (2x8GB) Memory DIMMs, 1066 MHz, 2Gb DDR3 DRAM</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2</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EPC9</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4-core 3.3 GHz POWER7 Processor Module</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2</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EPD9</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One Processor Activation for Processor Feature #EPC9</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8</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5313-HPO</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IBM Power Software HIPO</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574</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8205-E6C Routing Code</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967</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Base OS</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1061</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OS Specify code for AIX 6.1</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2255</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IBM PowerHA Standard Edition V6.1</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5000</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Preload</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5987</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Traditional Chinese Preinstall PII Language</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9209</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HW not Rack Integrated</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5662-H23</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IBM PowerHA Standard Edition Reg:3Yr</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702</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Per Proc SW Maint 3Y Reg SMALL</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8</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5692-A6P</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System Software</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967</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AIX V6 for POWER</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968</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AIX V6 Expansion Pack</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970</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AIX V6 Update</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1100</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DVD Process Charge</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2263</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IBM PowerHA Standard Edition V6.1</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3435</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DVD/CD-ROM</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5692-A6P</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System Software</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1100</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DVD Process Charge</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1404</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VIOS Expansion Pack</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2201</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Virtual I/O Server</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3435</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DVD/CD-ROM</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5765-G62</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AIX 6 for POWER V6.1</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C0BR</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Per Processor - Small POWER 7</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8</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5765-H23</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IBM PowerHA Standard Edition V6.1</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B9RK</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Per Proc with 1 Year SW Maint SMALL</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8</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5765-PVS</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PowerVM Standard Edition</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B9GU</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Per Processor small system</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8</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5773-PVS</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PowerVM Standard Edition SW Maintenance: 3 Yr</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A0MM</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Per Processor small system 3yr reg</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8</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5773-SM3</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Software Maintenance for AIX, 3 Year</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1252</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Per Processor 3 Yr SWMA Small Power 7 Reg</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8</w:t>
            </w:r>
          </w:p>
        </w:tc>
      </w:tr>
      <w:tr>
        <w:tblPrEx>
          <w:tblCellMar>
            <w:top w:w="0" w:type="dxa"/>
            <w:left w:w="108" w:type="dxa"/>
            <w:bottom w:w="0" w:type="dxa"/>
            <w:right w:w="108" w:type="dxa"/>
          </w:tblCellMar>
        </w:tblPrEx>
        <w:trPr>
          <w:trHeight w:val="300" w:hRule="atLeast"/>
        </w:trPr>
        <w:tc>
          <w:tcPr>
            <w:tcW w:w="1180"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9000</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SWMA Renewal Registration</w:t>
            </w:r>
          </w:p>
        </w:tc>
        <w:tc>
          <w:tcPr>
            <w:tcW w:w="86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w:t>
            </w:r>
          </w:p>
        </w:tc>
      </w:tr>
    </w:tbl>
    <w:p>
      <w:pPr>
        <w:rPr>
          <w:rFonts w:ascii="彩虹粗仿宋" w:hAnsi="仿宋" w:eastAsia="彩虹粗仿宋" w:cs="Times New Roman"/>
          <w:color w:val="000000" w:themeColor="text1"/>
          <w:sz w:val="24"/>
          <w:szCs w:val="24"/>
        </w:rPr>
      </w:pPr>
      <w:r>
        <w:rPr>
          <w:rFonts w:hint="eastAsia" w:ascii="彩虹粗仿宋" w:hAnsi="仿宋" w:eastAsia="彩虹粗仿宋" w:cs="Times New Roman"/>
          <w:color w:val="000000" w:themeColor="text1"/>
          <w:sz w:val="24"/>
          <w:szCs w:val="24"/>
        </w:rPr>
        <w:t>1台HMC套件和TF3</w:t>
      </w:r>
    </w:p>
    <w:tbl>
      <w:tblPr>
        <w:tblStyle w:val="15"/>
        <w:tblW w:w="6660" w:type="dxa"/>
        <w:tblInd w:w="93" w:type="dxa"/>
        <w:tblLayout w:type="autofit"/>
        <w:tblCellMar>
          <w:top w:w="0" w:type="dxa"/>
          <w:left w:w="108" w:type="dxa"/>
          <w:bottom w:w="0" w:type="dxa"/>
          <w:right w:w="108" w:type="dxa"/>
        </w:tblCellMar>
      </w:tblPr>
      <w:tblGrid>
        <w:gridCol w:w="1180"/>
        <w:gridCol w:w="5480"/>
      </w:tblGrid>
      <w:tr>
        <w:tblPrEx>
          <w:tblCellMar>
            <w:top w:w="0" w:type="dxa"/>
            <w:left w:w="108" w:type="dxa"/>
            <w:bottom w:w="0" w:type="dxa"/>
            <w:right w:w="108" w:type="dxa"/>
          </w:tblCellMar>
        </w:tblPrEx>
        <w:trPr>
          <w:trHeight w:val="240" w:hRule="atLeast"/>
        </w:trPr>
        <w:tc>
          <w:tcPr>
            <w:tcW w:w="118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Product</w:t>
            </w:r>
          </w:p>
        </w:tc>
        <w:tc>
          <w:tcPr>
            <w:tcW w:w="5480"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Description</w:t>
            </w:r>
          </w:p>
        </w:tc>
      </w:tr>
      <w:tr>
        <w:tblPrEx>
          <w:tblCellMar>
            <w:top w:w="0" w:type="dxa"/>
            <w:left w:w="108" w:type="dxa"/>
            <w:bottom w:w="0" w:type="dxa"/>
            <w:right w:w="108" w:type="dxa"/>
          </w:tblCellMar>
        </w:tblPrEx>
        <w:trPr>
          <w:trHeight w:val="24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7042-CR6</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HMC 1:7042-CR6 Rack-mounted Hardw.Mgmt.Console</w:t>
            </w:r>
          </w:p>
        </w:tc>
      </w:tr>
      <w:tr>
        <w:tblPrEx>
          <w:tblCellMar>
            <w:top w:w="0" w:type="dxa"/>
            <w:left w:w="108" w:type="dxa"/>
            <w:bottom w:w="0" w:type="dxa"/>
            <w:right w:w="108" w:type="dxa"/>
          </w:tblCellMar>
        </w:tblPrEx>
        <w:trPr>
          <w:trHeight w:val="24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31</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No Modem</w:t>
            </w:r>
          </w:p>
        </w:tc>
      </w:tr>
      <w:tr>
        <w:tblPrEx>
          <w:tblCellMar>
            <w:top w:w="0" w:type="dxa"/>
            <w:left w:w="108" w:type="dxa"/>
            <w:bottom w:w="0" w:type="dxa"/>
            <w:right w:w="108" w:type="dxa"/>
          </w:tblCellMar>
        </w:tblPrEx>
        <w:trPr>
          <w:trHeight w:val="48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962</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Hardware Management Console Licensed Machine Code v7</w:t>
            </w:r>
          </w:p>
        </w:tc>
      </w:tr>
      <w:tr>
        <w:tblPrEx>
          <w:tblCellMar>
            <w:top w:w="0" w:type="dxa"/>
            <w:left w:w="108" w:type="dxa"/>
            <w:bottom w:w="0" w:type="dxa"/>
            <w:right w:w="108" w:type="dxa"/>
          </w:tblCellMar>
        </w:tblPrEx>
        <w:trPr>
          <w:trHeight w:val="24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1208</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8GB Pluggable USB Memory Option</w:t>
            </w:r>
          </w:p>
        </w:tc>
      </w:tr>
      <w:tr>
        <w:tblPrEx>
          <w:tblCellMar>
            <w:top w:w="0" w:type="dxa"/>
            <w:left w:w="108" w:type="dxa"/>
            <w:bottom w:w="0" w:type="dxa"/>
            <w:right w:w="108" w:type="dxa"/>
          </w:tblCellMar>
        </w:tblPrEx>
        <w:trPr>
          <w:trHeight w:val="24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4650</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Rack Indicator- Not Factory Integrated</w:t>
            </w:r>
          </w:p>
        </w:tc>
      </w:tr>
      <w:tr>
        <w:tblPrEx>
          <w:tblCellMar>
            <w:top w:w="0" w:type="dxa"/>
            <w:left w:w="108" w:type="dxa"/>
            <w:bottom w:w="0" w:type="dxa"/>
            <w:right w:w="108" w:type="dxa"/>
          </w:tblCellMar>
        </w:tblPrEx>
        <w:trPr>
          <w:trHeight w:val="24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4765</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HMC CR5/CR6 Redundant Power Supply, 675 W</w:t>
            </w:r>
          </w:p>
        </w:tc>
      </w:tr>
      <w:tr>
        <w:tblPrEx>
          <w:tblCellMar>
            <w:top w:w="0" w:type="dxa"/>
            <w:left w:w="108" w:type="dxa"/>
            <w:bottom w:w="0" w:type="dxa"/>
            <w:right w:w="108" w:type="dxa"/>
          </w:tblCellMar>
        </w:tblPrEx>
        <w:trPr>
          <w:trHeight w:val="24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5951</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Full Width Keyboard -- USB, US English, #103P</w:t>
            </w:r>
          </w:p>
        </w:tc>
      </w:tr>
      <w:tr>
        <w:tblPrEx>
          <w:tblCellMar>
            <w:top w:w="0" w:type="dxa"/>
            <w:left w:w="108" w:type="dxa"/>
            <w:bottom w:w="0" w:type="dxa"/>
            <w:right w:w="108" w:type="dxa"/>
          </w:tblCellMar>
        </w:tblPrEx>
        <w:trPr>
          <w:trHeight w:val="24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6458</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Power Cable -- Drawer to IBM PDU, 14-foot, 250V/10A</w:t>
            </w:r>
          </w:p>
        </w:tc>
      </w:tr>
      <w:tr>
        <w:tblPrEx>
          <w:tblCellMar>
            <w:top w:w="0" w:type="dxa"/>
            <w:left w:w="108" w:type="dxa"/>
            <w:bottom w:w="0" w:type="dxa"/>
            <w:right w:w="108" w:type="dxa"/>
          </w:tblCellMar>
        </w:tblPrEx>
        <w:trPr>
          <w:trHeight w:val="48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7802</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Ethernet Cable, 15m, Hardware Management Console to System Unit</w:t>
            </w:r>
          </w:p>
        </w:tc>
      </w:tr>
      <w:tr>
        <w:tblPrEx>
          <w:tblCellMar>
            <w:top w:w="0" w:type="dxa"/>
            <w:left w:w="108" w:type="dxa"/>
            <w:bottom w:w="0" w:type="dxa"/>
            <w:right w:w="108" w:type="dxa"/>
          </w:tblCellMar>
        </w:tblPrEx>
        <w:trPr>
          <w:trHeight w:val="36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9722</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Language Group Specify - Simplified Chinese (PRC)</w:t>
            </w:r>
          </w:p>
        </w:tc>
      </w:tr>
      <w:tr>
        <w:tblPrEx>
          <w:tblCellMar>
            <w:top w:w="0" w:type="dxa"/>
            <w:left w:w="108" w:type="dxa"/>
            <w:bottom w:w="0" w:type="dxa"/>
            <w:right w:w="108" w:type="dxa"/>
          </w:tblCellMar>
        </w:tblPrEx>
        <w:trPr>
          <w:trHeight w:val="24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7316-TF3</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IBM 7316-TF3 Rack-Mounted Flat Panel Console Kit</w:t>
            </w:r>
          </w:p>
        </w:tc>
      </w:tr>
      <w:tr>
        <w:tblPrEx>
          <w:tblCellMar>
            <w:top w:w="0" w:type="dxa"/>
            <w:left w:w="108" w:type="dxa"/>
            <w:bottom w:w="0" w:type="dxa"/>
            <w:right w:w="108" w:type="dxa"/>
          </w:tblCellMar>
        </w:tblPrEx>
        <w:trPr>
          <w:trHeight w:val="24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4242</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6 Foot Extender Cable for Displays</w:t>
            </w:r>
          </w:p>
        </w:tc>
      </w:tr>
      <w:tr>
        <w:tblPrEx>
          <w:tblCellMar>
            <w:top w:w="0" w:type="dxa"/>
            <w:left w:w="108" w:type="dxa"/>
            <w:bottom w:w="0" w:type="dxa"/>
            <w:right w:w="108" w:type="dxa"/>
          </w:tblCellMar>
        </w:tblPrEx>
        <w:trPr>
          <w:trHeight w:val="24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4650</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Rack Indicator- Not Factory Integrated</w:t>
            </w:r>
          </w:p>
        </w:tc>
      </w:tr>
      <w:tr>
        <w:tblPrEx>
          <w:tblCellMar>
            <w:top w:w="0" w:type="dxa"/>
            <w:left w:w="108" w:type="dxa"/>
            <w:bottom w:w="0" w:type="dxa"/>
            <w:right w:w="108" w:type="dxa"/>
          </w:tblCellMar>
        </w:tblPrEx>
        <w:trPr>
          <w:trHeight w:val="24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8880</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Space Saver 2 Keyboard, US English</w:t>
            </w:r>
          </w:p>
        </w:tc>
      </w:tr>
      <w:tr>
        <w:tblPrEx>
          <w:tblCellMar>
            <w:top w:w="0" w:type="dxa"/>
            <w:left w:w="108" w:type="dxa"/>
            <w:bottom w:w="0" w:type="dxa"/>
            <w:right w:w="108" w:type="dxa"/>
          </w:tblCellMar>
        </w:tblPrEx>
        <w:trPr>
          <w:trHeight w:val="24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9300</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Language Group Specify - US English</w:t>
            </w:r>
          </w:p>
        </w:tc>
      </w:tr>
      <w:tr>
        <w:tblPrEx>
          <w:tblCellMar>
            <w:top w:w="0" w:type="dxa"/>
            <w:left w:w="108" w:type="dxa"/>
            <w:bottom w:w="0" w:type="dxa"/>
            <w:right w:w="108" w:type="dxa"/>
          </w:tblCellMar>
        </w:tblPrEx>
        <w:trPr>
          <w:trHeight w:val="24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9911</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Power Cord (4M) All (Standard Cord)</w:t>
            </w:r>
          </w:p>
        </w:tc>
      </w:tr>
      <w:tr>
        <w:tblPrEx>
          <w:tblCellMar>
            <w:top w:w="0" w:type="dxa"/>
            <w:left w:w="108" w:type="dxa"/>
            <w:bottom w:w="0" w:type="dxa"/>
            <w:right w:w="108" w:type="dxa"/>
          </w:tblCellMar>
        </w:tblPrEx>
        <w:trPr>
          <w:trHeight w:val="24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　</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7316-TF3 Price</w:t>
            </w:r>
          </w:p>
        </w:tc>
      </w:tr>
      <w:tr>
        <w:tblPrEx>
          <w:tblCellMar>
            <w:top w:w="0" w:type="dxa"/>
            <w:left w:w="108" w:type="dxa"/>
            <w:bottom w:w="0" w:type="dxa"/>
            <w:right w:w="108" w:type="dxa"/>
          </w:tblCellMar>
        </w:tblPrEx>
        <w:trPr>
          <w:trHeight w:val="24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5773-RS3</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Initial Software Support 3 Year</w:t>
            </w:r>
          </w:p>
        </w:tc>
      </w:tr>
      <w:tr>
        <w:tblPrEx>
          <w:tblCellMar>
            <w:top w:w="0" w:type="dxa"/>
            <w:left w:w="108" w:type="dxa"/>
            <w:bottom w:w="0" w:type="dxa"/>
            <w:right w:w="108" w:type="dxa"/>
          </w:tblCellMar>
        </w:tblPrEx>
        <w:trPr>
          <w:trHeight w:val="24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569</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Per Processor Software Support 3 Year</w:t>
            </w:r>
          </w:p>
        </w:tc>
      </w:tr>
      <w:tr>
        <w:tblPrEx>
          <w:tblCellMar>
            <w:top w:w="0" w:type="dxa"/>
            <w:left w:w="108" w:type="dxa"/>
            <w:bottom w:w="0" w:type="dxa"/>
            <w:right w:w="108" w:type="dxa"/>
          </w:tblCellMar>
        </w:tblPrEx>
        <w:trPr>
          <w:trHeight w:val="240" w:hRule="atLeast"/>
        </w:trPr>
        <w:tc>
          <w:tcPr>
            <w:tcW w:w="1180"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7000</w:t>
            </w:r>
          </w:p>
        </w:tc>
        <w:tc>
          <w:tcPr>
            <w:tcW w:w="548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Arial Unicode MS"/>
                <w:color w:val="000000" w:themeColor="text1"/>
                <w:kern w:val="0"/>
                <w:sz w:val="24"/>
                <w:szCs w:val="24"/>
              </w:rPr>
            </w:pPr>
            <w:r>
              <w:rPr>
                <w:rFonts w:hint="eastAsia" w:ascii="彩虹粗仿宋" w:hAnsi="仿宋" w:eastAsia="彩虹粗仿宋" w:cs="Arial Unicode MS"/>
                <w:color w:val="000000" w:themeColor="text1"/>
                <w:kern w:val="0"/>
                <w:sz w:val="24"/>
                <w:szCs w:val="24"/>
              </w:rPr>
              <w:t>Agreement for MCRSA</w:t>
            </w:r>
          </w:p>
        </w:tc>
      </w:tr>
    </w:tbl>
    <w:p>
      <w:pPr>
        <w:spacing w:line="360" w:lineRule="auto"/>
        <w:ind w:firstLine="560" w:firstLineChars="200"/>
        <w:rPr>
          <w:rFonts w:ascii="彩虹粗仿宋" w:hAnsi="仿宋" w:eastAsia="彩虹粗仿宋" w:cs="Times New Roman"/>
          <w:color w:val="000000" w:themeColor="text1"/>
          <w:sz w:val="28"/>
          <w:szCs w:val="28"/>
        </w:rPr>
      </w:pPr>
      <w:r>
        <w:rPr>
          <w:rFonts w:hint="eastAsia" w:ascii="彩虹粗仿宋" w:hAnsi="仿宋" w:eastAsia="彩虹粗仿宋" w:cs="Times New Roman"/>
          <w:color w:val="000000" w:themeColor="text1"/>
          <w:sz w:val="28"/>
          <w:szCs w:val="28"/>
        </w:rPr>
        <w:t>（6）两台IBM P720和两台IBM P740及两套</w:t>
      </w:r>
      <w:r>
        <w:rPr>
          <w:rFonts w:hint="eastAsia" w:ascii="彩虹粗仿宋" w:hAnsi="仿宋" w:eastAsia="彩虹粗仿宋" w:cs="宋体"/>
          <w:color w:val="000000" w:themeColor="text1"/>
          <w:kern w:val="0"/>
          <w:sz w:val="28"/>
          <w:szCs w:val="28"/>
        </w:rPr>
        <w:t>HMC和TF3</w:t>
      </w:r>
      <w:r>
        <w:rPr>
          <w:rFonts w:hint="eastAsia" w:ascii="彩虹粗仿宋" w:hAnsi="仿宋" w:eastAsia="彩虹粗仿宋" w:cs="Times New Roman"/>
          <w:color w:val="000000" w:themeColor="text1"/>
          <w:sz w:val="28"/>
          <w:szCs w:val="28"/>
        </w:rPr>
        <w:t>：</w:t>
      </w:r>
    </w:p>
    <w:p>
      <w:pPr>
        <w:spacing w:line="360" w:lineRule="auto"/>
        <w:ind w:firstLine="560" w:firstLineChars="200"/>
        <w:rPr>
          <w:rFonts w:ascii="彩虹粗仿宋" w:hAnsi="仿宋" w:eastAsia="彩虹粗仿宋" w:cs="Times New Roman"/>
          <w:color w:val="000000" w:themeColor="text1"/>
          <w:sz w:val="28"/>
          <w:szCs w:val="28"/>
        </w:rPr>
      </w:pPr>
      <w:r>
        <w:rPr>
          <w:rFonts w:hint="eastAsia" w:ascii="彩虹粗仿宋" w:hAnsi="仿宋" w:eastAsia="彩虹粗仿宋" w:cs="宋体"/>
          <w:color w:val="000000" w:themeColor="text1"/>
          <w:kern w:val="0"/>
          <w:sz w:val="28"/>
          <w:szCs w:val="28"/>
        </w:rPr>
        <w:t>两台IBM P720（运行集中备份管理，序列号为21BD6FT、21BD6DT），单台配置如下：</w:t>
      </w:r>
    </w:p>
    <w:tbl>
      <w:tblPr>
        <w:tblStyle w:val="15"/>
        <w:tblW w:w="8670" w:type="dxa"/>
        <w:tblInd w:w="93" w:type="dxa"/>
        <w:tblLayout w:type="autofit"/>
        <w:tblCellMar>
          <w:top w:w="0" w:type="dxa"/>
          <w:left w:w="108" w:type="dxa"/>
          <w:bottom w:w="0" w:type="dxa"/>
          <w:right w:w="108" w:type="dxa"/>
        </w:tblCellMar>
      </w:tblPr>
      <w:tblGrid>
        <w:gridCol w:w="1496"/>
        <w:gridCol w:w="6336"/>
        <w:gridCol w:w="838"/>
      </w:tblGrid>
      <w:tr>
        <w:tblPrEx>
          <w:tblCellMar>
            <w:top w:w="0" w:type="dxa"/>
            <w:left w:w="108" w:type="dxa"/>
            <w:bottom w:w="0" w:type="dxa"/>
            <w:right w:w="108" w:type="dxa"/>
          </w:tblCellMar>
        </w:tblPrEx>
        <w:trPr>
          <w:trHeight w:val="285" w:hRule="atLeast"/>
        </w:trPr>
        <w:tc>
          <w:tcPr>
            <w:tcW w:w="1496" w:type="dxa"/>
            <w:tcBorders>
              <w:top w:val="nil"/>
              <w:left w:val="single" w:color="auto" w:sz="4" w:space="0"/>
              <w:bottom w:val="single" w:color="auto" w:sz="4" w:space="0"/>
              <w:right w:val="single" w:color="auto" w:sz="4" w:space="0"/>
            </w:tcBorders>
            <w:shd w:val="clear" w:color="000000" w:fill="C0C0C0"/>
            <w:noWrap/>
            <w:vAlign w:val="center"/>
          </w:tcPr>
          <w:p>
            <w:pPr>
              <w:widowControl/>
              <w:jc w:val="center"/>
              <w:rPr>
                <w:rFonts w:ascii="彩虹粗仿宋" w:hAnsi="仿宋" w:eastAsia="彩虹粗仿宋" w:cs="宋体"/>
                <w:color w:val="000000" w:themeColor="text1"/>
                <w:kern w:val="0"/>
                <w:sz w:val="28"/>
                <w:szCs w:val="28"/>
              </w:rPr>
            </w:pPr>
            <w:r>
              <w:rPr>
                <w:rFonts w:hint="eastAsia" w:ascii="彩虹粗仿宋" w:hAnsi="仿宋" w:eastAsia="彩虹粗仿宋" w:cs="宋体"/>
                <w:color w:val="000000" w:themeColor="text1"/>
                <w:kern w:val="0"/>
                <w:sz w:val="28"/>
                <w:szCs w:val="28"/>
              </w:rPr>
              <w:t>产品号</w:t>
            </w:r>
          </w:p>
        </w:tc>
        <w:tc>
          <w:tcPr>
            <w:tcW w:w="6336" w:type="dxa"/>
            <w:tcBorders>
              <w:top w:val="nil"/>
              <w:left w:val="nil"/>
              <w:bottom w:val="single" w:color="auto" w:sz="4" w:space="0"/>
              <w:right w:val="single" w:color="auto" w:sz="4" w:space="0"/>
            </w:tcBorders>
            <w:shd w:val="clear" w:color="000000" w:fill="C0C0C0"/>
            <w:vAlign w:val="center"/>
          </w:tcPr>
          <w:p>
            <w:pPr>
              <w:widowControl/>
              <w:jc w:val="center"/>
              <w:rPr>
                <w:rFonts w:ascii="彩虹粗仿宋" w:hAnsi="仿宋" w:eastAsia="彩虹粗仿宋" w:cs="宋体"/>
                <w:color w:val="000000" w:themeColor="text1"/>
                <w:kern w:val="0"/>
                <w:sz w:val="28"/>
                <w:szCs w:val="28"/>
              </w:rPr>
            </w:pPr>
            <w:r>
              <w:rPr>
                <w:rFonts w:hint="eastAsia" w:ascii="彩虹粗仿宋" w:hAnsi="仿宋" w:eastAsia="彩虹粗仿宋" w:cs="宋体"/>
                <w:color w:val="000000" w:themeColor="text1"/>
                <w:kern w:val="0"/>
                <w:sz w:val="28"/>
                <w:szCs w:val="28"/>
              </w:rPr>
              <w:t>产品描述</w:t>
            </w:r>
          </w:p>
        </w:tc>
        <w:tc>
          <w:tcPr>
            <w:tcW w:w="838" w:type="dxa"/>
            <w:tcBorders>
              <w:top w:val="nil"/>
              <w:left w:val="nil"/>
              <w:bottom w:val="single" w:color="auto" w:sz="4" w:space="0"/>
              <w:right w:val="single" w:color="auto" w:sz="4" w:space="0"/>
            </w:tcBorders>
            <w:shd w:val="clear" w:color="000000" w:fill="C0C0C0"/>
            <w:noWrap/>
            <w:vAlign w:val="center"/>
          </w:tcPr>
          <w:p>
            <w:pPr>
              <w:widowControl/>
              <w:jc w:val="center"/>
              <w:rPr>
                <w:rFonts w:ascii="彩虹粗仿宋" w:hAnsi="仿宋" w:eastAsia="彩虹粗仿宋" w:cs="宋体"/>
                <w:color w:val="000000" w:themeColor="text1"/>
                <w:kern w:val="0"/>
                <w:sz w:val="28"/>
                <w:szCs w:val="28"/>
              </w:rPr>
            </w:pPr>
            <w:r>
              <w:rPr>
                <w:rFonts w:hint="eastAsia" w:ascii="彩虹粗仿宋" w:hAnsi="仿宋" w:eastAsia="彩虹粗仿宋" w:cs="宋体"/>
                <w:color w:val="000000" w:themeColor="text1"/>
                <w:kern w:val="0"/>
                <w:sz w:val="28"/>
                <w:szCs w:val="28"/>
              </w:rPr>
              <w:t>数量</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8202-E4C</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Server 1:8202 Model E4C</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265</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AIX Partition Specify</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1880</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300GB 15K RPM SAS SFF Disk Drive (AIX/Linux)</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4</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2146</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Primary OS - AIX</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3656</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SAS SFF Cable</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54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3928</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Serial Port Null Modem Cable, 9-pin to 9-pin, 10M</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3930</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System Serial Port Converter Cable</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4650</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Rack Indicator- Not Factory Integrated</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5000</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Software Preload Required</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5227</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PowerVM Standard Edition</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4</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5273</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PCIe LP 8Gb 2-Port Fibre Channel Adapter</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2</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5603</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System AC Power Supply, 1725 W</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2</w:t>
            </w:r>
          </w:p>
        </w:tc>
      </w:tr>
      <w:tr>
        <w:tblPrEx>
          <w:tblCellMar>
            <w:top w:w="0" w:type="dxa"/>
            <w:left w:w="108" w:type="dxa"/>
            <w:bottom w:w="0" w:type="dxa"/>
            <w:right w:w="108" w:type="dxa"/>
          </w:tblCellMar>
        </w:tblPrEx>
        <w:trPr>
          <w:trHeight w:val="54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5618</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Storage Backplane -- 6 SFF Bays/ SATA DVD/HH Tape</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5619</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80/160GB DAT160 SAS Tape Drive</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5685</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PCIe Riser Card (Gen2)</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5762</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SATA Slimline DVD-RAM Drive</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54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5768</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2-Port Gigabit Ethernet-SX PCI Express Adapter</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3</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5785</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4 Port Async EIA-232 PCIe Adapter</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54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6458</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Power Cable 4.3m (14-ft), Drawer to IBM PDU, (250V/10A)</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2</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7134</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IBM Rack-mount Drawer Bezel and Hardware</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7145</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IBM/OEM Rack-mount Drawer Rail Kit</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5899</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PCIe2 4-Port 1GBE Adapter</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9440</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New AIX License Core Counter</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4</w:t>
            </w:r>
          </w:p>
        </w:tc>
      </w:tr>
      <w:tr>
        <w:tblPrEx>
          <w:tblCellMar>
            <w:top w:w="0" w:type="dxa"/>
            <w:left w:w="108" w:type="dxa"/>
            <w:bottom w:w="0" w:type="dxa"/>
            <w:right w:w="108" w:type="dxa"/>
          </w:tblCellMar>
        </w:tblPrEx>
        <w:trPr>
          <w:trHeight w:val="54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9722</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Language Group Specify - Simplified Chinese (PRC)</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54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EM08</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8GB (2x4GB) Memory DIMMs, 1066 MHz, 2Gb DDR3 DRAM</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2</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EPC5</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4-core 3.0 GHz POWER7 Processor Module</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54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EPD5</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One Processor Activation for Processor Feature #EPC5</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4</w:t>
            </w:r>
          </w:p>
        </w:tc>
      </w:tr>
      <w:tr>
        <w:tblPrEx>
          <w:tblCellMar>
            <w:top w:w="0" w:type="dxa"/>
            <w:left w:w="108" w:type="dxa"/>
            <w:bottom w:w="0" w:type="dxa"/>
            <w:right w:w="108" w:type="dxa"/>
          </w:tblCellMar>
        </w:tblPrEx>
        <w:trPr>
          <w:trHeight w:val="270" w:hRule="atLeast"/>
        </w:trPr>
        <w:tc>
          <w:tcPr>
            <w:tcW w:w="1496" w:type="dxa"/>
            <w:tcBorders>
              <w:top w:val="nil"/>
              <w:left w:val="single" w:color="auto" w:sz="12"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ESC6</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Shipping and Handling - B</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5313-HPO</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IBM Power Software HIPO</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573</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8202-E4C Routing Code</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967</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Base OS</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1061</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OS Specify code for AIX 6.1</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2255</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IBM PowerHA Standard Edition V6.1</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5000</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Preload</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5987</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Traditional Chinese Preinstall PII Language</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9209</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HW not Rack Integrated</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5662-H23</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IBM PowerHA Standard Edition Reg:3Yr</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702</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Per Proc SW Maint 3Y Reg SMALL</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4</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5692-A6P</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System Software</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967</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AIX V6 for POWER</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968</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AIX V6 Expansion Pack</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970</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AIX V6 Update</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1100</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DVD Process Charge</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2263</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IBM PowerHA Standard Edition V6.1</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3435</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DVD/CD-ROM</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5692-A6P</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System Software</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1100</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DVD Process Charge</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1404</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VIOS Expansion Pack</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2201</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Virtual I/O Server</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3435</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DVD/CD-ROM</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5765-G62</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AIX 6 for POWER V6.1</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C0BR</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Per Processor - Small POWER 7</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4</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5765-H23</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IBM PowerHA Standard Edition V6.1</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B9RK</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Per Proc with 1 Year SW Maint SMALL</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4</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5765-PVS</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PowerVM Standard Edition</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B9GU</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Per Processor small system</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4</w:t>
            </w:r>
          </w:p>
        </w:tc>
      </w:tr>
    </w:tbl>
    <w:p>
      <w:pPr>
        <w:spacing w:line="360" w:lineRule="auto"/>
        <w:ind w:firstLine="560" w:firstLineChars="200"/>
        <w:rPr>
          <w:rFonts w:ascii="彩虹粗仿宋" w:hAnsi="仿宋" w:eastAsia="彩虹粗仿宋" w:cs="宋体"/>
          <w:color w:val="000000" w:themeColor="text1"/>
          <w:kern w:val="0"/>
          <w:sz w:val="28"/>
          <w:szCs w:val="28"/>
        </w:rPr>
      </w:pPr>
      <w:r>
        <w:rPr>
          <w:rFonts w:hint="eastAsia" w:ascii="彩虹粗仿宋" w:hAnsi="仿宋" w:eastAsia="彩虹粗仿宋" w:cs="宋体"/>
          <w:color w:val="000000" w:themeColor="text1"/>
          <w:kern w:val="0"/>
          <w:sz w:val="28"/>
          <w:szCs w:val="28"/>
        </w:rPr>
        <w:t>2套HMC和TF3，单套配置如下：</w:t>
      </w:r>
    </w:p>
    <w:tbl>
      <w:tblPr>
        <w:tblStyle w:val="15"/>
        <w:tblW w:w="8670" w:type="dxa"/>
        <w:tblInd w:w="93" w:type="dxa"/>
        <w:tblLayout w:type="autofit"/>
        <w:tblCellMar>
          <w:top w:w="0" w:type="dxa"/>
          <w:left w:w="108" w:type="dxa"/>
          <w:bottom w:w="0" w:type="dxa"/>
          <w:right w:w="108" w:type="dxa"/>
        </w:tblCellMar>
      </w:tblPr>
      <w:tblGrid>
        <w:gridCol w:w="1496"/>
        <w:gridCol w:w="6336"/>
        <w:gridCol w:w="838"/>
      </w:tblGrid>
      <w:tr>
        <w:tblPrEx>
          <w:tblCellMar>
            <w:top w:w="0" w:type="dxa"/>
            <w:left w:w="108" w:type="dxa"/>
            <w:bottom w:w="0" w:type="dxa"/>
            <w:right w:w="108" w:type="dxa"/>
          </w:tblCellMar>
        </w:tblPrEx>
        <w:trPr>
          <w:trHeight w:val="285" w:hRule="atLeast"/>
        </w:trPr>
        <w:tc>
          <w:tcPr>
            <w:tcW w:w="1496" w:type="dxa"/>
            <w:tcBorders>
              <w:top w:val="nil"/>
              <w:left w:val="single" w:color="auto" w:sz="4" w:space="0"/>
              <w:bottom w:val="single" w:color="auto" w:sz="4" w:space="0"/>
              <w:right w:val="single" w:color="auto" w:sz="4" w:space="0"/>
            </w:tcBorders>
            <w:shd w:val="clear" w:color="000000" w:fill="C0C0C0"/>
            <w:noWrap/>
            <w:vAlign w:val="center"/>
          </w:tcPr>
          <w:p>
            <w:pPr>
              <w:widowControl/>
              <w:jc w:val="center"/>
              <w:rPr>
                <w:rFonts w:ascii="彩虹粗仿宋" w:hAnsi="仿宋" w:eastAsia="彩虹粗仿宋" w:cs="宋体"/>
                <w:color w:val="000000" w:themeColor="text1"/>
                <w:kern w:val="0"/>
                <w:sz w:val="28"/>
                <w:szCs w:val="28"/>
              </w:rPr>
            </w:pPr>
            <w:r>
              <w:rPr>
                <w:rFonts w:hint="eastAsia" w:ascii="彩虹粗仿宋" w:hAnsi="仿宋" w:eastAsia="彩虹粗仿宋" w:cs="宋体"/>
                <w:color w:val="000000" w:themeColor="text1"/>
                <w:kern w:val="0"/>
                <w:sz w:val="28"/>
                <w:szCs w:val="28"/>
              </w:rPr>
              <w:t>产品号</w:t>
            </w:r>
          </w:p>
        </w:tc>
        <w:tc>
          <w:tcPr>
            <w:tcW w:w="6336" w:type="dxa"/>
            <w:tcBorders>
              <w:top w:val="nil"/>
              <w:left w:val="nil"/>
              <w:bottom w:val="single" w:color="auto" w:sz="4" w:space="0"/>
              <w:right w:val="single" w:color="auto" w:sz="4" w:space="0"/>
            </w:tcBorders>
            <w:shd w:val="clear" w:color="000000" w:fill="C0C0C0"/>
            <w:vAlign w:val="center"/>
          </w:tcPr>
          <w:p>
            <w:pPr>
              <w:widowControl/>
              <w:jc w:val="center"/>
              <w:rPr>
                <w:rFonts w:ascii="彩虹粗仿宋" w:hAnsi="仿宋" w:eastAsia="彩虹粗仿宋" w:cs="宋体"/>
                <w:color w:val="000000" w:themeColor="text1"/>
                <w:kern w:val="0"/>
                <w:sz w:val="28"/>
                <w:szCs w:val="28"/>
              </w:rPr>
            </w:pPr>
            <w:r>
              <w:rPr>
                <w:rFonts w:hint="eastAsia" w:ascii="彩虹粗仿宋" w:hAnsi="仿宋" w:eastAsia="彩虹粗仿宋" w:cs="宋体"/>
                <w:color w:val="000000" w:themeColor="text1"/>
                <w:kern w:val="0"/>
                <w:sz w:val="28"/>
                <w:szCs w:val="28"/>
              </w:rPr>
              <w:t>产品描述</w:t>
            </w:r>
          </w:p>
        </w:tc>
        <w:tc>
          <w:tcPr>
            <w:tcW w:w="838" w:type="dxa"/>
            <w:tcBorders>
              <w:top w:val="nil"/>
              <w:left w:val="nil"/>
              <w:bottom w:val="single" w:color="auto" w:sz="4" w:space="0"/>
              <w:right w:val="single" w:color="auto" w:sz="4" w:space="0"/>
            </w:tcBorders>
            <w:shd w:val="clear" w:color="000000" w:fill="C0C0C0"/>
            <w:noWrap/>
            <w:vAlign w:val="center"/>
          </w:tcPr>
          <w:p>
            <w:pPr>
              <w:widowControl/>
              <w:jc w:val="center"/>
              <w:rPr>
                <w:rFonts w:ascii="彩虹粗仿宋" w:hAnsi="仿宋" w:eastAsia="彩虹粗仿宋" w:cs="宋体"/>
                <w:color w:val="000000" w:themeColor="text1"/>
                <w:kern w:val="0"/>
                <w:sz w:val="28"/>
                <w:szCs w:val="28"/>
              </w:rPr>
            </w:pPr>
            <w:r>
              <w:rPr>
                <w:rFonts w:hint="eastAsia" w:ascii="彩虹粗仿宋" w:hAnsi="仿宋" w:eastAsia="彩虹粗仿宋" w:cs="宋体"/>
                <w:color w:val="000000" w:themeColor="text1"/>
                <w:kern w:val="0"/>
                <w:sz w:val="28"/>
                <w:szCs w:val="28"/>
              </w:rPr>
              <w:t>数量</w:t>
            </w:r>
          </w:p>
        </w:tc>
      </w:tr>
      <w:tr>
        <w:tblPrEx>
          <w:tblCellMar>
            <w:top w:w="0" w:type="dxa"/>
            <w:left w:w="108" w:type="dxa"/>
            <w:bottom w:w="0" w:type="dxa"/>
            <w:right w:w="108" w:type="dxa"/>
          </w:tblCellMar>
        </w:tblPrEx>
        <w:trPr>
          <w:trHeight w:val="540" w:hRule="atLeast"/>
        </w:trPr>
        <w:tc>
          <w:tcPr>
            <w:tcW w:w="1496" w:type="dxa"/>
            <w:tcBorders>
              <w:top w:val="nil"/>
              <w:left w:val="single" w:color="auto" w:sz="12"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7042-CR7</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HMC 1:7042-CR7 Rack-mounted Hardw.Mgmt.Console</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540" w:hRule="atLeast"/>
        </w:trPr>
        <w:tc>
          <w:tcPr>
            <w:tcW w:w="1496" w:type="dxa"/>
            <w:tcBorders>
              <w:top w:val="nil"/>
              <w:left w:val="single" w:color="auto" w:sz="12"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962</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Hardware Management Console Licensed Machine Code v7</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12"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1208</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8GB Pluggable USB Memory Option</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12"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4650</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Rack Indicator- Not Factory Integrated</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540" w:hRule="atLeast"/>
        </w:trPr>
        <w:tc>
          <w:tcPr>
            <w:tcW w:w="1496" w:type="dxa"/>
            <w:tcBorders>
              <w:top w:val="nil"/>
              <w:left w:val="single" w:color="auto" w:sz="12"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6458</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Power Cable -- Drawer to IBM PDU, 14-foot, 250V/10A</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2</w:t>
            </w:r>
          </w:p>
        </w:tc>
      </w:tr>
      <w:tr>
        <w:tblPrEx>
          <w:tblCellMar>
            <w:top w:w="0" w:type="dxa"/>
            <w:left w:w="108" w:type="dxa"/>
            <w:bottom w:w="0" w:type="dxa"/>
            <w:right w:w="108" w:type="dxa"/>
          </w:tblCellMar>
        </w:tblPrEx>
        <w:trPr>
          <w:trHeight w:val="540" w:hRule="atLeast"/>
        </w:trPr>
        <w:tc>
          <w:tcPr>
            <w:tcW w:w="1496" w:type="dxa"/>
            <w:tcBorders>
              <w:top w:val="nil"/>
              <w:left w:val="single" w:color="auto" w:sz="12"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7802</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Ethernet Cable, 15m, Hardware Management Console to System Unit</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540" w:hRule="atLeast"/>
        </w:trPr>
        <w:tc>
          <w:tcPr>
            <w:tcW w:w="1496" w:type="dxa"/>
            <w:tcBorders>
              <w:top w:val="nil"/>
              <w:left w:val="single" w:color="auto" w:sz="12"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9722</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Language Group Specify - Simplified Chinese (PRC)</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12"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ESC3</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Shipping and Handling</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12"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EU02</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Redundant 550W Power Supply For CR7</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540" w:hRule="atLeast"/>
        </w:trPr>
        <w:tc>
          <w:tcPr>
            <w:tcW w:w="1496" w:type="dxa"/>
            <w:tcBorders>
              <w:top w:val="nil"/>
              <w:left w:val="single" w:color="auto" w:sz="12"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7316-TF3</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IBM 7316-TF3 Rack-Mounted Flat Panel Console Kit</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12"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4650</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Rack Indicator- Not Factory Integrated</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12"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8880</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Space Saver 2 Keyboard, US English</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12"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9300</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Language Group Specify - US English</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12"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9911</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Power Cord (4M) All (Standard Cord)</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12" w:space="0"/>
              <w:bottom w:val="single" w:color="auto" w:sz="4" w:space="0"/>
              <w:right w:val="single" w:color="auto" w:sz="4" w:space="0"/>
            </w:tcBorders>
            <w:shd w:val="clear" w:color="auto" w:fill="auto"/>
            <w:noWrap/>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ESC3</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Shipping and handling</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70" w:hRule="atLeast"/>
        </w:trPr>
        <w:tc>
          <w:tcPr>
            <w:tcW w:w="1496" w:type="dxa"/>
            <w:tcBorders>
              <w:top w:val="nil"/>
              <w:left w:val="single" w:color="auto" w:sz="12" w:space="0"/>
              <w:bottom w:val="single" w:color="auto" w:sz="4" w:space="0"/>
              <w:right w:val="single" w:color="auto" w:sz="4" w:space="0"/>
            </w:tcBorders>
            <w:shd w:val="clear" w:color="auto" w:fill="auto"/>
            <w:noWrap/>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7000</w:t>
            </w:r>
          </w:p>
        </w:tc>
        <w:tc>
          <w:tcPr>
            <w:tcW w:w="63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Agreement for MCRSA</w:t>
            </w:r>
          </w:p>
        </w:tc>
        <w:tc>
          <w:tcPr>
            <w:tcW w:w="838" w:type="dxa"/>
            <w:tcBorders>
              <w:top w:val="nil"/>
              <w:left w:val="nil"/>
              <w:bottom w:val="single" w:color="auto" w:sz="4" w:space="0"/>
              <w:right w:val="single" w:color="auto" w:sz="4" w:space="0"/>
            </w:tcBorders>
            <w:shd w:val="clear" w:color="auto" w:fill="auto"/>
            <w:noWrap/>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bl>
    <w:p>
      <w:pPr>
        <w:rPr>
          <w:rFonts w:ascii="彩虹粗仿宋" w:hAnsi="仿宋" w:eastAsia="彩虹粗仿宋" w:cs="Times New Roman"/>
          <w:color w:val="000000" w:themeColor="text1"/>
          <w:sz w:val="28"/>
          <w:szCs w:val="28"/>
        </w:rPr>
      </w:pPr>
      <w:r>
        <w:rPr>
          <w:rFonts w:hint="eastAsia" w:ascii="彩虹粗仿宋" w:hAnsi="仿宋" w:eastAsia="彩虹粗仿宋" w:cs="Times New Roman"/>
          <w:color w:val="000000" w:themeColor="text1"/>
          <w:sz w:val="28"/>
          <w:szCs w:val="28"/>
        </w:rPr>
        <w:t>（7）集中备份带库配置</w:t>
      </w:r>
    </w:p>
    <w:p>
      <w:pPr>
        <w:rPr>
          <w:rFonts w:ascii="彩虹粗仿宋" w:hAnsi="仿宋" w:eastAsia="彩虹粗仿宋" w:cs="Times New Roman"/>
          <w:color w:val="000000" w:themeColor="text1"/>
          <w:sz w:val="28"/>
          <w:szCs w:val="28"/>
        </w:rPr>
      </w:pPr>
      <w:r>
        <w:rPr>
          <w:rFonts w:hint="eastAsia" w:ascii="彩虹粗仿宋" w:hAnsi="仿宋" w:eastAsia="彩虹粗仿宋" w:cs="Times New Roman"/>
          <w:color w:val="000000" w:themeColor="text1"/>
          <w:sz w:val="28"/>
          <w:szCs w:val="28"/>
        </w:rPr>
        <w:t>序列号：7823209、7846328、7867882</w:t>
      </w:r>
    </w:p>
    <w:tbl>
      <w:tblPr>
        <w:tblStyle w:val="15"/>
        <w:tblW w:w="7386" w:type="dxa"/>
        <w:tblInd w:w="93" w:type="dxa"/>
        <w:tblLayout w:type="fixed"/>
        <w:tblCellMar>
          <w:top w:w="0" w:type="dxa"/>
          <w:left w:w="108" w:type="dxa"/>
          <w:bottom w:w="0" w:type="dxa"/>
          <w:right w:w="108" w:type="dxa"/>
        </w:tblCellMar>
      </w:tblPr>
      <w:tblGrid>
        <w:gridCol w:w="1176"/>
        <w:gridCol w:w="5358"/>
        <w:gridCol w:w="852"/>
      </w:tblGrid>
      <w:tr>
        <w:tblPrEx>
          <w:tblCellMar>
            <w:top w:w="0" w:type="dxa"/>
            <w:left w:w="108" w:type="dxa"/>
            <w:bottom w:w="0" w:type="dxa"/>
            <w:right w:w="108" w:type="dxa"/>
          </w:tblCellMar>
        </w:tblPrEx>
        <w:trPr>
          <w:trHeight w:val="285" w:hRule="atLeast"/>
        </w:trPr>
        <w:tc>
          <w:tcPr>
            <w:tcW w:w="1176" w:type="dxa"/>
            <w:tcBorders>
              <w:top w:val="single" w:color="auto" w:sz="4" w:space="0"/>
              <w:left w:val="single" w:color="auto" w:sz="4" w:space="0"/>
              <w:bottom w:val="single" w:color="auto" w:sz="4" w:space="0"/>
              <w:right w:val="single" w:color="auto" w:sz="4" w:space="0"/>
            </w:tcBorders>
            <w:shd w:val="clear" w:color="auto" w:fill="CCFFFF"/>
            <w:vAlign w:val="center"/>
          </w:tcPr>
          <w:p>
            <w:pPr>
              <w:widowControl/>
              <w:jc w:val="left"/>
              <w:rPr>
                <w:rFonts w:ascii="彩虹粗仿宋" w:hAnsi="仿宋" w:eastAsia="彩虹粗仿宋" w:cs="宋体"/>
                <w:bCs/>
                <w:color w:val="000000" w:themeColor="text1"/>
                <w:kern w:val="0"/>
                <w:sz w:val="24"/>
                <w:szCs w:val="24"/>
              </w:rPr>
            </w:pPr>
            <w:r>
              <w:rPr>
                <w:rFonts w:hint="eastAsia" w:ascii="彩虹粗仿宋" w:hAnsi="仿宋" w:eastAsia="彩虹粗仿宋" w:cs="宋体"/>
                <w:bCs/>
                <w:color w:val="000000" w:themeColor="text1"/>
                <w:kern w:val="0"/>
                <w:sz w:val="24"/>
                <w:szCs w:val="24"/>
              </w:rPr>
              <w:t>型号</w:t>
            </w:r>
          </w:p>
        </w:tc>
        <w:tc>
          <w:tcPr>
            <w:tcW w:w="5358" w:type="dxa"/>
            <w:tcBorders>
              <w:top w:val="single" w:color="auto" w:sz="4" w:space="0"/>
              <w:left w:val="nil"/>
              <w:bottom w:val="single" w:color="auto" w:sz="4" w:space="0"/>
              <w:right w:val="single" w:color="auto" w:sz="4" w:space="0"/>
            </w:tcBorders>
            <w:shd w:val="clear" w:color="auto" w:fill="CCFFFF"/>
            <w:vAlign w:val="center"/>
          </w:tcPr>
          <w:p>
            <w:pPr>
              <w:widowControl/>
              <w:jc w:val="left"/>
              <w:rPr>
                <w:rFonts w:ascii="彩虹粗仿宋" w:hAnsi="仿宋" w:eastAsia="彩虹粗仿宋" w:cs="宋体"/>
                <w:bCs/>
                <w:color w:val="000000" w:themeColor="text1"/>
                <w:kern w:val="0"/>
                <w:sz w:val="24"/>
                <w:szCs w:val="24"/>
              </w:rPr>
            </w:pPr>
            <w:r>
              <w:rPr>
                <w:rFonts w:hint="eastAsia" w:ascii="彩虹粗仿宋" w:hAnsi="仿宋" w:eastAsia="彩虹粗仿宋" w:cs="宋体"/>
                <w:bCs/>
                <w:color w:val="000000" w:themeColor="text1"/>
                <w:kern w:val="0"/>
                <w:sz w:val="24"/>
                <w:szCs w:val="24"/>
              </w:rPr>
              <w:t>英文说明</w:t>
            </w:r>
          </w:p>
        </w:tc>
        <w:tc>
          <w:tcPr>
            <w:tcW w:w="852" w:type="dxa"/>
            <w:tcBorders>
              <w:top w:val="single" w:color="auto" w:sz="4" w:space="0"/>
              <w:left w:val="nil"/>
              <w:bottom w:val="single" w:color="auto" w:sz="4" w:space="0"/>
              <w:right w:val="single" w:color="auto" w:sz="4" w:space="0"/>
            </w:tcBorders>
            <w:shd w:val="clear" w:color="auto" w:fill="CCFFFF"/>
            <w:vAlign w:val="center"/>
          </w:tcPr>
          <w:p>
            <w:pPr>
              <w:widowControl/>
              <w:jc w:val="center"/>
              <w:rPr>
                <w:rFonts w:ascii="彩虹粗仿宋" w:hAnsi="仿宋" w:eastAsia="彩虹粗仿宋" w:cs="宋体"/>
                <w:bCs/>
                <w:color w:val="000000" w:themeColor="text1"/>
                <w:kern w:val="0"/>
                <w:sz w:val="24"/>
                <w:szCs w:val="24"/>
              </w:rPr>
            </w:pPr>
            <w:r>
              <w:rPr>
                <w:rFonts w:hint="eastAsia" w:ascii="彩虹粗仿宋" w:hAnsi="仿宋" w:eastAsia="彩虹粗仿宋" w:cs="宋体"/>
                <w:bCs/>
                <w:color w:val="000000" w:themeColor="text1"/>
                <w:kern w:val="0"/>
                <w:sz w:val="24"/>
                <w:szCs w:val="24"/>
              </w:rPr>
              <w:t>数量</w:t>
            </w:r>
          </w:p>
        </w:tc>
      </w:tr>
      <w:tr>
        <w:tblPrEx>
          <w:tblCellMar>
            <w:top w:w="0" w:type="dxa"/>
            <w:left w:w="108" w:type="dxa"/>
            <w:bottom w:w="0" w:type="dxa"/>
            <w:right w:w="108" w:type="dxa"/>
          </w:tblCellMar>
        </w:tblPrEx>
        <w:trPr>
          <w:trHeight w:val="285" w:hRule="atLeast"/>
        </w:trPr>
        <w:tc>
          <w:tcPr>
            <w:tcW w:w="7386" w:type="dxa"/>
            <w:gridSpan w:val="3"/>
            <w:tcBorders>
              <w:top w:val="single" w:color="auto" w:sz="4" w:space="0"/>
              <w:left w:val="single" w:color="auto" w:sz="4" w:space="0"/>
              <w:bottom w:val="single" w:color="auto" w:sz="4" w:space="0"/>
              <w:right w:val="single" w:color="000000"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IBM TS3500，配置18个LTO4带机，一个扩展柜，280槽位，带动态分区功能</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3584-L53</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TS3520 Tape Library</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1514</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LTO Fibre Drive Mtg Kit</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18</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1643</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Interned Cap On Demand</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1644</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Full Capacity On Demand</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1690</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Advanced Lib Mgt System</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2710</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Remote Support Facility</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2715</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Console Attachment</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6005</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 Meter LC-LC Fibre Cable</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8750</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LTO Cleaning Cartridge</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9210</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Attach to HP-UX System</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9211</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Attach to Sun System</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9212</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Attach to Windows System</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9213</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Attach to Other Non-IBM Sys</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9215</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Attached to Linux System</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9600</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Attach to RS/6000 System</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9682</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3588 F4A Plant Install</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18</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9980</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Dual 4.3M Pwr Cord China</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3588-F4A</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TS1040 Ultrium 4 Tape Driv</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18</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9682</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3588 F4A Plant Install</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18</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3589-010</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lang w:val="de-DE"/>
              </w:rPr>
            </w:pPr>
            <w:r>
              <w:rPr>
                <w:rFonts w:hint="eastAsia" w:ascii="彩虹粗仿宋" w:hAnsi="仿宋" w:eastAsia="彩虹粗仿宋" w:cs="宋体"/>
                <w:color w:val="000000" w:themeColor="text1"/>
                <w:kern w:val="0"/>
                <w:sz w:val="24"/>
                <w:szCs w:val="24"/>
                <w:lang w:val="de-DE"/>
              </w:rPr>
              <w:t>LTO Gen4 800 GB DCart w/ label</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1020</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20pk LTO Gen4 800 GB w/lbl</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10</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8000</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JEWEL CASE</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9003</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Alpha prefix bkgrd - Red</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9022</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Label bkgrd: color/vibrant</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9110</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1st Char of Volser =A</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9200</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2nd Char of Volser =0</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9300</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3rd Char of Volser =0</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9400</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4th Char of Volser =0</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r>
        <w:tblPrEx>
          <w:tblCellMar>
            <w:top w:w="0" w:type="dxa"/>
            <w:left w:w="108" w:type="dxa"/>
            <w:bottom w:w="0" w:type="dxa"/>
            <w:right w:w="108" w:type="dxa"/>
          </w:tblCellMar>
        </w:tblPrEx>
        <w:trPr>
          <w:trHeight w:val="285" w:hRule="atLeast"/>
        </w:trPr>
        <w:tc>
          <w:tcPr>
            <w:tcW w:w="1176" w:type="dxa"/>
            <w:tcBorders>
              <w:top w:val="nil"/>
              <w:left w:val="single" w:color="auto" w:sz="4" w:space="0"/>
              <w:bottom w:val="single" w:color="auto" w:sz="4" w:space="0"/>
              <w:right w:val="single" w:color="auto" w:sz="4" w:space="0"/>
            </w:tcBorders>
            <w:shd w:val="clear" w:color="auto" w:fill="auto"/>
            <w:vAlign w:val="center"/>
          </w:tcPr>
          <w:p>
            <w:pPr>
              <w:widowControl/>
              <w:jc w:val="righ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9500</w:t>
            </w:r>
          </w:p>
        </w:tc>
        <w:tc>
          <w:tcPr>
            <w:tcW w:w="5358"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5th Char of Volser =0</w:t>
            </w:r>
          </w:p>
        </w:tc>
        <w:tc>
          <w:tcPr>
            <w:tcW w:w="852" w:type="dxa"/>
            <w:tcBorders>
              <w:top w:val="nil"/>
              <w:left w:val="nil"/>
              <w:bottom w:val="single" w:color="auto" w:sz="4" w:space="0"/>
              <w:right w:val="single" w:color="auto" w:sz="4" w:space="0"/>
            </w:tcBorders>
            <w:shd w:val="clear" w:color="auto" w:fill="auto"/>
            <w:vAlign w:val="center"/>
          </w:tcPr>
          <w:p>
            <w:pPr>
              <w:widowControl/>
              <w:jc w:val="center"/>
              <w:rPr>
                <w:rFonts w:ascii="彩虹粗仿宋" w:hAnsi="仿宋" w:eastAsia="彩虹粗仿宋" w:cs="宋体"/>
                <w:color w:val="000000" w:themeColor="text1"/>
                <w:kern w:val="0"/>
                <w:sz w:val="24"/>
                <w:szCs w:val="24"/>
              </w:rPr>
            </w:pPr>
            <w:r>
              <w:rPr>
                <w:rFonts w:hint="eastAsia" w:ascii="彩虹粗仿宋" w:hAnsi="仿宋" w:eastAsia="彩虹粗仿宋" w:cs="宋体"/>
                <w:color w:val="000000" w:themeColor="text1"/>
                <w:kern w:val="0"/>
                <w:sz w:val="24"/>
                <w:szCs w:val="24"/>
              </w:rPr>
              <w:t>1</w:t>
            </w:r>
          </w:p>
        </w:tc>
      </w:tr>
    </w:tbl>
    <w:p>
      <w:pPr>
        <w:spacing w:line="360" w:lineRule="auto"/>
        <w:ind w:firstLine="480" w:firstLineChars="200"/>
        <w:rPr>
          <w:rFonts w:ascii="彩虹粗仿宋" w:hAnsi="仿宋" w:eastAsia="彩虹粗仿宋" w:cs="Times New Roman"/>
          <w:color w:val="000000" w:themeColor="text1"/>
          <w:sz w:val="24"/>
          <w:szCs w:val="24"/>
        </w:rPr>
      </w:pPr>
      <w:r>
        <w:rPr>
          <w:rFonts w:hint="eastAsia" w:ascii="彩虹粗仿宋" w:hAnsi="仿宋" w:eastAsia="彩虹粗仿宋" w:cs="宋体"/>
          <w:color w:val="000000" w:themeColor="text1"/>
          <w:kern w:val="0"/>
          <w:sz w:val="24"/>
          <w:szCs w:val="24"/>
        </w:rPr>
        <w:t>18个LTO4带机序列号及信息如下：</w:t>
      </w:r>
    </w:p>
    <w:p>
      <w:pPr>
        <w:spacing w:line="360" w:lineRule="auto"/>
        <w:ind w:firstLine="560" w:firstLineChars="200"/>
        <w:rPr>
          <w:rFonts w:ascii="彩虹粗仿宋" w:hAnsi="仿宋" w:eastAsia="彩虹粗仿宋" w:cs="Times New Roman"/>
          <w:color w:val="000000" w:themeColor="text1"/>
          <w:sz w:val="28"/>
          <w:szCs w:val="28"/>
        </w:rPr>
      </w:pPr>
      <w:r>
        <w:rPr>
          <w:rFonts w:hint="eastAsia" w:ascii="彩虹粗仿宋" w:hAnsi="仿宋" w:eastAsia="彩虹粗仿宋" w:cs="Times New Roman"/>
          <w:color w:val="000000" w:themeColor="text1"/>
          <w:sz w:val="28"/>
          <w:szCs w:val="28"/>
        </w:rPr>
        <w:drawing>
          <wp:inline distT="0" distB="0" distL="0" distR="0">
            <wp:extent cx="5486400" cy="45815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486400" cy="4581525"/>
                    </a:xfrm>
                    <a:prstGeom prst="rect">
                      <a:avLst/>
                    </a:prstGeom>
                    <a:noFill/>
                    <a:ln>
                      <a:noFill/>
                    </a:ln>
                  </pic:spPr>
                </pic:pic>
              </a:graphicData>
            </a:graphic>
          </wp:inline>
        </w:drawing>
      </w:r>
    </w:p>
    <w:p>
      <w:pPr>
        <w:spacing w:line="360" w:lineRule="auto"/>
        <w:ind w:firstLine="560" w:firstLineChars="200"/>
        <w:rPr>
          <w:rFonts w:ascii="彩虹粗仿宋" w:hAnsi="仿宋" w:eastAsia="彩虹粗仿宋" w:cs="宋体"/>
          <w:color w:val="000000" w:themeColor="text1"/>
          <w:kern w:val="0"/>
          <w:sz w:val="28"/>
          <w:szCs w:val="28"/>
        </w:rPr>
      </w:pPr>
      <w:r>
        <w:rPr>
          <w:rFonts w:hint="eastAsia" w:ascii="彩虹粗仿宋" w:hAnsi="仿宋" w:eastAsia="彩虹粗仿宋" w:cs="Times New Roman"/>
          <w:color w:val="000000" w:themeColor="text1"/>
          <w:sz w:val="28"/>
          <w:szCs w:val="28"/>
        </w:rPr>
        <w:t>（8）</w:t>
      </w:r>
      <w:r>
        <w:rPr>
          <w:rFonts w:hint="eastAsia" w:ascii="彩虹粗仿宋" w:hAnsi="仿宋" w:eastAsia="彩虹粗仿宋" w:cs="宋体"/>
          <w:color w:val="000000" w:themeColor="text1"/>
          <w:kern w:val="0"/>
          <w:sz w:val="28"/>
          <w:szCs w:val="28"/>
        </w:rPr>
        <w:t>华为存储详细配置</w:t>
      </w:r>
    </w:p>
    <w:p>
      <w:pPr>
        <w:adjustRightInd w:val="0"/>
        <w:spacing w:line="360" w:lineRule="auto"/>
        <w:ind w:firstLine="560" w:firstLineChars="200"/>
        <w:rPr>
          <w:rFonts w:ascii="彩虹粗仿宋" w:hAnsi="仿宋" w:eastAsia="彩虹粗仿宋" w:cs="宋体"/>
          <w:color w:val="000000" w:themeColor="text1"/>
          <w:kern w:val="0"/>
          <w:sz w:val="28"/>
          <w:szCs w:val="28"/>
        </w:rPr>
      </w:pPr>
      <w:r>
        <w:rPr>
          <w:rFonts w:hint="eastAsia" w:ascii="彩虹粗仿宋" w:hAnsi="仿宋" w:eastAsia="彩虹粗仿宋" w:cs="宋体"/>
          <w:color w:val="000000" w:themeColor="text1"/>
          <w:kern w:val="0"/>
          <w:sz w:val="28"/>
          <w:szCs w:val="28"/>
        </w:rPr>
        <w:t>华为存储N9000   1台，主要配置和详细配置如下：</w:t>
      </w:r>
    </w:p>
    <w:p>
      <w:pPr>
        <w:adjustRightInd w:val="0"/>
        <w:spacing w:line="360" w:lineRule="auto"/>
        <w:ind w:firstLine="560" w:firstLineChars="200"/>
        <w:rPr>
          <w:rFonts w:ascii="彩虹粗仿宋" w:hAnsi="仿宋" w:eastAsia="彩虹粗仿宋" w:cs="宋体"/>
          <w:color w:val="000000" w:themeColor="text1"/>
          <w:kern w:val="0"/>
          <w:sz w:val="28"/>
          <w:szCs w:val="28"/>
        </w:rPr>
      </w:pPr>
      <w:r>
        <w:rPr>
          <w:rFonts w:hint="eastAsia" w:ascii="彩虹粗仿宋" w:hAnsi="仿宋" w:eastAsia="彩虹粗仿宋" w:cs="宋体"/>
          <w:color w:val="000000" w:themeColor="text1"/>
          <w:kern w:val="0"/>
          <w:sz w:val="28"/>
          <w:szCs w:val="28"/>
        </w:rPr>
        <w:t>主要配置</w:t>
      </w:r>
    </w:p>
    <w:tbl>
      <w:tblPr>
        <w:tblStyle w:val="15"/>
        <w:tblW w:w="8329" w:type="dxa"/>
        <w:jc w:val="center"/>
        <w:tblLayout w:type="autofit"/>
        <w:tblCellMar>
          <w:top w:w="0" w:type="dxa"/>
          <w:left w:w="108" w:type="dxa"/>
          <w:bottom w:w="0" w:type="dxa"/>
          <w:right w:w="108" w:type="dxa"/>
        </w:tblCellMar>
      </w:tblPr>
      <w:tblGrid>
        <w:gridCol w:w="1080"/>
        <w:gridCol w:w="636"/>
        <w:gridCol w:w="990"/>
        <w:gridCol w:w="5623"/>
      </w:tblGrid>
      <w:tr>
        <w:tblPrEx>
          <w:tblCellMar>
            <w:top w:w="0" w:type="dxa"/>
            <w:left w:w="108" w:type="dxa"/>
            <w:bottom w:w="0" w:type="dxa"/>
            <w:right w:w="108" w:type="dxa"/>
          </w:tblCellMar>
        </w:tblPrEx>
        <w:trPr>
          <w:trHeight w:val="630" w:hRule="atLeast"/>
          <w:jc w:val="center"/>
        </w:trPr>
        <w:tc>
          <w:tcPr>
            <w:tcW w:w="1080" w:type="dxa"/>
            <w:tcBorders>
              <w:top w:val="single" w:color="auto" w:sz="4" w:space="0"/>
              <w:left w:val="single" w:color="auto" w:sz="4" w:space="0"/>
              <w:bottom w:val="single" w:color="auto" w:sz="4" w:space="0"/>
              <w:right w:val="single" w:color="auto" w:sz="4" w:space="0"/>
            </w:tcBorders>
            <w:shd w:val="clear" w:color="000000" w:fill="auto"/>
            <w:vAlign w:val="center"/>
          </w:tcPr>
          <w:p>
            <w:pPr>
              <w:widowControl/>
              <w:jc w:val="center"/>
              <w:rPr>
                <w:rFonts w:ascii="彩虹粗仿宋" w:hAnsi="黑体" w:eastAsia="彩虹粗仿宋" w:cs="宋体"/>
                <w:b/>
                <w:bCs/>
                <w:color w:val="000000" w:themeColor="text1"/>
                <w:kern w:val="0"/>
                <w:szCs w:val="21"/>
              </w:rPr>
            </w:pPr>
            <w:r>
              <w:rPr>
                <w:rFonts w:hint="eastAsia" w:ascii="彩虹粗仿宋" w:hAnsi="黑体" w:eastAsia="彩虹粗仿宋" w:cs="宋体"/>
                <w:b/>
                <w:bCs/>
                <w:color w:val="000000" w:themeColor="text1"/>
                <w:kern w:val="0"/>
                <w:szCs w:val="21"/>
              </w:rPr>
              <w:t>设备类型</w:t>
            </w:r>
          </w:p>
        </w:tc>
        <w:tc>
          <w:tcPr>
            <w:tcW w:w="636" w:type="dxa"/>
            <w:tcBorders>
              <w:top w:val="single" w:color="auto" w:sz="4" w:space="0"/>
              <w:left w:val="nil"/>
              <w:bottom w:val="single" w:color="auto" w:sz="4" w:space="0"/>
              <w:right w:val="single" w:color="auto" w:sz="4" w:space="0"/>
            </w:tcBorders>
            <w:shd w:val="clear" w:color="000000" w:fill="auto"/>
            <w:vAlign w:val="center"/>
          </w:tcPr>
          <w:p>
            <w:pPr>
              <w:widowControl/>
              <w:jc w:val="center"/>
              <w:rPr>
                <w:rFonts w:ascii="彩虹粗仿宋" w:hAnsi="黑体" w:eastAsia="彩虹粗仿宋" w:cs="宋体"/>
                <w:b/>
                <w:bCs/>
                <w:color w:val="000000" w:themeColor="text1"/>
                <w:kern w:val="0"/>
                <w:szCs w:val="21"/>
              </w:rPr>
            </w:pPr>
            <w:r>
              <w:rPr>
                <w:rFonts w:hint="eastAsia" w:ascii="彩虹粗仿宋" w:hAnsi="黑体" w:eastAsia="彩虹粗仿宋" w:cs="宋体"/>
                <w:b/>
                <w:bCs/>
                <w:color w:val="000000" w:themeColor="text1"/>
                <w:kern w:val="0"/>
                <w:szCs w:val="21"/>
              </w:rPr>
              <w:t>品牌</w:t>
            </w:r>
          </w:p>
        </w:tc>
        <w:tc>
          <w:tcPr>
            <w:tcW w:w="990" w:type="dxa"/>
            <w:tcBorders>
              <w:top w:val="single" w:color="auto" w:sz="4" w:space="0"/>
              <w:left w:val="nil"/>
              <w:bottom w:val="single" w:color="auto" w:sz="4" w:space="0"/>
              <w:right w:val="single" w:color="auto" w:sz="4" w:space="0"/>
            </w:tcBorders>
            <w:shd w:val="clear" w:color="000000" w:fill="auto"/>
            <w:vAlign w:val="center"/>
          </w:tcPr>
          <w:p>
            <w:pPr>
              <w:widowControl/>
              <w:jc w:val="center"/>
              <w:rPr>
                <w:rFonts w:ascii="彩虹粗仿宋" w:hAnsi="黑体" w:eastAsia="彩虹粗仿宋" w:cs="宋体"/>
                <w:b/>
                <w:bCs/>
                <w:color w:val="000000" w:themeColor="text1"/>
                <w:kern w:val="0"/>
                <w:szCs w:val="21"/>
              </w:rPr>
            </w:pPr>
            <w:r>
              <w:rPr>
                <w:rFonts w:hint="eastAsia" w:ascii="彩虹粗仿宋" w:hAnsi="黑体" w:eastAsia="彩虹粗仿宋" w:cs="宋体"/>
                <w:b/>
                <w:bCs/>
                <w:color w:val="000000" w:themeColor="text1"/>
                <w:kern w:val="0"/>
                <w:szCs w:val="21"/>
              </w:rPr>
              <w:t>设备型号</w:t>
            </w:r>
          </w:p>
        </w:tc>
        <w:tc>
          <w:tcPr>
            <w:tcW w:w="5623" w:type="dxa"/>
            <w:tcBorders>
              <w:top w:val="single" w:color="auto" w:sz="4" w:space="0"/>
              <w:left w:val="nil"/>
              <w:bottom w:val="single" w:color="auto" w:sz="4" w:space="0"/>
              <w:right w:val="single" w:color="auto" w:sz="4" w:space="0"/>
            </w:tcBorders>
            <w:shd w:val="clear" w:color="000000" w:fill="auto"/>
            <w:vAlign w:val="center"/>
          </w:tcPr>
          <w:p>
            <w:pPr>
              <w:widowControl/>
              <w:jc w:val="center"/>
              <w:rPr>
                <w:rFonts w:ascii="彩虹粗仿宋" w:hAnsi="黑体" w:eastAsia="彩虹粗仿宋" w:cs="宋体"/>
                <w:b/>
                <w:bCs/>
                <w:color w:val="000000" w:themeColor="text1"/>
                <w:kern w:val="0"/>
                <w:szCs w:val="21"/>
              </w:rPr>
            </w:pPr>
            <w:r>
              <w:rPr>
                <w:rFonts w:hint="eastAsia" w:ascii="彩虹粗仿宋" w:hAnsi="黑体" w:eastAsia="彩虹粗仿宋" w:cs="宋体"/>
                <w:b/>
                <w:bCs/>
                <w:color w:val="000000" w:themeColor="text1"/>
                <w:kern w:val="0"/>
                <w:szCs w:val="21"/>
              </w:rPr>
              <w:t>详细配置</w:t>
            </w:r>
          </w:p>
        </w:tc>
      </w:tr>
      <w:tr>
        <w:tblPrEx>
          <w:tblCellMar>
            <w:top w:w="0" w:type="dxa"/>
            <w:left w:w="108" w:type="dxa"/>
            <w:bottom w:w="0" w:type="dxa"/>
            <w:right w:w="108" w:type="dxa"/>
          </w:tblCellMar>
        </w:tblPrEx>
        <w:trPr>
          <w:trHeight w:val="2100" w:hRule="atLeast"/>
          <w:jc w:val="center"/>
        </w:trPr>
        <w:tc>
          <w:tcPr>
            <w:tcW w:w="1080"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彩虹粗仿宋" w:hAnsi="黑体" w:eastAsia="彩虹粗仿宋" w:cs="宋体"/>
                <w:color w:val="000000" w:themeColor="text1"/>
                <w:kern w:val="0"/>
                <w:szCs w:val="21"/>
              </w:rPr>
            </w:pPr>
            <w:r>
              <w:rPr>
                <w:rFonts w:hint="eastAsia" w:ascii="彩虹粗仿宋" w:hAnsi="黑体" w:eastAsia="彩虹粗仿宋" w:cs="宋体"/>
                <w:color w:val="000000" w:themeColor="text1"/>
                <w:kern w:val="0"/>
                <w:szCs w:val="21"/>
              </w:rPr>
              <w:t>磁盘阵列</w:t>
            </w:r>
          </w:p>
        </w:tc>
        <w:tc>
          <w:tcPr>
            <w:tcW w:w="636"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黑体" w:eastAsia="彩虹粗仿宋" w:cs="宋体"/>
                <w:color w:val="000000" w:themeColor="text1"/>
                <w:kern w:val="0"/>
                <w:szCs w:val="21"/>
              </w:rPr>
            </w:pPr>
            <w:r>
              <w:rPr>
                <w:rFonts w:hint="eastAsia" w:ascii="彩虹粗仿宋" w:hAnsi="黑体" w:eastAsia="彩虹粗仿宋" w:cs="宋体"/>
                <w:color w:val="000000" w:themeColor="text1"/>
                <w:kern w:val="0"/>
                <w:szCs w:val="21"/>
              </w:rPr>
              <w:t xml:space="preserve">华为 </w:t>
            </w:r>
          </w:p>
        </w:tc>
        <w:tc>
          <w:tcPr>
            <w:tcW w:w="99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黑体" w:eastAsia="彩虹粗仿宋" w:cs="宋体"/>
                <w:color w:val="000000" w:themeColor="text1"/>
                <w:kern w:val="0"/>
                <w:szCs w:val="21"/>
              </w:rPr>
            </w:pPr>
            <w:r>
              <w:rPr>
                <w:rFonts w:hint="eastAsia" w:ascii="彩虹粗仿宋" w:hAnsi="黑体" w:eastAsia="彩虹粗仿宋" w:cs="宋体"/>
                <w:color w:val="000000" w:themeColor="text1"/>
                <w:kern w:val="0"/>
                <w:szCs w:val="21"/>
              </w:rPr>
              <w:t xml:space="preserve">N9000 </w:t>
            </w:r>
          </w:p>
        </w:tc>
        <w:tc>
          <w:tcPr>
            <w:tcW w:w="5623"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黑体" w:eastAsia="彩虹粗仿宋" w:cs="宋体"/>
                <w:color w:val="000000" w:themeColor="text1"/>
                <w:kern w:val="0"/>
                <w:szCs w:val="21"/>
              </w:rPr>
            </w:pPr>
            <w:r>
              <w:rPr>
                <w:rFonts w:hint="eastAsia" w:ascii="彩虹粗仿宋" w:hAnsi="黑体" w:eastAsia="彩虹粗仿宋" w:cs="宋体"/>
                <w:color w:val="000000" w:themeColor="text1"/>
                <w:kern w:val="0"/>
                <w:szCs w:val="21"/>
              </w:rPr>
              <w:t>华为 N9000：</w:t>
            </w:r>
            <w:r>
              <w:rPr>
                <w:rFonts w:hint="eastAsia" w:ascii="彩虹粗仿宋" w:hAnsi="黑体" w:eastAsia="彩虹粗仿宋" w:cs="宋体"/>
                <w:color w:val="000000" w:themeColor="text1"/>
                <w:kern w:val="0"/>
                <w:szCs w:val="21"/>
              </w:rPr>
              <w:br w:type="textWrapping"/>
            </w:r>
            <w:r>
              <w:rPr>
                <w:rFonts w:hint="eastAsia" w:ascii="彩虹粗仿宋" w:hAnsi="黑体" w:eastAsia="彩虹粗仿宋" w:cs="宋体"/>
                <w:color w:val="000000" w:themeColor="text1"/>
                <w:kern w:val="0"/>
                <w:szCs w:val="21"/>
              </w:rPr>
              <w:t>1.4个N9000节点，NFS、CIFS访问许可，存储容量：192TB（裸容量）。</w:t>
            </w:r>
            <w:r>
              <w:rPr>
                <w:rFonts w:hint="eastAsia" w:ascii="彩虹粗仿宋" w:hAnsi="黑体" w:eastAsia="彩虹粗仿宋" w:cs="宋体"/>
                <w:color w:val="000000" w:themeColor="text1"/>
                <w:kern w:val="0"/>
                <w:szCs w:val="21"/>
              </w:rPr>
              <w:br w:type="textWrapping"/>
            </w:r>
            <w:r>
              <w:rPr>
                <w:rFonts w:hint="eastAsia" w:ascii="彩虹粗仿宋" w:hAnsi="黑体" w:eastAsia="彩虹粗仿宋" w:cs="宋体"/>
                <w:color w:val="000000" w:themeColor="text1"/>
                <w:kern w:val="0"/>
                <w:szCs w:val="21"/>
              </w:rPr>
              <w:t>2.磁盘数量及类型：96块2TB SATA 7.2K磁盘。配置1个原厂机柜。配置内部冗余互联交换机，单台至少满足16口接入能力。</w:t>
            </w:r>
            <w:r>
              <w:rPr>
                <w:rFonts w:hint="eastAsia" w:ascii="彩虹粗仿宋" w:hAnsi="黑体" w:eastAsia="彩虹粗仿宋" w:cs="宋体"/>
                <w:color w:val="000000" w:themeColor="text1"/>
                <w:kern w:val="0"/>
                <w:szCs w:val="21"/>
              </w:rPr>
              <w:br w:type="textWrapping"/>
            </w:r>
            <w:r>
              <w:rPr>
                <w:rFonts w:hint="eastAsia" w:ascii="彩虹粗仿宋" w:hAnsi="黑体" w:eastAsia="彩虹粗仿宋" w:cs="宋体"/>
                <w:color w:val="000000" w:themeColor="text1"/>
                <w:kern w:val="0"/>
                <w:szCs w:val="21"/>
              </w:rPr>
              <w:t>3.每节点4个千兆网口(至少2个生产口和2个管理口)</w:t>
            </w:r>
            <w:r>
              <w:rPr>
                <w:rFonts w:hint="eastAsia" w:ascii="彩虹粗仿宋" w:hAnsi="黑体" w:eastAsia="彩虹粗仿宋" w:cs="宋体"/>
                <w:color w:val="000000" w:themeColor="text1"/>
                <w:kern w:val="0"/>
                <w:szCs w:val="21"/>
              </w:rPr>
              <w:br w:type="textWrapping"/>
            </w:r>
            <w:r>
              <w:rPr>
                <w:rFonts w:hint="eastAsia" w:ascii="彩虹粗仿宋" w:hAnsi="黑体" w:eastAsia="彩虹粗仿宋" w:cs="宋体"/>
                <w:color w:val="000000" w:themeColor="text1"/>
                <w:kern w:val="0"/>
                <w:szCs w:val="21"/>
              </w:rPr>
              <w:t>4.缓存：每台》=8GB</w:t>
            </w:r>
            <w:r>
              <w:rPr>
                <w:rFonts w:hint="eastAsia" w:ascii="彩虹粗仿宋" w:hAnsi="黑体" w:eastAsia="彩虹粗仿宋" w:cs="宋体"/>
                <w:color w:val="000000" w:themeColor="text1"/>
                <w:kern w:val="0"/>
                <w:szCs w:val="21"/>
              </w:rPr>
              <w:br w:type="textWrapping"/>
            </w:r>
            <w:r>
              <w:rPr>
                <w:rFonts w:hint="eastAsia" w:ascii="彩虹粗仿宋" w:hAnsi="黑体" w:eastAsia="彩虹粗仿宋" w:cs="宋体"/>
                <w:color w:val="000000" w:themeColor="text1"/>
                <w:kern w:val="0"/>
                <w:szCs w:val="21"/>
              </w:rPr>
              <w:t>5.软件：：①存储管理软件及许可（ISM）；②CIFS数据访问协议许可；③NFS数据访问协议许可;④快照软件；⑤配额管理软件</w:t>
            </w:r>
            <w:r>
              <w:rPr>
                <w:rFonts w:hint="eastAsia" w:ascii="彩虹粗仿宋" w:hAnsi="黑体" w:eastAsia="彩虹粗仿宋" w:cs="宋体"/>
                <w:color w:val="000000" w:themeColor="text1"/>
                <w:kern w:val="0"/>
                <w:szCs w:val="21"/>
              </w:rPr>
              <w:br w:type="textWrapping"/>
            </w:r>
            <w:r>
              <w:rPr>
                <w:rFonts w:hint="eastAsia" w:ascii="彩虹粗仿宋" w:hAnsi="黑体" w:eastAsia="彩虹粗仿宋" w:cs="宋体"/>
                <w:color w:val="000000" w:themeColor="text1"/>
                <w:kern w:val="0"/>
                <w:szCs w:val="21"/>
              </w:rPr>
              <w:t>5. 服务：①基础软硬件安装、配置、调试实施服务；②3年7*24小时保修服务，包括现场和热线支持服务；</w:t>
            </w:r>
          </w:p>
        </w:tc>
      </w:tr>
    </w:tbl>
    <w:p>
      <w:pPr>
        <w:adjustRightInd w:val="0"/>
        <w:spacing w:line="360" w:lineRule="auto"/>
        <w:ind w:firstLine="420" w:firstLineChars="200"/>
        <w:rPr>
          <w:rFonts w:ascii="彩虹粗仿宋" w:hAnsi="仿宋" w:eastAsia="彩虹粗仿宋" w:cs="宋体"/>
          <w:color w:val="000000" w:themeColor="text1"/>
          <w:kern w:val="0"/>
          <w:szCs w:val="21"/>
        </w:rPr>
      </w:pPr>
      <w:r>
        <w:rPr>
          <w:rFonts w:hint="eastAsia" w:ascii="彩虹粗仿宋" w:hAnsi="仿宋" w:eastAsia="彩虹粗仿宋" w:cs="宋体"/>
          <w:color w:val="000000" w:themeColor="text1"/>
          <w:kern w:val="0"/>
          <w:szCs w:val="21"/>
        </w:rPr>
        <w:t>详细配置如下：</w:t>
      </w:r>
    </w:p>
    <w:tbl>
      <w:tblPr>
        <w:tblStyle w:val="15"/>
        <w:tblW w:w="7100" w:type="dxa"/>
        <w:jc w:val="center"/>
        <w:tblLayout w:type="autofit"/>
        <w:tblCellMar>
          <w:top w:w="0" w:type="dxa"/>
          <w:left w:w="108" w:type="dxa"/>
          <w:bottom w:w="0" w:type="dxa"/>
          <w:right w:w="108" w:type="dxa"/>
        </w:tblCellMar>
      </w:tblPr>
      <w:tblGrid>
        <w:gridCol w:w="2740"/>
        <w:gridCol w:w="3720"/>
        <w:gridCol w:w="640"/>
      </w:tblGrid>
      <w:tr>
        <w:tblPrEx>
          <w:tblCellMar>
            <w:top w:w="0" w:type="dxa"/>
            <w:left w:w="108" w:type="dxa"/>
            <w:bottom w:w="0" w:type="dxa"/>
            <w:right w:w="108" w:type="dxa"/>
          </w:tblCellMar>
        </w:tblPrEx>
        <w:trPr>
          <w:trHeight w:val="285" w:hRule="atLeast"/>
          <w:jc w:val="center"/>
        </w:trPr>
        <w:tc>
          <w:tcPr>
            <w:tcW w:w="274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磁盘阵列（192T）</w:t>
            </w:r>
          </w:p>
        </w:tc>
        <w:tc>
          <w:tcPr>
            <w:tcW w:w="372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型号</w:t>
            </w:r>
          </w:p>
        </w:tc>
        <w:tc>
          <w:tcPr>
            <w:tcW w:w="64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数量</w:t>
            </w:r>
          </w:p>
        </w:tc>
      </w:tr>
      <w:tr>
        <w:tblPrEx>
          <w:tblCellMar>
            <w:top w:w="0" w:type="dxa"/>
            <w:left w:w="108" w:type="dxa"/>
            <w:bottom w:w="0" w:type="dxa"/>
            <w:right w:w="108" w:type="dxa"/>
          </w:tblCellMar>
        </w:tblPrEx>
        <w:trPr>
          <w:trHeight w:val="825" w:hRule="atLeast"/>
          <w:jc w:val="center"/>
        </w:trPr>
        <w:tc>
          <w:tcPr>
            <w:tcW w:w="274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部件1</w:t>
            </w:r>
          </w:p>
        </w:tc>
        <w:tc>
          <w:tcPr>
            <w:tcW w:w="372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N9000 B节点(交流,4U,48G,含华为存储节点控制板管理软件,SPE31M0138)</w:t>
            </w:r>
          </w:p>
        </w:tc>
        <w:tc>
          <w:tcPr>
            <w:tcW w:w="640" w:type="dxa"/>
            <w:tcBorders>
              <w:top w:val="nil"/>
              <w:left w:val="nil"/>
              <w:bottom w:val="single" w:color="auto" w:sz="4" w:space="0"/>
              <w:right w:val="single" w:color="auto" w:sz="4" w:space="0"/>
            </w:tcBorders>
            <w:shd w:val="clear" w:color="auto" w:fill="auto"/>
            <w:noWrap/>
            <w:vAlign w:val="center"/>
          </w:tcPr>
          <w:p>
            <w:pPr>
              <w:widowControl/>
              <w:jc w:val="righ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4</w:t>
            </w:r>
          </w:p>
        </w:tc>
      </w:tr>
      <w:tr>
        <w:tblPrEx>
          <w:tblCellMar>
            <w:top w:w="0" w:type="dxa"/>
            <w:left w:w="108" w:type="dxa"/>
            <w:bottom w:w="0" w:type="dxa"/>
            <w:right w:w="108" w:type="dxa"/>
          </w:tblCellMar>
        </w:tblPrEx>
        <w:trPr>
          <w:trHeight w:val="570" w:hRule="atLeast"/>
          <w:jc w:val="center"/>
        </w:trPr>
        <w:tc>
          <w:tcPr>
            <w:tcW w:w="274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部件2</w:t>
            </w:r>
          </w:p>
        </w:tc>
        <w:tc>
          <w:tcPr>
            <w:tcW w:w="372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 xml:space="preserve">2TB 7.2K RPM SATA 硬盘单元(3.5") </w:t>
            </w:r>
          </w:p>
        </w:tc>
        <w:tc>
          <w:tcPr>
            <w:tcW w:w="640" w:type="dxa"/>
            <w:tcBorders>
              <w:top w:val="nil"/>
              <w:left w:val="nil"/>
              <w:bottom w:val="single" w:color="auto" w:sz="4" w:space="0"/>
              <w:right w:val="single" w:color="auto" w:sz="4" w:space="0"/>
            </w:tcBorders>
            <w:shd w:val="clear" w:color="auto" w:fill="auto"/>
            <w:noWrap/>
            <w:vAlign w:val="center"/>
          </w:tcPr>
          <w:p>
            <w:pPr>
              <w:widowControl/>
              <w:jc w:val="righ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96</w:t>
            </w:r>
          </w:p>
        </w:tc>
      </w:tr>
      <w:tr>
        <w:tblPrEx>
          <w:tblCellMar>
            <w:top w:w="0" w:type="dxa"/>
            <w:left w:w="108" w:type="dxa"/>
            <w:bottom w:w="0" w:type="dxa"/>
            <w:right w:w="108" w:type="dxa"/>
          </w:tblCellMar>
        </w:tblPrEx>
        <w:trPr>
          <w:trHeight w:val="285" w:hRule="atLeast"/>
          <w:jc w:val="center"/>
        </w:trPr>
        <w:tc>
          <w:tcPr>
            <w:tcW w:w="274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部件3</w:t>
            </w:r>
          </w:p>
        </w:tc>
        <w:tc>
          <w:tcPr>
            <w:tcW w:w="372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10GE卡</w:t>
            </w:r>
          </w:p>
        </w:tc>
        <w:tc>
          <w:tcPr>
            <w:tcW w:w="640" w:type="dxa"/>
            <w:tcBorders>
              <w:top w:val="nil"/>
              <w:left w:val="nil"/>
              <w:bottom w:val="single" w:color="auto" w:sz="4" w:space="0"/>
              <w:right w:val="single" w:color="auto" w:sz="4" w:space="0"/>
            </w:tcBorders>
            <w:shd w:val="clear" w:color="auto" w:fill="auto"/>
            <w:noWrap/>
            <w:vAlign w:val="center"/>
          </w:tcPr>
          <w:p>
            <w:pPr>
              <w:widowControl/>
              <w:jc w:val="righ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4</w:t>
            </w:r>
          </w:p>
        </w:tc>
      </w:tr>
      <w:tr>
        <w:tblPrEx>
          <w:tblCellMar>
            <w:top w:w="0" w:type="dxa"/>
            <w:left w:w="108" w:type="dxa"/>
            <w:bottom w:w="0" w:type="dxa"/>
            <w:right w:w="108" w:type="dxa"/>
          </w:tblCellMar>
        </w:tblPrEx>
        <w:trPr>
          <w:trHeight w:val="570" w:hRule="atLeast"/>
          <w:jc w:val="center"/>
        </w:trPr>
        <w:tc>
          <w:tcPr>
            <w:tcW w:w="274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部件4</w:t>
            </w:r>
          </w:p>
        </w:tc>
        <w:tc>
          <w:tcPr>
            <w:tcW w:w="372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网卡-Gigabit-10/100/1000M-2端口</w:t>
            </w:r>
          </w:p>
        </w:tc>
        <w:tc>
          <w:tcPr>
            <w:tcW w:w="640" w:type="dxa"/>
            <w:tcBorders>
              <w:top w:val="nil"/>
              <w:left w:val="nil"/>
              <w:bottom w:val="single" w:color="auto" w:sz="4" w:space="0"/>
              <w:right w:val="single" w:color="auto" w:sz="4" w:space="0"/>
            </w:tcBorders>
            <w:shd w:val="clear" w:color="auto" w:fill="auto"/>
            <w:noWrap/>
            <w:vAlign w:val="center"/>
          </w:tcPr>
          <w:p>
            <w:pPr>
              <w:widowControl/>
              <w:jc w:val="righ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4</w:t>
            </w:r>
          </w:p>
        </w:tc>
      </w:tr>
      <w:tr>
        <w:tblPrEx>
          <w:tblCellMar>
            <w:top w:w="0" w:type="dxa"/>
            <w:left w:w="108" w:type="dxa"/>
            <w:bottom w:w="0" w:type="dxa"/>
            <w:right w:w="108" w:type="dxa"/>
          </w:tblCellMar>
        </w:tblPrEx>
        <w:trPr>
          <w:trHeight w:val="570" w:hRule="atLeast"/>
          <w:jc w:val="center"/>
        </w:trPr>
        <w:tc>
          <w:tcPr>
            <w:tcW w:w="274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部件5</w:t>
            </w:r>
          </w:p>
        </w:tc>
        <w:tc>
          <w:tcPr>
            <w:tcW w:w="372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 xml:space="preserve">CE6800 EI交换机(48口万兆SFP+,4口40GE QSFP+) </w:t>
            </w:r>
          </w:p>
        </w:tc>
        <w:tc>
          <w:tcPr>
            <w:tcW w:w="640" w:type="dxa"/>
            <w:tcBorders>
              <w:top w:val="nil"/>
              <w:left w:val="nil"/>
              <w:bottom w:val="single" w:color="auto" w:sz="4" w:space="0"/>
              <w:right w:val="single" w:color="auto" w:sz="4" w:space="0"/>
            </w:tcBorders>
            <w:shd w:val="clear" w:color="auto" w:fill="auto"/>
            <w:noWrap/>
            <w:vAlign w:val="center"/>
          </w:tcPr>
          <w:p>
            <w:pPr>
              <w:widowControl/>
              <w:jc w:val="righ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2</w:t>
            </w:r>
          </w:p>
        </w:tc>
      </w:tr>
      <w:tr>
        <w:tblPrEx>
          <w:tblCellMar>
            <w:top w:w="0" w:type="dxa"/>
            <w:left w:w="108" w:type="dxa"/>
            <w:bottom w:w="0" w:type="dxa"/>
            <w:right w:w="108" w:type="dxa"/>
          </w:tblCellMar>
        </w:tblPrEx>
        <w:trPr>
          <w:trHeight w:val="285" w:hRule="atLeast"/>
          <w:jc w:val="center"/>
        </w:trPr>
        <w:tc>
          <w:tcPr>
            <w:tcW w:w="274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部件6</w:t>
            </w:r>
          </w:p>
        </w:tc>
        <w:tc>
          <w:tcPr>
            <w:tcW w:w="372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华为Wushan分布式文件系统软件</w:t>
            </w:r>
          </w:p>
        </w:tc>
        <w:tc>
          <w:tcPr>
            <w:tcW w:w="640" w:type="dxa"/>
            <w:tcBorders>
              <w:top w:val="nil"/>
              <w:left w:val="nil"/>
              <w:bottom w:val="single" w:color="auto" w:sz="4" w:space="0"/>
              <w:right w:val="single" w:color="auto" w:sz="4" w:space="0"/>
            </w:tcBorders>
            <w:shd w:val="clear" w:color="auto" w:fill="auto"/>
            <w:noWrap/>
            <w:vAlign w:val="center"/>
          </w:tcPr>
          <w:p>
            <w:pPr>
              <w:widowControl/>
              <w:jc w:val="righ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4</w:t>
            </w:r>
          </w:p>
        </w:tc>
      </w:tr>
      <w:tr>
        <w:tblPrEx>
          <w:tblCellMar>
            <w:top w:w="0" w:type="dxa"/>
            <w:left w:w="108" w:type="dxa"/>
            <w:bottom w:w="0" w:type="dxa"/>
            <w:right w:w="108" w:type="dxa"/>
          </w:tblCellMar>
        </w:tblPrEx>
        <w:trPr>
          <w:trHeight w:val="555" w:hRule="atLeast"/>
          <w:jc w:val="center"/>
        </w:trPr>
        <w:tc>
          <w:tcPr>
            <w:tcW w:w="274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部件7</w:t>
            </w:r>
          </w:p>
        </w:tc>
        <w:tc>
          <w:tcPr>
            <w:tcW w:w="372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OceanStor N9000 WiseQuota空间配额管理功能每节点License</w:t>
            </w:r>
          </w:p>
        </w:tc>
        <w:tc>
          <w:tcPr>
            <w:tcW w:w="640" w:type="dxa"/>
            <w:tcBorders>
              <w:top w:val="nil"/>
              <w:left w:val="nil"/>
              <w:bottom w:val="single" w:color="auto" w:sz="4" w:space="0"/>
              <w:right w:val="single" w:color="auto" w:sz="4" w:space="0"/>
            </w:tcBorders>
            <w:shd w:val="clear" w:color="auto" w:fill="auto"/>
            <w:noWrap/>
            <w:vAlign w:val="center"/>
          </w:tcPr>
          <w:p>
            <w:pPr>
              <w:widowControl/>
              <w:jc w:val="righ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4</w:t>
            </w:r>
          </w:p>
        </w:tc>
      </w:tr>
      <w:tr>
        <w:tblPrEx>
          <w:tblCellMar>
            <w:top w:w="0" w:type="dxa"/>
            <w:left w:w="108" w:type="dxa"/>
            <w:bottom w:w="0" w:type="dxa"/>
            <w:right w:w="108" w:type="dxa"/>
          </w:tblCellMar>
        </w:tblPrEx>
        <w:trPr>
          <w:trHeight w:val="570" w:hRule="atLeast"/>
          <w:jc w:val="center"/>
        </w:trPr>
        <w:tc>
          <w:tcPr>
            <w:tcW w:w="274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部件8</w:t>
            </w:r>
          </w:p>
        </w:tc>
        <w:tc>
          <w:tcPr>
            <w:tcW w:w="372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OceanStor N9000 WiseLink客户端连接负载均衡功能每节点License</w:t>
            </w:r>
          </w:p>
        </w:tc>
        <w:tc>
          <w:tcPr>
            <w:tcW w:w="640" w:type="dxa"/>
            <w:tcBorders>
              <w:top w:val="nil"/>
              <w:left w:val="nil"/>
              <w:bottom w:val="single" w:color="auto" w:sz="4" w:space="0"/>
              <w:right w:val="single" w:color="auto" w:sz="4" w:space="0"/>
            </w:tcBorders>
            <w:shd w:val="clear" w:color="auto" w:fill="auto"/>
            <w:noWrap/>
            <w:vAlign w:val="center"/>
          </w:tcPr>
          <w:p>
            <w:pPr>
              <w:widowControl/>
              <w:jc w:val="righ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4</w:t>
            </w:r>
          </w:p>
        </w:tc>
      </w:tr>
      <w:tr>
        <w:tblPrEx>
          <w:tblCellMar>
            <w:top w:w="0" w:type="dxa"/>
            <w:left w:w="108" w:type="dxa"/>
            <w:bottom w:w="0" w:type="dxa"/>
            <w:right w:w="108" w:type="dxa"/>
          </w:tblCellMar>
        </w:tblPrEx>
        <w:trPr>
          <w:trHeight w:val="555" w:hRule="atLeast"/>
          <w:jc w:val="center"/>
        </w:trPr>
        <w:tc>
          <w:tcPr>
            <w:tcW w:w="274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部件9</w:t>
            </w:r>
          </w:p>
        </w:tc>
        <w:tc>
          <w:tcPr>
            <w:tcW w:w="372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OceanStor N9000 42U交流机柜(4U节点10GE组网)</w:t>
            </w:r>
          </w:p>
        </w:tc>
        <w:tc>
          <w:tcPr>
            <w:tcW w:w="640" w:type="dxa"/>
            <w:tcBorders>
              <w:top w:val="nil"/>
              <w:left w:val="nil"/>
              <w:bottom w:val="single" w:color="auto" w:sz="4" w:space="0"/>
              <w:right w:val="single" w:color="auto" w:sz="4" w:space="0"/>
            </w:tcBorders>
            <w:shd w:val="clear" w:color="auto" w:fill="auto"/>
            <w:noWrap/>
            <w:vAlign w:val="center"/>
          </w:tcPr>
          <w:p>
            <w:pPr>
              <w:widowControl/>
              <w:jc w:val="righ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1</w:t>
            </w:r>
          </w:p>
        </w:tc>
      </w:tr>
      <w:tr>
        <w:tblPrEx>
          <w:tblCellMar>
            <w:top w:w="0" w:type="dxa"/>
            <w:left w:w="108" w:type="dxa"/>
            <w:bottom w:w="0" w:type="dxa"/>
            <w:right w:w="108" w:type="dxa"/>
          </w:tblCellMar>
        </w:tblPrEx>
        <w:trPr>
          <w:trHeight w:val="285" w:hRule="atLeast"/>
          <w:jc w:val="center"/>
        </w:trPr>
        <w:tc>
          <w:tcPr>
            <w:tcW w:w="274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部件10</w:t>
            </w:r>
          </w:p>
        </w:tc>
        <w:tc>
          <w:tcPr>
            <w:tcW w:w="372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交流配电单元</w:t>
            </w:r>
          </w:p>
        </w:tc>
        <w:tc>
          <w:tcPr>
            <w:tcW w:w="640" w:type="dxa"/>
            <w:tcBorders>
              <w:top w:val="nil"/>
              <w:left w:val="nil"/>
              <w:bottom w:val="single" w:color="auto" w:sz="4" w:space="0"/>
              <w:right w:val="single" w:color="auto" w:sz="4" w:space="0"/>
            </w:tcBorders>
            <w:shd w:val="clear" w:color="auto" w:fill="auto"/>
            <w:noWrap/>
            <w:vAlign w:val="center"/>
          </w:tcPr>
          <w:p>
            <w:pPr>
              <w:widowControl/>
              <w:jc w:val="righ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2</w:t>
            </w:r>
          </w:p>
        </w:tc>
      </w:tr>
      <w:tr>
        <w:tblPrEx>
          <w:tblCellMar>
            <w:top w:w="0" w:type="dxa"/>
            <w:left w:w="108" w:type="dxa"/>
            <w:bottom w:w="0" w:type="dxa"/>
            <w:right w:w="108" w:type="dxa"/>
          </w:tblCellMar>
        </w:tblPrEx>
        <w:trPr>
          <w:trHeight w:val="570" w:hRule="atLeast"/>
          <w:jc w:val="center"/>
        </w:trPr>
        <w:tc>
          <w:tcPr>
            <w:tcW w:w="274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部件11</w:t>
            </w:r>
          </w:p>
        </w:tc>
        <w:tc>
          <w:tcPr>
            <w:tcW w:w="372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KVM-KVM四合一-1U高-17" TFT LCD-8路KVM接口-鼠标键盘</w:t>
            </w:r>
          </w:p>
        </w:tc>
        <w:tc>
          <w:tcPr>
            <w:tcW w:w="640" w:type="dxa"/>
            <w:tcBorders>
              <w:top w:val="nil"/>
              <w:left w:val="nil"/>
              <w:bottom w:val="single" w:color="auto" w:sz="4" w:space="0"/>
              <w:right w:val="single" w:color="auto" w:sz="4" w:space="0"/>
            </w:tcBorders>
            <w:shd w:val="clear" w:color="auto" w:fill="auto"/>
            <w:noWrap/>
            <w:vAlign w:val="center"/>
          </w:tcPr>
          <w:p>
            <w:pPr>
              <w:widowControl/>
              <w:jc w:val="righ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1</w:t>
            </w:r>
          </w:p>
        </w:tc>
      </w:tr>
      <w:tr>
        <w:tblPrEx>
          <w:tblCellMar>
            <w:top w:w="0" w:type="dxa"/>
            <w:left w:w="108" w:type="dxa"/>
            <w:bottom w:w="0" w:type="dxa"/>
            <w:right w:w="108" w:type="dxa"/>
          </w:tblCellMar>
        </w:tblPrEx>
        <w:trPr>
          <w:trHeight w:val="285" w:hRule="atLeast"/>
          <w:jc w:val="center"/>
        </w:trPr>
        <w:tc>
          <w:tcPr>
            <w:tcW w:w="274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部件12</w:t>
            </w:r>
          </w:p>
        </w:tc>
        <w:tc>
          <w:tcPr>
            <w:tcW w:w="372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调制解调器</w:t>
            </w:r>
          </w:p>
        </w:tc>
        <w:tc>
          <w:tcPr>
            <w:tcW w:w="640" w:type="dxa"/>
            <w:tcBorders>
              <w:top w:val="nil"/>
              <w:left w:val="nil"/>
              <w:bottom w:val="single" w:color="auto" w:sz="4" w:space="0"/>
              <w:right w:val="single" w:color="auto" w:sz="4" w:space="0"/>
            </w:tcBorders>
            <w:shd w:val="clear" w:color="auto" w:fill="auto"/>
            <w:noWrap/>
            <w:vAlign w:val="center"/>
          </w:tcPr>
          <w:p>
            <w:pPr>
              <w:widowControl/>
              <w:jc w:val="righ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3</w:t>
            </w:r>
          </w:p>
        </w:tc>
      </w:tr>
      <w:tr>
        <w:tblPrEx>
          <w:tblCellMar>
            <w:top w:w="0" w:type="dxa"/>
            <w:left w:w="108" w:type="dxa"/>
            <w:bottom w:w="0" w:type="dxa"/>
            <w:right w:w="108" w:type="dxa"/>
          </w:tblCellMar>
        </w:tblPrEx>
        <w:trPr>
          <w:trHeight w:val="285" w:hRule="atLeast"/>
          <w:jc w:val="center"/>
        </w:trPr>
        <w:tc>
          <w:tcPr>
            <w:tcW w:w="2740"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部件13</w:t>
            </w:r>
          </w:p>
        </w:tc>
        <w:tc>
          <w:tcPr>
            <w:tcW w:w="3720" w:type="dxa"/>
            <w:tcBorders>
              <w:top w:val="nil"/>
              <w:left w:val="nil"/>
              <w:bottom w:val="single" w:color="auto" w:sz="4" w:space="0"/>
              <w:right w:val="single" w:color="auto" w:sz="4" w:space="0"/>
            </w:tcBorders>
            <w:shd w:val="clear" w:color="auto" w:fill="auto"/>
            <w:vAlign w:val="center"/>
          </w:tcPr>
          <w:p>
            <w:pPr>
              <w:widowControl/>
              <w:jc w:val="lef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电缆-QSFP+高速电缆-1m</w:t>
            </w:r>
          </w:p>
        </w:tc>
        <w:tc>
          <w:tcPr>
            <w:tcW w:w="640" w:type="dxa"/>
            <w:tcBorders>
              <w:top w:val="nil"/>
              <w:left w:val="nil"/>
              <w:bottom w:val="single" w:color="auto" w:sz="4" w:space="0"/>
              <w:right w:val="single" w:color="auto" w:sz="4" w:space="0"/>
            </w:tcBorders>
            <w:shd w:val="clear" w:color="auto" w:fill="auto"/>
            <w:noWrap/>
            <w:vAlign w:val="center"/>
          </w:tcPr>
          <w:p>
            <w:pPr>
              <w:widowControl/>
              <w:jc w:val="right"/>
              <w:rPr>
                <w:rFonts w:ascii="彩虹粗仿宋" w:hAnsi="宋体" w:eastAsia="彩虹粗仿宋" w:cs="宋体"/>
                <w:color w:val="000000" w:themeColor="text1"/>
                <w:kern w:val="0"/>
                <w:szCs w:val="21"/>
              </w:rPr>
            </w:pPr>
            <w:r>
              <w:rPr>
                <w:rFonts w:hint="eastAsia" w:ascii="彩虹粗仿宋" w:hAnsi="宋体" w:eastAsia="彩虹粗仿宋" w:cs="宋体"/>
                <w:color w:val="000000" w:themeColor="text1"/>
                <w:kern w:val="0"/>
                <w:szCs w:val="21"/>
              </w:rPr>
              <w:t>2</w:t>
            </w:r>
          </w:p>
        </w:tc>
      </w:tr>
    </w:tbl>
    <w:p>
      <w:pPr>
        <w:pStyle w:val="35"/>
        <w:ind w:firstLine="640"/>
      </w:pPr>
    </w:p>
    <w:p>
      <w:pPr>
        <w:spacing w:line="360" w:lineRule="auto"/>
        <w:ind w:firstLine="560" w:firstLineChars="200"/>
        <w:rPr>
          <w:rFonts w:ascii="彩虹粗仿宋" w:hAnsi="仿宋" w:eastAsia="彩虹粗仿宋" w:cs="Times New Roman"/>
          <w:color w:val="000000" w:themeColor="text1"/>
          <w:sz w:val="28"/>
          <w:szCs w:val="28"/>
        </w:rPr>
      </w:pPr>
      <w:r>
        <w:rPr>
          <w:rFonts w:hint="eastAsia" w:ascii="彩虹粗仿宋" w:hAnsi="仿宋" w:eastAsia="彩虹粗仿宋" w:cs="Times New Roman"/>
          <w:color w:val="000000" w:themeColor="text1"/>
          <w:sz w:val="28"/>
          <w:szCs w:val="28"/>
        </w:rPr>
        <w:t>（9）服务器</w:t>
      </w:r>
    </w:p>
    <w:p>
      <w:pPr>
        <w:pStyle w:val="35"/>
        <w:ind w:firstLine="640"/>
      </w:pPr>
      <w:r>
        <w:rPr>
          <w:rFonts w:hint="eastAsia"/>
        </w:rPr>
        <w:t>所有服务器为整机维保服务</w:t>
      </w:r>
    </w:p>
    <w:p>
      <w:pPr>
        <w:spacing w:line="360" w:lineRule="auto"/>
        <w:ind w:firstLine="560" w:firstLineChars="200"/>
        <w:rPr>
          <w:rFonts w:ascii="彩虹粗仿宋" w:hAnsi="仿宋" w:eastAsia="彩虹粗仿宋" w:cs="Times New Roman"/>
          <w:color w:val="000000" w:themeColor="text1"/>
          <w:sz w:val="28"/>
          <w:szCs w:val="28"/>
        </w:rPr>
      </w:pPr>
      <w:r>
        <w:rPr>
          <w:rFonts w:hint="eastAsia" w:ascii="彩虹粗仿宋" w:hAnsi="仿宋" w:eastAsia="彩虹粗仿宋" w:cs="Times New Roman"/>
          <w:color w:val="000000" w:themeColor="text1"/>
          <w:sz w:val="28"/>
          <w:szCs w:val="28"/>
        </w:rPr>
        <w:t>（10）防病毒网关网御星云V6000-A5310配置</w:t>
      </w:r>
    </w:p>
    <w:tbl>
      <w:tblPr>
        <w:tblStyle w:val="15"/>
        <w:tblW w:w="8475" w:type="dxa"/>
        <w:tblInd w:w="93" w:type="dxa"/>
        <w:tblLayout w:type="autofit"/>
        <w:tblCellMar>
          <w:top w:w="0" w:type="dxa"/>
          <w:left w:w="108" w:type="dxa"/>
          <w:bottom w:w="0" w:type="dxa"/>
          <w:right w:w="108" w:type="dxa"/>
        </w:tblCellMar>
      </w:tblPr>
      <w:tblGrid>
        <w:gridCol w:w="1635"/>
        <w:gridCol w:w="6840"/>
      </w:tblGrid>
      <w:tr>
        <w:tblPrEx>
          <w:tblCellMar>
            <w:top w:w="0" w:type="dxa"/>
            <w:left w:w="108" w:type="dxa"/>
            <w:bottom w:w="0" w:type="dxa"/>
            <w:right w:w="108" w:type="dxa"/>
          </w:tblCellMar>
        </w:tblPrEx>
        <w:trPr>
          <w:trHeight w:val="195" w:hRule="atLeast"/>
        </w:trPr>
        <w:tc>
          <w:tcPr>
            <w:tcW w:w="163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eastAsia="宋体" w:cs="宋体"/>
                <w:kern w:val="0"/>
                <w:sz w:val="18"/>
                <w:szCs w:val="18"/>
              </w:rPr>
            </w:pPr>
            <w:r>
              <w:rPr>
                <w:rFonts w:hint="eastAsia" w:ascii="宋体" w:hAnsi="宋体" w:eastAsia="宋体" w:cs="宋体"/>
                <w:kern w:val="0"/>
                <w:sz w:val="18"/>
                <w:szCs w:val="18"/>
              </w:rPr>
              <w:t>产品名称</w:t>
            </w:r>
          </w:p>
        </w:tc>
        <w:tc>
          <w:tcPr>
            <w:tcW w:w="68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eastAsia="宋体" w:cs="宋体"/>
                <w:kern w:val="0"/>
                <w:sz w:val="18"/>
                <w:szCs w:val="18"/>
              </w:rPr>
            </w:pPr>
            <w:r>
              <w:rPr>
                <w:rFonts w:hint="eastAsia" w:ascii="宋体" w:hAnsi="宋体" w:eastAsia="宋体" w:cs="宋体"/>
                <w:kern w:val="0"/>
                <w:sz w:val="18"/>
                <w:szCs w:val="18"/>
              </w:rPr>
              <w:t>防病毒网关</w:t>
            </w:r>
          </w:p>
        </w:tc>
      </w:tr>
      <w:tr>
        <w:tblPrEx>
          <w:tblCellMar>
            <w:top w:w="0" w:type="dxa"/>
            <w:left w:w="108" w:type="dxa"/>
            <w:bottom w:w="0" w:type="dxa"/>
            <w:right w:w="108" w:type="dxa"/>
          </w:tblCellMar>
        </w:tblPrEx>
        <w:trPr>
          <w:trHeight w:val="154" w:hRule="atLeast"/>
        </w:trPr>
        <w:tc>
          <w:tcPr>
            <w:tcW w:w="163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eastAsia="宋体" w:cs="宋体"/>
                <w:kern w:val="0"/>
                <w:sz w:val="18"/>
                <w:szCs w:val="18"/>
              </w:rPr>
            </w:pPr>
            <w:r>
              <w:rPr>
                <w:rFonts w:hint="eastAsia" w:ascii="宋体" w:hAnsi="宋体" w:eastAsia="宋体" w:cs="宋体"/>
                <w:kern w:val="0"/>
                <w:sz w:val="18"/>
                <w:szCs w:val="18"/>
              </w:rPr>
              <w:t>设备数量</w:t>
            </w:r>
          </w:p>
        </w:tc>
        <w:tc>
          <w:tcPr>
            <w:tcW w:w="68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eastAsia="宋体" w:cs="宋体"/>
                <w:kern w:val="0"/>
                <w:sz w:val="18"/>
                <w:szCs w:val="18"/>
              </w:rPr>
            </w:pPr>
            <w:r>
              <w:rPr>
                <w:rFonts w:hint="eastAsia" w:ascii="宋体" w:hAnsi="宋体" w:eastAsia="宋体" w:cs="宋体"/>
                <w:kern w:val="0"/>
                <w:sz w:val="18"/>
                <w:szCs w:val="18"/>
              </w:rPr>
              <w:t>2台</w:t>
            </w:r>
          </w:p>
        </w:tc>
      </w:tr>
      <w:tr>
        <w:tblPrEx>
          <w:tblCellMar>
            <w:top w:w="0" w:type="dxa"/>
            <w:left w:w="108" w:type="dxa"/>
            <w:bottom w:w="0" w:type="dxa"/>
            <w:right w:w="108" w:type="dxa"/>
          </w:tblCellMar>
        </w:tblPrEx>
        <w:trPr>
          <w:trHeight w:val="293" w:hRule="atLeast"/>
        </w:trPr>
        <w:tc>
          <w:tcPr>
            <w:tcW w:w="163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eastAsia="宋体" w:cs="宋体"/>
                <w:kern w:val="0"/>
                <w:sz w:val="18"/>
                <w:szCs w:val="18"/>
              </w:rPr>
            </w:pPr>
            <w:r>
              <w:rPr>
                <w:rFonts w:hint="eastAsia" w:ascii="宋体" w:hAnsi="宋体" w:eastAsia="宋体" w:cs="宋体"/>
                <w:kern w:val="0"/>
                <w:sz w:val="18"/>
                <w:szCs w:val="18"/>
              </w:rPr>
              <w:t>规格型号</w:t>
            </w:r>
          </w:p>
        </w:tc>
        <w:tc>
          <w:tcPr>
            <w:tcW w:w="684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宋体" w:hAnsi="宋体" w:eastAsia="宋体" w:cs="宋体"/>
                <w:kern w:val="0"/>
                <w:sz w:val="18"/>
                <w:szCs w:val="18"/>
              </w:rPr>
            </w:pPr>
            <w:r>
              <w:rPr>
                <w:rFonts w:hint="eastAsia" w:ascii="宋体" w:hAnsi="宋体" w:eastAsia="宋体" w:cs="宋体"/>
                <w:kern w:val="0"/>
                <w:sz w:val="18"/>
                <w:szCs w:val="18"/>
              </w:rPr>
              <w:t>网御星云PowerV6000-A5310（标准2U设备，双冗余电源，4个前扩槽位；默认6个10/100/1000M Base-TX；2个USB接口；整机吞吐量不低于12G；IPS吞吐量不低于8G；防病毒吞吐量不低于5G；）</w:t>
            </w:r>
          </w:p>
        </w:tc>
      </w:tr>
      <w:tr>
        <w:tblPrEx>
          <w:tblCellMar>
            <w:top w:w="0" w:type="dxa"/>
            <w:left w:w="108" w:type="dxa"/>
            <w:bottom w:w="0" w:type="dxa"/>
            <w:right w:w="108" w:type="dxa"/>
          </w:tblCellMar>
        </w:tblPrEx>
        <w:trPr>
          <w:trHeight w:val="255" w:hRule="atLeast"/>
        </w:trPr>
        <w:tc>
          <w:tcPr>
            <w:tcW w:w="1635"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eastAsia="宋体" w:cs="宋体"/>
                <w:kern w:val="0"/>
                <w:sz w:val="18"/>
                <w:szCs w:val="18"/>
              </w:rPr>
            </w:pPr>
            <w:r>
              <w:rPr>
                <w:rFonts w:hint="eastAsia" w:ascii="宋体" w:hAnsi="宋体" w:eastAsia="宋体" w:cs="宋体"/>
                <w:kern w:val="0"/>
                <w:sz w:val="18"/>
                <w:szCs w:val="18"/>
              </w:rPr>
              <w:t>防病毒许可</w:t>
            </w:r>
          </w:p>
        </w:tc>
        <w:tc>
          <w:tcPr>
            <w:tcW w:w="6840"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eastAsia="宋体" w:cs="宋体"/>
                <w:kern w:val="0"/>
                <w:sz w:val="18"/>
                <w:szCs w:val="18"/>
              </w:rPr>
            </w:pPr>
            <w:r>
              <w:rPr>
                <w:rFonts w:hint="eastAsia" w:ascii="宋体" w:hAnsi="宋体" w:eastAsia="宋体" w:cs="宋体"/>
                <w:kern w:val="0"/>
                <w:sz w:val="18"/>
                <w:szCs w:val="18"/>
              </w:rPr>
              <w:t>1年防病毒升级许可</w:t>
            </w:r>
          </w:p>
        </w:tc>
      </w:tr>
      <w:tr>
        <w:tblPrEx>
          <w:tblCellMar>
            <w:top w:w="0" w:type="dxa"/>
            <w:left w:w="108" w:type="dxa"/>
            <w:bottom w:w="0" w:type="dxa"/>
            <w:right w:w="108" w:type="dxa"/>
          </w:tblCellMar>
        </w:tblPrEx>
        <w:trPr>
          <w:trHeight w:val="270" w:hRule="atLeast"/>
        </w:trPr>
        <w:tc>
          <w:tcPr>
            <w:tcW w:w="1635"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eastAsia="宋体" w:cs="宋体"/>
                <w:kern w:val="0"/>
                <w:sz w:val="18"/>
                <w:szCs w:val="18"/>
              </w:rPr>
            </w:pPr>
            <w:r>
              <w:rPr>
                <w:rFonts w:hint="eastAsia" w:ascii="宋体" w:hAnsi="宋体" w:eastAsia="宋体" w:cs="宋体"/>
                <w:kern w:val="0"/>
                <w:sz w:val="18"/>
                <w:szCs w:val="18"/>
              </w:rPr>
              <w:t>硬件保修</w:t>
            </w:r>
          </w:p>
        </w:tc>
        <w:tc>
          <w:tcPr>
            <w:tcW w:w="6840" w:type="dxa"/>
            <w:tcBorders>
              <w:top w:val="single" w:color="auto" w:sz="4" w:space="0"/>
              <w:left w:val="single" w:color="auto" w:sz="4" w:space="0"/>
              <w:bottom w:val="single" w:color="auto" w:sz="4" w:space="0"/>
              <w:right w:val="single" w:color="auto" w:sz="4" w:space="0"/>
            </w:tcBorders>
          </w:tcPr>
          <w:p>
            <w:pPr>
              <w:widowControl/>
              <w:jc w:val="center"/>
              <w:rPr>
                <w:rFonts w:ascii="宋体" w:hAnsi="宋体" w:eastAsia="宋体" w:cs="宋体"/>
                <w:kern w:val="0"/>
                <w:sz w:val="18"/>
                <w:szCs w:val="18"/>
              </w:rPr>
            </w:pPr>
            <w:r>
              <w:rPr>
                <w:rFonts w:hint="eastAsia" w:ascii="宋体" w:hAnsi="宋体" w:eastAsia="宋体" w:cs="宋体"/>
                <w:kern w:val="0"/>
                <w:sz w:val="18"/>
                <w:szCs w:val="18"/>
              </w:rPr>
              <w:t>1年硬件保修</w:t>
            </w:r>
          </w:p>
        </w:tc>
      </w:tr>
    </w:tbl>
    <w:p>
      <w:pPr>
        <w:spacing w:line="360" w:lineRule="auto"/>
        <w:ind w:firstLine="560" w:firstLineChars="200"/>
        <w:rPr>
          <w:rFonts w:ascii="彩虹粗仿宋" w:hAnsi="仿宋" w:eastAsia="彩虹粗仿宋" w:cs="Times New Roman"/>
          <w:color w:val="000000" w:themeColor="text1"/>
          <w:sz w:val="28"/>
          <w:szCs w:val="28"/>
        </w:rPr>
      </w:pPr>
      <w:r>
        <w:rPr>
          <w:rFonts w:hint="eastAsia" w:ascii="彩虹粗仿宋" w:hAnsi="仿宋" w:eastAsia="彩虹粗仿宋" w:cs="Times New Roman"/>
          <w:color w:val="000000" w:themeColor="text1"/>
          <w:sz w:val="28"/>
          <w:szCs w:val="28"/>
        </w:rPr>
        <w:t>（11）负载均衡Citrix MPX 8910配置</w:t>
      </w:r>
    </w:p>
    <w:tbl>
      <w:tblPr>
        <w:tblStyle w:val="15"/>
        <w:tblW w:w="8940" w:type="dxa"/>
        <w:tblInd w:w="93" w:type="dxa"/>
        <w:tblLayout w:type="autofit"/>
        <w:tblCellMar>
          <w:top w:w="0" w:type="dxa"/>
          <w:left w:w="108" w:type="dxa"/>
          <w:bottom w:w="0" w:type="dxa"/>
          <w:right w:w="108" w:type="dxa"/>
        </w:tblCellMar>
      </w:tblPr>
      <w:tblGrid>
        <w:gridCol w:w="1140"/>
        <w:gridCol w:w="1080"/>
        <w:gridCol w:w="6120"/>
        <w:gridCol w:w="600"/>
      </w:tblGrid>
      <w:tr>
        <w:tblPrEx>
          <w:tblCellMar>
            <w:top w:w="0" w:type="dxa"/>
            <w:left w:w="108" w:type="dxa"/>
            <w:bottom w:w="0" w:type="dxa"/>
            <w:right w:w="108" w:type="dxa"/>
          </w:tblCellMar>
        </w:tblPrEx>
        <w:trPr>
          <w:trHeight w:val="270" w:hRule="atLeast"/>
        </w:trPr>
        <w:tc>
          <w:tcPr>
            <w:tcW w:w="1140" w:type="dxa"/>
            <w:tcBorders>
              <w:top w:val="single" w:color="auto" w:sz="4" w:space="0"/>
              <w:left w:val="single" w:color="auto" w:sz="4" w:space="0"/>
              <w:bottom w:val="single" w:color="auto" w:sz="4" w:space="0"/>
              <w:right w:val="single" w:color="auto" w:sz="4" w:space="0"/>
            </w:tcBorders>
            <w:shd w:val="clear" w:color="auto" w:fill="FFFF00"/>
            <w:vAlign w:val="center"/>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设备型号</w:t>
            </w:r>
          </w:p>
        </w:tc>
        <w:tc>
          <w:tcPr>
            <w:tcW w:w="1080" w:type="dxa"/>
            <w:tcBorders>
              <w:top w:val="single" w:color="auto" w:sz="4" w:space="0"/>
              <w:left w:val="nil"/>
              <w:bottom w:val="single" w:color="auto" w:sz="4" w:space="0"/>
              <w:right w:val="single" w:color="auto" w:sz="4" w:space="0"/>
            </w:tcBorders>
            <w:shd w:val="clear" w:color="auto" w:fill="FFFF00"/>
            <w:vAlign w:val="center"/>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硬件配置</w:t>
            </w:r>
          </w:p>
        </w:tc>
        <w:tc>
          <w:tcPr>
            <w:tcW w:w="6120" w:type="dxa"/>
            <w:tcBorders>
              <w:top w:val="single" w:color="auto" w:sz="4" w:space="0"/>
              <w:left w:val="nil"/>
              <w:bottom w:val="single" w:color="auto" w:sz="4" w:space="0"/>
              <w:right w:val="single" w:color="auto" w:sz="4" w:space="0"/>
            </w:tcBorders>
            <w:shd w:val="clear" w:color="auto" w:fill="FFFF00"/>
            <w:vAlign w:val="center"/>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硬件描述</w:t>
            </w:r>
          </w:p>
        </w:tc>
        <w:tc>
          <w:tcPr>
            <w:tcW w:w="600" w:type="dxa"/>
            <w:tcBorders>
              <w:top w:val="single" w:color="auto" w:sz="4" w:space="0"/>
              <w:left w:val="nil"/>
              <w:bottom w:val="single" w:color="auto" w:sz="4" w:space="0"/>
              <w:right w:val="single" w:color="auto" w:sz="4" w:space="0"/>
            </w:tcBorders>
            <w:shd w:val="clear" w:color="auto" w:fill="FFFF00"/>
            <w:vAlign w:val="center"/>
          </w:tcPr>
          <w:p>
            <w:pPr>
              <w:widowControl/>
              <w:jc w:val="center"/>
              <w:rPr>
                <w:rFonts w:ascii="宋体" w:hAnsi="宋体" w:eastAsia="宋体" w:cs="宋体"/>
                <w:b/>
                <w:bCs/>
                <w:kern w:val="0"/>
                <w:sz w:val="20"/>
                <w:szCs w:val="20"/>
              </w:rPr>
            </w:pPr>
            <w:r>
              <w:rPr>
                <w:rFonts w:hint="eastAsia" w:ascii="宋体" w:hAnsi="宋体" w:eastAsia="宋体" w:cs="宋体"/>
                <w:b/>
                <w:bCs/>
                <w:kern w:val="0"/>
                <w:sz w:val="20"/>
                <w:szCs w:val="20"/>
              </w:rPr>
              <w:t>数量</w:t>
            </w:r>
          </w:p>
        </w:tc>
      </w:tr>
      <w:tr>
        <w:tblPrEx>
          <w:tblCellMar>
            <w:top w:w="0" w:type="dxa"/>
            <w:left w:w="108" w:type="dxa"/>
            <w:bottom w:w="0" w:type="dxa"/>
            <w:right w:w="108" w:type="dxa"/>
          </w:tblCellMar>
        </w:tblPrEx>
        <w:trPr>
          <w:trHeight w:val="675" w:hRule="atLeast"/>
        </w:trPr>
        <w:tc>
          <w:tcPr>
            <w:tcW w:w="1140" w:type="dxa"/>
            <w:vMerge w:val="restart"/>
            <w:tcBorders>
              <w:top w:val="nil"/>
              <w:left w:val="single" w:color="auto" w:sz="4" w:space="0"/>
              <w:bottom w:val="single" w:color="auto" w:sz="4" w:space="0"/>
              <w:right w:val="single" w:color="auto" w:sz="4" w:space="0"/>
            </w:tcBorders>
            <w:shd w:val="clear" w:color="auto" w:fill="FFFFFF"/>
            <w:vAlign w:val="center"/>
          </w:tcPr>
          <w:p>
            <w:pPr>
              <w:widowControl/>
              <w:jc w:val="center"/>
              <w:rPr>
                <w:rFonts w:ascii="宋体" w:hAnsi="宋体" w:eastAsia="宋体" w:cs="宋体"/>
                <w:kern w:val="0"/>
                <w:sz w:val="18"/>
                <w:szCs w:val="18"/>
              </w:rPr>
            </w:pPr>
            <w:r>
              <w:rPr>
                <w:rFonts w:hint="eastAsia" w:ascii="宋体" w:hAnsi="宋体" w:eastAsia="宋体" w:cs="宋体"/>
                <w:kern w:val="0"/>
                <w:sz w:val="18"/>
                <w:szCs w:val="18"/>
              </w:rPr>
              <w:t>MPX 8910</w:t>
            </w:r>
          </w:p>
        </w:tc>
        <w:tc>
          <w:tcPr>
            <w:tcW w:w="1080" w:type="dxa"/>
            <w:tcBorders>
              <w:top w:val="nil"/>
              <w:left w:val="nil"/>
              <w:bottom w:val="single" w:color="auto" w:sz="4" w:space="0"/>
              <w:right w:val="single" w:color="auto" w:sz="4" w:space="0"/>
            </w:tcBorders>
            <w:vAlign w:val="center"/>
          </w:tcPr>
          <w:p>
            <w:pPr>
              <w:widowControl/>
              <w:jc w:val="left"/>
              <w:rPr>
                <w:rFonts w:ascii="宋体" w:hAnsi="宋体" w:eastAsia="宋体" w:cs="宋体"/>
                <w:kern w:val="0"/>
                <w:sz w:val="18"/>
                <w:szCs w:val="18"/>
              </w:rPr>
            </w:pPr>
            <w:r>
              <w:rPr>
                <w:rFonts w:hint="eastAsia" w:ascii="宋体" w:hAnsi="宋体" w:eastAsia="宋体" w:cs="宋体"/>
                <w:kern w:val="0"/>
                <w:sz w:val="18"/>
                <w:szCs w:val="18"/>
              </w:rPr>
              <w:t>Citrix ADC MPX 8910 高级版硬件</w:t>
            </w:r>
          </w:p>
        </w:tc>
        <w:tc>
          <w:tcPr>
            <w:tcW w:w="6120" w:type="dxa"/>
            <w:tcBorders>
              <w:top w:val="nil"/>
              <w:left w:val="nil"/>
              <w:bottom w:val="single" w:color="auto" w:sz="4" w:space="0"/>
              <w:right w:val="single" w:color="auto" w:sz="4" w:space="0"/>
            </w:tcBorders>
            <w:vAlign w:val="center"/>
          </w:tcPr>
          <w:p>
            <w:pPr>
              <w:widowControl/>
              <w:jc w:val="left"/>
              <w:rPr>
                <w:rFonts w:ascii="宋体" w:hAnsi="宋体" w:eastAsia="宋体" w:cs="宋体"/>
                <w:kern w:val="0"/>
                <w:sz w:val="18"/>
                <w:szCs w:val="18"/>
              </w:rPr>
            </w:pPr>
            <w:r>
              <w:rPr>
                <w:rFonts w:hint="eastAsia" w:ascii="宋体" w:hAnsi="宋体" w:eastAsia="宋体" w:cs="宋体"/>
                <w:kern w:val="0"/>
                <w:sz w:val="18"/>
                <w:szCs w:val="18"/>
              </w:rPr>
              <w:t>Citrix ADC MPX 8910 Advanced Edition 4x10GE SFP+; 6x10/100/1000 CU; 10GE SFP+ Sold separately，450W redundant AC Power Supply</w:t>
            </w:r>
          </w:p>
        </w:tc>
        <w:tc>
          <w:tcPr>
            <w:tcW w:w="600" w:type="dxa"/>
            <w:tcBorders>
              <w:top w:val="nil"/>
              <w:left w:val="nil"/>
              <w:bottom w:val="single" w:color="auto" w:sz="4" w:space="0"/>
              <w:right w:val="single" w:color="auto" w:sz="4" w:space="0"/>
            </w:tcBorders>
            <w:vAlign w:val="center"/>
          </w:tcPr>
          <w:p>
            <w:pPr>
              <w:widowControl/>
              <w:jc w:val="center"/>
              <w:rPr>
                <w:rFonts w:ascii="宋体" w:hAnsi="宋体" w:eastAsia="宋体" w:cs="宋体"/>
                <w:kern w:val="0"/>
                <w:sz w:val="18"/>
                <w:szCs w:val="18"/>
              </w:rPr>
            </w:pPr>
            <w:r>
              <w:rPr>
                <w:rFonts w:hint="eastAsia" w:ascii="宋体" w:hAnsi="宋体" w:eastAsia="宋体" w:cs="宋体"/>
                <w:kern w:val="0"/>
                <w:sz w:val="18"/>
                <w:szCs w:val="18"/>
              </w:rPr>
              <w:t>2</w:t>
            </w:r>
          </w:p>
        </w:tc>
      </w:tr>
      <w:tr>
        <w:tblPrEx>
          <w:tblCellMar>
            <w:top w:w="0" w:type="dxa"/>
            <w:left w:w="108" w:type="dxa"/>
            <w:bottom w:w="0" w:type="dxa"/>
            <w:right w:w="108" w:type="dxa"/>
          </w:tblCellMar>
        </w:tblPrEx>
        <w:trPr>
          <w:trHeight w:val="900" w:hRule="atLeast"/>
        </w:trPr>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18"/>
                <w:szCs w:val="18"/>
              </w:rPr>
            </w:pPr>
          </w:p>
        </w:tc>
        <w:tc>
          <w:tcPr>
            <w:tcW w:w="1080" w:type="dxa"/>
            <w:tcBorders>
              <w:top w:val="nil"/>
              <w:left w:val="nil"/>
              <w:bottom w:val="single" w:color="auto" w:sz="4" w:space="0"/>
              <w:right w:val="single" w:color="auto" w:sz="4" w:space="0"/>
            </w:tcBorders>
            <w:vAlign w:val="center"/>
          </w:tcPr>
          <w:p>
            <w:pPr>
              <w:widowControl/>
              <w:jc w:val="left"/>
              <w:rPr>
                <w:rFonts w:ascii="宋体" w:hAnsi="宋体" w:eastAsia="宋体" w:cs="宋体"/>
                <w:kern w:val="0"/>
                <w:sz w:val="18"/>
                <w:szCs w:val="18"/>
              </w:rPr>
            </w:pPr>
            <w:r>
              <w:rPr>
                <w:rFonts w:hint="eastAsia" w:ascii="宋体" w:hAnsi="宋体" w:eastAsia="宋体" w:cs="宋体"/>
                <w:kern w:val="0"/>
                <w:sz w:val="18"/>
                <w:szCs w:val="18"/>
              </w:rPr>
              <w:t>Citrix ADC MPX 8910 高级版三年售后服务</w:t>
            </w:r>
          </w:p>
        </w:tc>
        <w:tc>
          <w:tcPr>
            <w:tcW w:w="6120" w:type="dxa"/>
            <w:tcBorders>
              <w:top w:val="nil"/>
              <w:left w:val="nil"/>
              <w:bottom w:val="single" w:color="auto" w:sz="4" w:space="0"/>
              <w:right w:val="single" w:color="auto" w:sz="4" w:space="0"/>
            </w:tcBorders>
            <w:vAlign w:val="center"/>
          </w:tcPr>
          <w:p>
            <w:pPr>
              <w:widowControl/>
              <w:jc w:val="left"/>
              <w:rPr>
                <w:rFonts w:ascii="宋体" w:hAnsi="宋体" w:eastAsia="宋体" w:cs="宋体"/>
                <w:kern w:val="0"/>
                <w:sz w:val="18"/>
                <w:szCs w:val="18"/>
              </w:rPr>
            </w:pPr>
            <w:r>
              <w:rPr>
                <w:rFonts w:hint="eastAsia" w:ascii="宋体" w:hAnsi="宋体" w:eastAsia="宋体" w:cs="宋体"/>
                <w:kern w:val="0"/>
                <w:sz w:val="18"/>
                <w:szCs w:val="18"/>
              </w:rPr>
              <w:t>1 Years Maintenance Citrix ADC MPX 8910 Advanced Edition</w:t>
            </w:r>
          </w:p>
        </w:tc>
        <w:tc>
          <w:tcPr>
            <w:tcW w:w="600" w:type="dxa"/>
            <w:tcBorders>
              <w:top w:val="nil"/>
              <w:left w:val="nil"/>
              <w:bottom w:val="single" w:color="auto" w:sz="4" w:space="0"/>
              <w:right w:val="single" w:color="auto" w:sz="4" w:space="0"/>
            </w:tcBorders>
            <w:vAlign w:val="center"/>
          </w:tcPr>
          <w:p>
            <w:pPr>
              <w:widowControl/>
              <w:jc w:val="center"/>
              <w:rPr>
                <w:rFonts w:ascii="宋体" w:hAnsi="宋体" w:eastAsia="宋体" w:cs="宋体"/>
                <w:kern w:val="0"/>
                <w:sz w:val="18"/>
                <w:szCs w:val="18"/>
              </w:rPr>
            </w:pPr>
            <w:r>
              <w:rPr>
                <w:rFonts w:hint="eastAsia" w:ascii="宋体" w:hAnsi="宋体" w:eastAsia="宋体" w:cs="宋体"/>
                <w:kern w:val="0"/>
                <w:sz w:val="18"/>
                <w:szCs w:val="18"/>
              </w:rPr>
              <w:t>12</w:t>
            </w:r>
          </w:p>
        </w:tc>
      </w:tr>
      <w:tr>
        <w:tblPrEx>
          <w:tblCellMar>
            <w:top w:w="0" w:type="dxa"/>
            <w:left w:w="108" w:type="dxa"/>
            <w:bottom w:w="0" w:type="dxa"/>
            <w:right w:w="108" w:type="dxa"/>
          </w:tblCellMar>
        </w:tblPrEx>
        <w:trPr>
          <w:trHeight w:val="675" w:hRule="atLeast"/>
        </w:trPr>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18"/>
                <w:szCs w:val="18"/>
              </w:rPr>
            </w:pPr>
          </w:p>
        </w:tc>
        <w:tc>
          <w:tcPr>
            <w:tcW w:w="1080" w:type="dxa"/>
            <w:tcBorders>
              <w:top w:val="nil"/>
              <w:left w:val="nil"/>
              <w:bottom w:val="single" w:color="auto" w:sz="4" w:space="0"/>
              <w:right w:val="single" w:color="auto" w:sz="4" w:space="0"/>
            </w:tcBorders>
            <w:vAlign w:val="center"/>
          </w:tcPr>
          <w:p>
            <w:pPr>
              <w:widowControl/>
              <w:jc w:val="left"/>
              <w:rPr>
                <w:rFonts w:ascii="宋体" w:hAnsi="宋体" w:eastAsia="宋体" w:cs="宋体"/>
                <w:kern w:val="0"/>
                <w:sz w:val="18"/>
                <w:szCs w:val="18"/>
              </w:rPr>
            </w:pPr>
            <w:r>
              <w:rPr>
                <w:rFonts w:hint="eastAsia" w:ascii="宋体" w:hAnsi="宋体" w:eastAsia="宋体" w:cs="宋体"/>
                <w:kern w:val="0"/>
                <w:sz w:val="18"/>
                <w:szCs w:val="18"/>
              </w:rPr>
              <w:t>Citrix ADC SFP 1G光纤模块（4个）</w:t>
            </w:r>
          </w:p>
        </w:tc>
        <w:tc>
          <w:tcPr>
            <w:tcW w:w="6120" w:type="dxa"/>
            <w:tcBorders>
              <w:top w:val="nil"/>
              <w:left w:val="nil"/>
              <w:bottom w:val="single" w:color="auto" w:sz="4" w:space="0"/>
              <w:right w:val="single" w:color="auto" w:sz="4" w:space="0"/>
            </w:tcBorders>
            <w:vAlign w:val="center"/>
          </w:tcPr>
          <w:p>
            <w:pPr>
              <w:widowControl/>
              <w:jc w:val="left"/>
              <w:rPr>
                <w:rFonts w:ascii="宋体" w:hAnsi="宋体" w:eastAsia="宋体" w:cs="宋体"/>
                <w:kern w:val="0"/>
                <w:sz w:val="18"/>
                <w:szCs w:val="18"/>
              </w:rPr>
            </w:pPr>
            <w:r>
              <w:rPr>
                <w:rFonts w:hint="eastAsia" w:ascii="宋体" w:hAnsi="宋体" w:eastAsia="宋体" w:cs="宋体"/>
                <w:kern w:val="0"/>
                <w:sz w:val="18"/>
                <w:szCs w:val="18"/>
              </w:rPr>
              <w:t>Citrix ADC SFP Gigabit Ethernet SX (300m) - 4 Pack</w:t>
            </w:r>
          </w:p>
        </w:tc>
        <w:tc>
          <w:tcPr>
            <w:tcW w:w="600" w:type="dxa"/>
            <w:tcBorders>
              <w:top w:val="nil"/>
              <w:left w:val="nil"/>
              <w:bottom w:val="single" w:color="auto" w:sz="4" w:space="0"/>
              <w:right w:val="single" w:color="auto" w:sz="4" w:space="0"/>
            </w:tcBorders>
            <w:vAlign w:val="center"/>
          </w:tcPr>
          <w:p>
            <w:pPr>
              <w:widowControl/>
              <w:jc w:val="center"/>
              <w:rPr>
                <w:rFonts w:ascii="宋体" w:hAnsi="宋体" w:eastAsia="宋体" w:cs="宋体"/>
                <w:kern w:val="0"/>
                <w:sz w:val="18"/>
                <w:szCs w:val="18"/>
              </w:rPr>
            </w:pPr>
            <w:r>
              <w:rPr>
                <w:rFonts w:hint="eastAsia" w:ascii="宋体" w:hAnsi="宋体" w:eastAsia="宋体" w:cs="宋体"/>
                <w:kern w:val="0"/>
                <w:sz w:val="18"/>
                <w:szCs w:val="18"/>
              </w:rPr>
              <w:t>2</w:t>
            </w:r>
          </w:p>
        </w:tc>
      </w:tr>
    </w:tbl>
    <w:p>
      <w:pPr>
        <w:spacing w:line="360" w:lineRule="auto"/>
        <w:ind w:firstLine="560" w:firstLineChars="200"/>
        <w:rPr>
          <w:rFonts w:ascii="彩虹粗仿宋" w:hAnsi="仿宋" w:eastAsia="彩虹粗仿宋" w:cs="Times New Roman"/>
          <w:color w:val="000000" w:themeColor="text1"/>
          <w:sz w:val="28"/>
          <w:szCs w:val="28"/>
        </w:rPr>
      </w:pPr>
      <w:r>
        <w:rPr>
          <w:rFonts w:hint="eastAsia" w:ascii="彩虹粗仿宋" w:hAnsi="仿宋" w:eastAsia="彩虹粗仿宋" w:cs="Times New Roman"/>
          <w:color w:val="000000" w:themeColor="text1"/>
          <w:sz w:val="28"/>
          <w:szCs w:val="28"/>
        </w:rPr>
        <w:t>附件二、供应链安全条款示例</w:t>
      </w:r>
    </w:p>
    <w:p>
      <w:pPr>
        <w:spacing w:line="360" w:lineRule="auto"/>
        <w:ind w:firstLine="420" w:firstLineChars="200"/>
        <w:rPr>
          <w:rFonts w:ascii="彩虹粗仿宋" w:hAnsi="仿宋" w:eastAsia="彩虹粗仿宋" w:cs="Times New Roman"/>
          <w:color w:val="000000" w:themeColor="text1"/>
          <w:sz w:val="28"/>
          <w:szCs w:val="28"/>
        </w:rPr>
      </w:pPr>
      <w:r>
        <w:rPr>
          <w:rFonts w:hint="eastAsia"/>
        </w:rPr>
        <w:object>
          <v:shape id="_x0000_i1025" o:spt="75" type="#_x0000_t75" style="height:66pt;width:72.6pt;" o:ole="t" filled="f" o:preferrelative="t" stroked="f" coordsize="21600,21600">
            <v:path/>
            <v:fill on="f" focussize="0,0"/>
            <v:stroke on="f" joinstyle="miter"/>
            <v:imagedata r:id="rId7" o:title=""/>
            <o:lock v:ext="edit" aspectratio="t"/>
            <w10:wrap type="none"/>
            <w10:anchorlock/>
          </v:shape>
          <o:OLEObject Type="Embed" ProgID="Word.Document.12" ShapeID="_x0000_i1025" DrawAspect="Icon" ObjectID="_1468075725" r:id="rId6">
            <o:LockedField>false</o:LockedField>
          </o:OLEObject>
        </w:object>
      </w:r>
    </w:p>
    <w:p>
      <w:pPr>
        <w:pStyle w:val="35"/>
        <w:ind w:firstLine="640"/>
      </w:pPr>
    </w:p>
    <w:p>
      <w:pPr>
        <w:pStyle w:val="35"/>
        <w:ind w:firstLine="640"/>
      </w:pPr>
      <w:r>
        <w:rPr>
          <w:rFonts w:hint="eastAsia"/>
        </w:rPr>
        <w:t>附件三：供应链企业安全责任与保密承诺函</w:t>
      </w:r>
    </w:p>
    <w:p>
      <w:pPr>
        <w:pStyle w:val="35"/>
        <w:ind w:firstLine="640"/>
      </w:pPr>
      <w:bookmarkStart w:id="0" w:name="_MON_1762150179"/>
      <w:bookmarkEnd w:id="0"/>
      <w:r>
        <w:object>
          <v:shape id="_x0000_i1026" o:spt="75" type="#_x0000_t75" style="height:48pt;width:76.8pt;" o:ole="t" filled="f" o:preferrelative="t" stroked="f" coordsize="21600,21600">
            <v:path/>
            <v:fill on="f" focussize="0,0"/>
            <v:stroke on="f" joinstyle="miter"/>
            <v:imagedata r:id="rId9" o:title=""/>
            <o:lock v:ext="edit" aspectratio="t"/>
            <w10:wrap type="none"/>
            <w10:anchorlock/>
          </v:shape>
          <o:OLEObject Type="Embed" ProgID="Word.Document.8" ShapeID="_x0000_i1026" DrawAspect="Icon" ObjectID="_1468075726" r:id="rId8">
            <o:LockedField>false</o:LockedField>
          </o:OLEObject>
        </w:object>
      </w:r>
    </w:p>
    <w:p>
      <w:pPr>
        <w:pStyle w:val="35"/>
        <w:ind w:firstLine="640"/>
      </w:pPr>
    </w:p>
    <w:p>
      <w:pPr>
        <w:pStyle w:val="35"/>
        <w:ind w:firstLine="640"/>
        <w:rPr>
          <w:lang w:val="en-GB"/>
        </w:rPr>
      </w:pPr>
      <w:r>
        <w:rPr>
          <w:rFonts w:hint="eastAsia"/>
        </w:rPr>
        <w:t>附件四：</w:t>
      </w:r>
      <w:r>
        <w:rPr>
          <w:rFonts w:hint="eastAsia"/>
          <w:lang w:val="en-GB"/>
        </w:rPr>
        <w:t>供应商安全评估指标库</w:t>
      </w:r>
    </w:p>
    <w:p>
      <w:pPr>
        <w:pStyle w:val="35"/>
        <w:ind w:firstLine="640"/>
        <w:rPr>
          <w:lang w:val="en-GB"/>
        </w:rPr>
      </w:pPr>
      <w:r>
        <w:rPr>
          <w:rFonts w:hint="eastAsia"/>
          <w:lang w:val="en-GB"/>
        </w:rPr>
        <w:object>
          <v:shape id="_x0000_i1027" o:spt="75" type="#_x0000_t75" style="height:66pt;width:72.6pt;" o:ole="t" filled="f" o:preferrelative="t" stroked="f" coordsize="21600,21600">
            <v:path/>
            <v:fill on="f" focussize="0,0"/>
            <v:stroke on="f" joinstyle="miter"/>
            <v:imagedata r:id="rId11" o:title=""/>
            <o:lock v:ext="edit" aspectratio="t"/>
            <w10:wrap type="none"/>
            <w10:anchorlock/>
          </v:shape>
          <o:OLEObject Type="Embed" ProgID="Excel.Sheet.12" ShapeID="_x0000_i1027" DrawAspect="Icon" ObjectID="_1468075727" r:id="rId10">
            <o:LockedField>false</o:LockedField>
          </o:OLEObject>
        </w:object>
      </w:r>
    </w:p>
    <w:p>
      <w:pPr>
        <w:pStyle w:val="35"/>
        <w:ind w:firstLine="640"/>
        <w:rPr>
          <w:lang w:val="en-GB"/>
        </w:rPr>
      </w:pPr>
    </w:p>
    <w:p>
      <w:pPr>
        <w:adjustRightInd w:val="0"/>
        <w:snapToGrid w:val="0"/>
        <w:spacing w:line="360" w:lineRule="auto"/>
        <w:jc w:val="center"/>
      </w:pP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彩虹小标宋">
    <w:panose1 w:val="03000509000000000000"/>
    <w:charset w:val="86"/>
    <w:family w:val="script"/>
    <w:pitch w:val="default"/>
    <w:sig w:usb0="00000001" w:usb1="080E0000" w:usb2="00000000" w:usb3="00000000" w:csb0="00040000" w:csb1="00000000"/>
  </w:font>
  <w:font w:name="彩虹黑体">
    <w:panose1 w:val="03000509000000000000"/>
    <w:charset w:val="86"/>
    <w:family w:val="script"/>
    <w:pitch w:val="default"/>
    <w:sig w:usb0="00000001" w:usb1="080E0000" w:usb2="00000000" w:usb3="00000000" w:csb0="00040000" w:csb1="00000000"/>
  </w:font>
  <w:font w:name="彩虹粗仿宋">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彩虹楷体">
    <w:panose1 w:val="03000509000000000000"/>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47068186"/>
    </w:sdtPr>
    <w:sdtContent>
      <w:p>
        <w:pPr>
          <w:pStyle w:val="9"/>
          <w:jc w:val="center"/>
        </w:pPr>
        <w:r>
          <w:fldChar w:fldCharType="begin"/>
        </w:r>
        <w:r>
          <w:instrText xml:space="preserve">PAGE   \* MERGEFORMAT</w:instrText>
        </w:r>
        <w:r>
          <w:fldChar w:fldCharType="separate"/>
        </w:r>
        <w:r>
          <w:rPr>
            <w:lang w:val="zh-CN"/>
          </w:rPr>
          <w:t>1</w:t>
        </w:r>
        <w:r>
          <w:fldChar w:fldCharType="end"/>
        </w:r>
      </w:p>
    </w:sdtContent>
  </w:sdt>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31CA49"/>
    <w:multiLevelType w:val="singleLevel"/>
    <w:tmpl w:val="8A31CA49"/>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characterSpacingControl w:val="doNotCompress"/>
  <w:compat>
    <w:useFELayout/>
    <w:compatSetting w:name="compatibilityMode" w:uri="http://schemas.microsoft.com/office/word" w:val="12"/>
  </w:compat>
  <w:rsids>
    <w:rsidRoot w:val="00C60B18"/>
    <w:rsid w:val="001C2B7D"/>
    <w:rsid w:val="0073295C"/>
    <w:rsid w:val="00B1761F"/>
    <w:rsid w:val="00C60B18"/>
    <w:rsid w:val="00F26191"/>
    <w:rsid w:val="03F67606"/>
    <w:rsid w:val="0F39210D"/>
    <w:rsid w:val="11C02B83"/>
    <w:rsid w:val="39662BE2"/>
    <w:rsid w:val="3C136060"/>
    <w:rsid w:val="42891ECB"/>
    <w:rsid w:val="463C1AC9"/>
    <w:rsid w:val="50264F9E"/>
    <w:rsid w:val="57E9247C"/>
    <w:rsid w:val="5F87391D"/>
    <w:rsid w:val="637F5A87"/>
    <w:rsid w:val="704E4804"/>
    <w:rsid w:val="7D782B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1"/>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2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3"/>
    <w:unhideWhenUsed/>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4"/>
    <w:semiHidden/>
    <w:unhideWhenUsed/>
    <w:qFormat/>
    <w:uiPriority w:val="99"/>
    <w:pPr>
      <w:jc w:val="left"/>
    </w:pPr>
    <w:rPr>
      <w:rFonts w:ascii="Times New Roman" w:hAnsi="Times New Roman" w:eastAsia="宋体" w:cs="Times New Roman"/>
      <w:szCs w:val="24"/>
    </w:rPr>
  </w:style>
  <w:style w:type="paragraph" w:styleId="6">
    <w:name w:val="Body Text"/>
    <w:basedOn w:val="1"/>
    <w:unhideWhenUsed/>
    <w:qFormat/>
    <w:uiPriority w:val="0"/>
    <w:pPr>
      <w:widowControl/>
      <w:spacing w:after="120"/>
      <w:jc w:val="left"/>
    </w:pPr>
    <w:rPr>
      <w:rFonts w:ascii="Times New Roman" w:hAnsi="Times New Roman" w:eastAsia="仿宋_GB2312" w:cs="Times New Roman"/>
      <w:kern w:val="0"/>
      <w:sz w:val="32"/>
      <w:szCs w:val="24"/>
    </w:rPr>
  </w:style>
  <w:style w:type="paragraph" w:styleId="7">
    <w:name w:val="Date"/>
    <w:basedOn w:val="1"/>
    <w:next w:val="1"/>
    <w:link w:val="25"/>
    <w:semiHidden/>
    <w:unhideWhenUsed/>
    <w:qFormat/>
    <w:uiPriority w:val="99"/>
    <w:pPr>
      <w:ind w:left="100" w:leftChars="2500"/>
    </w:pPr>
    <w:rPr>
      <w:rFonts w:ascii="Times New Roman" w:hAnsi="Times New Roman" w:eastAsia="宋体" w:cs="Times New Roman"/>
      <w:szCs w:val="24"/>
    </w:rPr>
  </w:style>
  <w:style w:type="paragraph" w:styleId="8">
    <w:name w:val="Balloon Text"/>
    <w:basedOn w:val="1"/>
    <w:link w:val="26"/>
    <w:semiHidden/>
    <w:unhideWhenUsed/>
    <w:qFormat/>
    <w:uiPriority w:val="99"/>
    <w:rPr>
      <w:rFonts w:ascii="Times New Roman" w:hAnsi="Times New Roman" w:eastAsia="宋体" w:cs="Times New Roman"/>
      <w:sz w:val="18"/>
      <w:szCs w:val="18"/>
    </w:rPr>
  </w:style>
  <w:style w:type="paragraph" w:styleId="9">
    <w:name w:val="footer"/>
    <w:basedOn w:val="1"/>
    <w:link w:val="27"/>
    <w:unhideWhenUsed/>
    <w:qFormat/>
    <w:uiPriority w:val="99"/>
    <w:pPr>
      <w:tabs>
        <w:tab w:val="center" w:pos="4153"/>
        <w:tab w:val="right" w:pos="8306"/>
      </w:tabs>
      <w:snapToGrid w:val="0"/>
      <w:jc w:val="left"/>
    </w:pPr>
    <w:rPr>
      <w:sz w:val="18"/>
      <w:szCs w:val="18"/>
    </w:rPr>
  </w:style>
  <w:style w:type="paragraph" w:styleId="10">
    <w:name w:val="header"/>
    <w:basedOn w:val="1"/>
    <w:link w:val="28"/>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pPr>
      <w:tabs>
        <w:tab w:val="right" w:leader="dot" w:pos="8296"/>
      </w:tabs>
    </w:pPr>
    <w:rPr>
      <w:rFonts w:ascii="Calibri" w:hAnsi="Calibri" w:eastAsia="宋体" w:cs="Times New Roman"/>
      <w:b/>
    </w:rPr>
  </w:style>
  <w:style w:type="paragraph" w:styleId="12">
    <w:name w:val="footnote text"/>
    <w:basedOn w:val="1"/>
    <w:link w:val="29"/>
    <w:semiHidden/>
    <w:unhideWhenUsed/>
    <w:qFormat/>
    <w:uiPriority w:val="99"/>
    <w:pPr>
      <w:snapToGrid w:val="0"/>
      <w:jc w:val="left"/>
    </w:pPr>
    <w:rPr>
      <w:rFonts w:ascii="Times New Roman" w:hAnsi="Times New Roman" w:eastAsia="宋体" w:cs="Times New Roman"/>
      <w:sz w:val="18"/>
      <w:szCs w:val="18"/>
    </w:rPr>
  </w:style>
  <w:style w:type="paragraph" w:styleId="13">
    <w:name w:val="toc 2"/>
    <w:basedOn w:val="1"/>
    <w:next w:val="1"/>
    <w:unhideWhenUsed/>
    <w:qFormat/>
    <w:uiPriority w:val="39"/>
    <w:pPr>
      <w:tabs>
        <w:tab w:val="right" w:leader="dot" w:pos="8296"/>
      </w:tabs>
      <w:ind w:left="420" w:leftChars="200"/>
    </w:pPr>
    <w:rPr>
      <w:rFonts w:ascii="Calibri" w:hAnsi="Calibri" w:eastAsia="宋体" w:cs="Times New Roman"/>
      <w:b/>
    </w:rPr>
  </w:style>
  <w:style w:type="paragraph" w:styleId="14">
    <w:name w:val="annotation subject"/>
    <w:basedOn w:val="5"/>
    <w:next w:val="5"/>
    <w:link w:val="30"/>
    <w:semiHidden/>
    <w:unhideWhenUsed/>
    <w:qFormat/>
    <w:uiPriority w:val="99"/>
    <w:rPr>
      <w:b/>
      <w:bCs/>
    </w:rPr>
  </w:style>
  <w:style w:type="table" w:styleId="16">
    <w:name w:val="Table Grid"/>
    <w:basedOn w:val="1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Hyperlink"/>
    <w:unhideWhenUsed/>
    <w:qFormat/>
    <w:uiPriority w:val="99"/>
    <w:rPr>
      <w:color w:val="0000FF"/>
      <w:u w:val="single"/>
    </w:rPr>
  </w:style>
  <w:style w:type="character" w:styleId="19">
    <w:name w:val="annotation reference"/>
    <w:basedOn w:val="17"/>
    <w:semiHidden/>
    <w:unhideWhenUsed/>
    <w:qFormat/>
    <w:uiPriority w:val="99"/>
    <w:rPr>
      <w:sz w:val="21"/>
      <w:szCs w:val="21"/>
    </w:rPr>
  </w:style>
  <w:style w:type="character" w:styleId="20">
    <w:name w:val="footnote reference"/>
    <w:basedOn w:val="17"/>
    <w:semiHidden/>
    <w:unhideWhenUsed/>
    <w:qFormat/>
    <w:uiPriority w:val="99"/>
    <w:rPr>
      <w:vertAlign w:val="superscript"/>
    </w:rPr>
  </w:style>
  <w:style w:type="character" w:customStyle="1" w:styleId="21">
    <w:name w:val="标题 1 Char"/>
    <w:basedOn w:val="17"/>
    <w:link w:val="2"/>
    <w:qFormat/>
    <w:uiPriority w:val="9"/>
    <w:rPr>
      <w:rFonts w:ascii="Times New Roman" w:hAnsi="Times New Roman" w:eastAsia="宋体" w:cs="Times New Roman"/>
      <w:b/>
      <w:bCs/>
      <w:kern w:val="44"/>
      <w:sz w:val="44"/>
      <w:szCs w:val="44"/>
    </w:rPr>
  </w:style>
  <w:style w:type="character" w:customStyle="1" w:styleId="22">
    <w:name w:val="标题 2 Char"/>
    <w:basedOn w:val="17"/>
    <w:link w:val="3"/>
    <w:qFormat/>
    <w:uiPriority w:val="9"/>
    <w:rPr>
      <w:rFonts w:asciiTheme="majorHAnsi" w:hAnsiTheme="majorHAnsi" w:eastAsiaTheme="majorEastAsia" w:cstheme="majorBidi"/>
      <w:b/>
      <w:bCs/>
      <w:sz w:val="32"/>
      <w:szCs w:val="32"/>
    </w:rPr>
  </w:style>
  <w:style w:type="character" w:customStyle="1" w:styleId="23">
    <w:name w:val="标题 3 Char"/>
    <w:basedOn w:val="17"/>
    <w:link w:val="4"/>
    <w:qFormat/>
    <w:uiPriority w:val="9"/>
    <w:rPr>
      <w:rFonts w:ascii="Times New Roman" w:hAnsi="Times New Roman" w:eastAsia="宋体" w:cs="Times New Roman"/>
      <w:b/>
      <w:bCs/>
      <w:sz w:val="32"/>
      <w:szCs w:val="32"/>
    </w:rPr>
  </w:style>
  <w:style w:type="character" w:customStyle="1" w:styleId="24">
    <w:name w:val="批注文字 Char"/>
    <w:basedOn w:val="17"/>
    <w:link w:val="5"/>
    <w:semiHidden/>
    <w:qFormat/>
    <w:uiPriority w:val="99"/>
    <w:rPr>
      <w:rFonts w:ascii="Times New Roman" w:hAnsi="Times New Roman" w:eastAsia="宋体" w:cs="Times New Roman"/>
      <w:szCs w:val="24"/>
    </w:rPr>
  </w:style>
  <w:style w:type="character" w:customStyle="1" w:styleId="25">
    <w:name w:val="日期 Char"/>
    <w:basedOn w:val="17"/>
    <w:link w:val="7"/>
    <w:semiHidden/>
    <w:qFormat/>
    <w:uiPriority w:val="99"/>
    <w:rPr>
      <w:rFonts w:ascii="Times New Roman" w:hAnsi="Times New Roman" w:eastAsia="宋体" w:cs="Times New Roman"/>
      <w:szCs w:val="24"/>
    </w:rPr>
  </w:style>
  <w:style w:type="character" w:customStyle="1" w:styleId="26">
    <w:name w:val="批注框文本 Char"/>
    <w:basedOn w:val="17"/>
    <w:link w:val="8"/>
    <w:semiHidden/>
    <w:qFormat/>
    <w:uiPriority w:val="99"/>
    <w:rPr>
      <w:rFonts w:ascii="Times New Roman" w:hAnsi="Times New Roman" w:eastAsia="宋体" w:cs="Times New Roman"/>
      <w:sz w:val="18"/>
      <w:szCs w:val="18"/>
    </w:rPr>
  </w:style>
  <w:style w:type="character" w:customStyle="1" w:styleId="27">
    <w:name w:val="页脚 Char"/>
    <w:basedOn w:val="17"/>
    <w:link w:val="9"/>
    <w:qFormat/>
    <w:uiPriority w:val="99"/>
    <w:rPr>
      <w:sz w:val="18"/>
      <w:szCs w:val="18"/>
    </w:rPr>
  </w:style>
  <w:style w:type="character" w:customStyle="1" w:styleId="28">
    <w:name w:val="页眉 Char"/>
    <w:basedOn w:val="17"/>
    <w:link w:val="10"/>
    <w:qFormat/>
    <w:uiPriority w:val="99"/>
    <w:rPr>
      <w:sz w:val="18"/>
      <w:szCs w:val="18"/>
    </w:rPr>
  </w:style>
  <w:style w:type="character" w:customStyle="1" w:styleId="29">
    <w:name w:val="脚注文本 Char"/>
    <w:basedOn w:val="17"/>
    <w:link w:val="12"/>
    <w:semiHidden/>
    <w:qFormat/>
    <w:uiPriority w:val="99"/>
    <w:rPr>
      <w:rFonts w:ascii="Times New Roman" w:hAnsi="Times New Roman" w:eastAsia="宋体" w:cs="Times New Roman"/>
      <w:sz w:val="18"/>
      <w:szCs w:val="18"/>
    </w:rPr>
  </w:style>
  <w:style w:type="character" w:customStyle="1" w:styleId="30">
    <w:name w:val="批注主题 Char"/>
    <w:basedOn w:val="24"/>
    <w:link w:val="14"/>
    <w:semiHidden/>
    <w:qFormat/>
    <w:uiPriority w:val="99"/>
    <w:rPr>
      <w:rFonts w:ascii="Times New Roman" w:hAnsi="Times New Roman" w:eastAsia="宋体" w:cs="Times New Roman"/>
      <w:b/>
      <w:bCs/>
      <w:szCs w:val="24"/>
    </w:rPr>
  </w:style>
  <w:style w:type="paragraph" w:styleId="31">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styleId="32">
    <w:name w:val="List Paragraph"/>
    <w:basedOn w:val="1"/>
    <w:qFormat/>
    <w:uiPriority w:val="34"/>
    <w:pPr>
      <w:ind w:firstLine="420" w:firstLineChars="200"/>
    </w:pPr>
    <w:rPr>
      <w:rFonts w:ascii="Times New Roman" w:hAnsi="Times New Roman" w:eastAsia="宋体" w:cs="Times New Roman"/>
      <w:szCs w:val="24"/>
    </w:rPr>
  </w:style>
  <w:style w:type="paragraph" w:customStyle="1" w:styleId="33">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34">
    <w:name w:val="条目"/>
    <w:basedOn w:val="1"/>
    <w:qFormat/>
    <w:uiPriority w:val="0"/>
    <w:pPr>
      <w:ind w:left="420"/>
    </w:pPr>
    <w:rPr>
      <w:rFonts w:ascii="仿宋_GB2312" w:hAnsi="Times New Roman" w:eastAsia="仿宋_GB2312"/>
      <w:kern w:val="0"/>
      <w:sz w:val="32"/>
      <w:szCs w:val="32"/>
    </w:rPr>
  </w:style>
  <w:style w:type="paragraph" w:customStyle="1" w:styleId="3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emf"/><Relationship Id="rId8" Type="http://schemas.openxmlformats.org/officeDocument/2006/relationships/oleObject" Target="embeddings/Document2.doc"/><Relationship Id="rId7" Type="http://schemas.openxmlformats.org/officeDocument/2006/relationships/image" Target="media/image2.emf"/><Relationship Id="rId6" Type="http://schemas.openxmlformats.org/officeDocument/2006/relationships/package" Target="embeddings/Document1.docx"/><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4.emf"/><Relationship Id="rId10" Type="http://schemas.openxmlformats.org/officeDocument/2006/relationships/package" Target="embeddings/Workbook1.xlsx"/><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30</Pages>
  <Words>11198</Words>
  <Characters>18655</Characters>
  <Lines>1777</Lines>
  <Paragraphs>1411</Paragraphs>
  <TotalTime>0</TotalTime>
  <ScaleCrop>false</ScaleCrop>
  <LinksUpToDate>false</LinksUpToDate>
  <CharactersWithSpaces>19733</CharactersWithSpaces>
  <Application>WPS Office_12.8.2.15209_F1E327BC-269C-435d-A152-05C5408002CA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2023-12-21T09:13:00Z</dcterms:created>
  <dc:creator>Apache POI</dc:creator>
  <cp:lastModifiedBy>haccb</cp:lastModifiedBy>
  <dcterms:modified xsi:type="dcterms:W3CDTF">2024-03-07T06:33:44Z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7324FE5C66AA428799569D0003B9B200_12</vt:lpwstr>
  </property>
</Properties>
</file>