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jc w:val="center"/>
        <w:outlineLvl w:val="0"/>
        <w:rPr>
          <w:rFonts w:ascii="彩虹小标宋" w:hAnsi="宋体" w:eastAsia="彩虹小标宋" w:cs="Times New Roman"/>
          <w:bCs/>
          <w:snapToGrid w:val="0"/>
          <w:kern w:val="0"/>
          <w:sz w:val="36"/>
          <w:szCs w:val="36"/>
          <w:highlight w:val="yellow"/>
        </w:rPr>
      </w:pPr>
      <w:r>
        <w:rPr>
          <w:rFonts w:hint="eastAsia" w:ascii="彩虹小标宋" w:hAnsi="宋体" w:eastAsia="彩虹小标宋" w:cs="Times New Roman"/>
          <w:bCs/>
          <w:snapToGrid w:val="0"/>
          <w:kern w:val="0"/>
          <w:sz w:val="36"/>
          <w:szCs w:val="36"/>
          <w:highlight w:val="yellow"/>
        </w:rPr>
        <w:t>新乡长垣支行安保服务采购需求</w:t>
      </w:r>
    </w:p>
    <w:p>
      <w:pPr>
        <w:adjustRightInd w:val="0"/>
        <w:snapToGrid w:val="0"/>
        <w:spacing w:line="560" w:lineRule="exact"/>
        <w:ind w:firstLine="640" w:firstLineChars="20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一、对候选供应商的要求</w:t>
      </w:r>
    </w:p>
    <w:p>
      <w:pPr>
        <w:adjustRightInd w:val="0"/>
        <w:snapToGrid w:val="0"/>
        <w:spacing w:line="560" w:lineRule="atLeast"/>
        <w:ind w:firstLine="320" w:firstLineChars="100"/>
        <w:rPr>
          <w:rFonts w:ascii="彩虹粗仿宋" w:eastAsia="彩虹粗仿宋"/>
          <w:sz w:val="32"/>
        </w:rPr>
      </w:pPr>
      <w:r>
        <w:rPr>
          <w:rFonts w:hint="eastAsia" w:ascii="彩虹粗仿宋" w:eastAsia="彩虹粗仿宋"/>
          <w:sz w:val="32"/>
        </w:rPr>
        <w:t>（一）具有独立法人资格，能独立承担民事责任。</w:t>
      </w:r>
    </w:p>
    <w:p>
      <w:pPr>
        <w:adjustRightInd w:val="0"/>
        <w:snapToGrid w:val="0"/>
        <w:spacing w:line="560" w:lineRule="atLeast"/>
        <w:ind w:firstLine="320" w:firstLineChars="100"/>
        <w:rPr>
          <w:rFonts w:ascii="彩虹粗仿宋" w:hAnsi="微软雅黑" w:eastAsia="彩虹粗仿宋" w:cs="宋体"/>
          <w:b/>
          <w:kern w:val="0"/>
          <w:sz w:val="32"/>
          <w:szCs w:val="32"/>
        </w:rPr>
      </w:pPr>
      <w:r>
        <w:rPr>
          <w:rFonts w:hint="eastAsia" w:ascii="彩虹粗仿宋" w:eastAsia="彩虹粗仿宋"/>
          <w:sz w:val="32"/>
        </w:rPr>
        <w:t>（二）取得合法有效的</w:t>
      </w:r>
      <w:r>
        <w:rPr>
          <w:rFonts w:hint="eastAsia" w:ascii="彩虹粗仿宋" w:hAnsi="Times New Roman" w:eastAsia="彩虹粗仿宋"/>
          <w:kern w:val="0"/>
          <w:sz w:val="32"/>
          <w:szCs w:val="20"/>
        </w:rPr>
        <w:t>保安服务许可证</w:t>
      </w:r>
      <w:r>
        <w:rPr>
          <w:rFonts w:hint="eastAsia" w:ascii="彩虹粗仿宋" w:eastAsia="彩虹粗仿宋"/>
          <w:kern w:val="0"/>
          <w:sz w:val="32"/>
        </w:rPr>
        <w:t>。</w:t>
      </w:r>
    </w:p>
    <w:p>
      <w:pPr>
        <w:adjustRightInd w:val="0"/>
        <w:snapToGrid w:val="0"/>
        <w:spacing w:line="560" w:lineRule="atLeast"/>
        <w:ind w:firstLine="320" w:firstLineChars="100"/>
        <w:rPr>
          <w:rFonts w:ascii="彩虹粗仿宋" w:eastAsia="彩虹粗仿宋"/>
          <w:sz w:val="32"/>
        </w:rPr>
      </w:pPr>
      <w:r>
        <w:rPr>
          <w:rFonts w:hint="eastAsia" w:ascii="彩虹粗仿宋" w:eastAsia="彩虹粗仿宋"/>
          <w:sz w:val="32"/>
        </w:rPr>
        <w:t>（三）财务状况良好，提供近三年（</w:t>
      </w:r>
      <w:r>
        <w:rPr>
          <w:rFonts w:hint="eastAsia" w:ascii="彩虹粗仿宋" w:eastAsia="彩虹粗仿宋"/>
          <w:sz w:val="32"/>
          <w:lang w:eastAsia="zh-CN"/>
        </w:rPr>
        <w:t>2020年-2022年</w:t>
      </w:r>
      <w:r>
        <w:rPr>
          <w:rFonts w:hint="eastAsia" w:ascii="彩虹粗仿宋" w:eastAsia="彩虹粗仿宋"/>
          <w:sz w:val="32"/>
        </w:rPr>
        <w:t>）的经审计的财务报告或财务报表（新成立企业从成立日计算）；</w:t>
      </w:r>
    </w:p>
    <w:p>
      <w:pPr>
        <w:adjustRightInd w:val="0"/>
        <w:snapToGrid w:val="0"/>
        <w:spacing w:line="560" w:lineRule="atLeast"/>
        <w:ind w:firstLine="320" w:firstLineChars="100"/>
        <w:rPr>
          <w:rFonts w:ascii="彩虹粗仿宋" w:eastAsia="彩虹粗仿宋"/>
          <w:sz w:val="32"/>
        </w:rPr>
      </w:pPr>
      <w:r>
        <w:rPr>
          <w:rFonts w:hint="eastAsia" w:ascii="彩虹粗仿宋" w:eastAsia="彩虹粗仿宋"/>
          <w:sz w:val="32"/>
        </w:rPr>
        <w:t>（四）供应商当前未被“信用中国”网站列入重大税收违法失信主体（https://www.creditchina.gov.cn/xinyongfuwu/zhongdashuishouweifaanjian/）；未被“中国执行信息公开网”列入失信被执行人名单（http://zxgk.court.gov.cn/shixin/）；未被“中国政府采购网”列入政府采购严重违法失信行为记录名单（http://www.ccgp.gov.cn/search/cr/）；未被“国家企业信用信息公示系统”网站列入严重违法失信名单（黑名单）http://www.gsxt.gov.cn/index.html）（投标人出具网页截图）；</w:t>
      </w:r>
    </w:p>
    <w:p>
      <w:pPr>
        <w:adjustRightInd w:val="0"/>
        <w:snapToGrid w:val="0"/>
        <w:spacing w:line="560" w:lineRule="atLeast"/>
        <w:ind w:firstLine="320" w:firstLineChars="100"/>
        <w:rPr>
          <w:rFonts w:ascii="彩虹粗仿宋" w:eastAsia="彩虹粗仿宋"/>
          <w:sz w:val="32"/>
        </w:rPr>
      </w:pPr>
      <w:r>
        <w:rPr>
          <w:rFonts w:hint="eastAsia" w:ascii="彩虹粗仿宋" w:eastAsia="彩虹粗仿宋"/>
          <w:sz w:val="32"/>
        </w:rPr>
        <w:t>（五）本项目不允许联合体投标，不允许分包或转包。</w:t>
      </w:r>
    </w:p>
    <w:p>
      <w:pPr>
        <w:adjustRightInd w:val="0"/>
        <w:snapToGrid w:val="0"/>
        <w:spacing w:line="560" w:lineRule="atLeast"/>
        <w:ind w:firstLine="320" w:firstLineChars="100"/>
        <w:rPr>
          <w:rFonts w:ascii="彩虹粗仿宋" w:eastAsia="彩虹粗仿宋"/>
          <w:sz w:val="32"/>
        </w:rPr>
      </w:pPr>
      <w:r>
        <w:rPr>
          <w:rFonts w:hint="eastAsia" w:ascii="彩虹粗仿宋" w:eastAsia="彩虹粗仿宋"/>
          <w:sz w:val="32"/>
        </w:rPr>
        <w:t>（六）外商独资、中外合资、中外合作的保安公司不得参与（根据保安服务管理条例第二十二条规定）。</w:t>
      </w:r>
    </w:p>
    <w:p>
      <w:pPr>
        <w:adjustRightInd w:val="0"/>
        <w:snapToGrid w:val="0"/>
        <w:spacing w:line="560" w:lineRule="exact"/>
        <w:ind w:firstLine="480" w:firstLineChars="15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二、服务基本内容</w:t>
      </w:r>
    </w:p>
    <w:p>
      <w:pPr>
        <w:adjustRightInd w:val="0"/>
        <w:snapToGrid w:val="0"/>
        <w:spacing w:line="560" w:lineRule="exact"/>
        <w:ind w:left="480"/>
        <w:outlineLvl w:val="1"/>
        <w:rPr>
          <w:rFonts w:ascii="彩虹粗仿宋" w:hAnsi="黑体" w:eastAsia="彩虹粗仿宋" w:cs="Times New Roman"/>
          <w:sz w:val="32"/>
          <w:szCs w:val="32"/>
        </w:rPr>
      </w:pPr>
      <w:r>
        <w:rPr>
          <w:rFonts w:hint="eastAsia" w:ascii="彩虹粗仿宋" w:hAnsi="黑体" w:eastAsia="彩虹粗仿宋" w:cs="Times New Roman"/>
          <w:sz w:val="32"/>
          <w:szCs w:val="32"/>
        </w:rPr>
        <w:t>（一）安保值守服务</w:t>
      </w:r>
    </w:p>
    <w:p>
      <w:pPr>
        <w:autoSpaceDE w:val="0"/>
        <w:autoSpaceDN w:val="0"/>
        <w:adjustRightInd w:val="0"/>
        <w:snapToGrid w:val="0"/>
        <w:spacing w:line="560" w:lineRule="exact"/>
        <w:ind w:firstLine="640" w:firstLineChars="200"/>
        <w:rPr>
          <w:rFonts w:ascii="Times New Roman" w:hAnsi="Calibri" w:eastAsia="彩虹粗仿宋" w:cs="宋体"/>
          <w:color w:val="000000"/>
          <w:kern w:val="0"/>
          <w:sz w:val="32"/>
          <w:szCs w:val="32"/>
        </w:rPr>
      </w:pPr>
      <w:r>
        <w:rPr>
          <w:rFonts w:hint="eastAsia" w:ascii="Times New Roman" w:hAnsi="Calibri" w:eastAsia="彩虹粗仿宋" w:cs="宋体"/>
          <w:color w:val="000000"/>
          <w:kern w:val="0"/>
          <w:sz w:val="32"/>
          <w:szCs w:val="32"/>
        </w:rPr>
        <w:t>本次安保值守服务内容是新乡长垣支行本部和所辖营业部等4个营业网点的安保服务。</w:t>
      </w:r>
    </w:p>
    <w:p>
      <w:pPr>
        <w:adjustRightInd w:val="0"/>
        <w:snapToGrid w:val="0"/>
        <w:spacing w:line="560" w:lineRule="exact"/>
        <w:ind w:firstLine="640" w:firstLineChars="200"/>
        <w:outlineLvl w:val="1"/>
        <w:rPr>
          <w:rFonts w:ascii="彩虹粗仿宋" w:hAnsi="微软雅黑" w:eastAsia="彩虹粗仿宋" w:cs="宋体"/>
          <w:kern w:val="0"/>
          <w:sz w:val="32"/>
          <w:szCs w:val="32"/>
        </w:rPr>
      </w:pPr>
      <w:r>
        <w:rPr>
          <w:rFonts w:hint="eastAsia" w:ascii="彩虹粗仿宋" w:hAnsi="微软雅黑" w:eastAsia="彩虹粗仿宋" w:cs="宋体"/>
          <w:kern w:val="0"/>
          <w:sz w:val="32"/>
          <w:szCs w:val="32"/>
        </w:rPr>
        <w:t>（二）钞币押运服务</w:t>
      </w:r>
    </w:p>
    <w:p>
      <w:pPr>
        <w:adjustRightInd w:val="0"/>
        <w:snapToGrid w:val="0"/>
        <w:spacing w:line="560" w:lineRule="exact"/>
        <w:ind w:firstLine="640" w:firstLineChars="200"/>
        <w:rPr>
          <w:rFonts w:ascii="彩虹粗仿宋" w:hAnsi="Times New Roman" w:eastAsia="彩虹粗仿宋" w:cs="Times New Roman"/>
          <w:sz w:val="32"/>
          <w:szCs w:val="32"/>
        </w:rPr>
      </w:pPr>
      <w:r>
        <w:rPr>
          <w:rFonts w:hint="eastAsia" w:ascii="彩虹粗仿宋" w:hAnsi="微软雅黑" w:eastAsia="彩虹粗仿宋" w:cs="宋体"/>
          <w:kern w:val="0"/>
          <w:sz w:val="32"/>
          <w:szCs w:val="32"/>
        </w:rPr>
        <w:t>钞币押运服务内容是对新乡长垣支行4个营业网点（含附行自助）、1个离行式自助（设备）银行的钞币运送服务</w:t>
      </w:r>
      <w:r>
        <w:rPr>
          <w:rFonts w:hint="eastAsia" w:ascii="彩虹粗仿宋" w:hAnsi="Calibri" w:eastAsia="彩虹粗仿宋" w:cs="宋体"/>
          <w:kern w:val="0"/>
          <w:sz w:val="32"/>
          <w:szCs w:val="32"/>
        </w:rPr>
        <w:t>。</w:t>
      </w:r>
    </w:p>
    <w:p>
      <w:pPr>
        <w:adjustRightInd w:val="0"/>
        <w:snapToGrid w:val="0"/>
        <w:spacing w:line="560" w:lineRule="exact"/>
        <w:ind w:firstLine="640" w:firstLineChars="200"/>
        <w:rPr>
          <w:rFonts w:ascii="彩虹粗仿宋" w:hAnsi="微软雅黑" w:eastAsia="彩虹粗仿宋" w:cs="宋体"/>
          <w:color w:val="FF0000"/>
          <w:kern w:val="0"/>
          <w:sz w:val="32"/>
          <w:szCs w:val="32"/>
        </w:rPr>
      </w:pPr>
      <w:r>
        <w:rPr>
          <w:rFonts w:hint="eastAsia" w:ascii="彩虹粗仿宋" w:hAnsi="宋体" w:eastAsia="彩虹粗仿宋" w:cs="Courier New"/>
          <w:sz w:val="32"/>
          <w:szCs w:val="32"/>
        </w:rPr>
        <w:t>注：业务点（是指营业场所、自助设备、上门服务点）的早、晚营业尾款箱（包）接送；业务点营业期间提缴现金；业务点配送外币、贵金属;离行式自助（设备）银行收、送现金;我行客户上门收、送现金；去往新乡分行提取、缴存现金、贵金属、重要单证等；业务点之间的票据、紧急公文等重要物品传递或者</w:t>
      </w:r>
      <w:r>
        <w:rPr>
          <w:rFonts w:hint="eastAsia" w:ascii="彩虹粗仿宋" w:hAnsi="微软雅黑" w:eastAsia="彩虹粗仿宋" w:cs="宋体"/>
          <w:kern w:val="0"/>
          <w:sz w:val="32"/>
          <w:szCs w:val="32"/>
        </w:rPr>
        <w:t>因业务需要产生的临时押运事项等</w:t>
      </w:r>
      <w:r>
        <w:rPr>
          <w:rFonts w:hint="eastAsia" w:ascii="彩虹粗仿宋" w:hAnsi="宋体" w:eastAsia="彩虹粗仿宋" w:cs="Courier New"/>
          <w:sz w:val="32"/>
          <w:szCs w:val="32"/>
        </w:rPr>
        <w:t>提供武装押运服务。</w:t>
      </w:r>
    </w:p>
    <w:p>
      <w:pPr>
        <w:adjustRightInd w:val="0"/>
        <w:snapToGrid w:val="0"/>
        <w:spacing w:line="560" w:lineRule="exact"/>
        <w:ind w:firstLine="640" w:firstLineChars="20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三、服务团队要求</w:t>
      </w:r>
    </w:p>
    <w:p>
      <w:pPr>
        <w:adjustRightInd w:val="0"/>
        <w:snapToGrid w:val="0"/>
        <w:spacing w:line="560" w:lineRule="exact"/>
        <w:ind w:firstLine="480" w:firstLineChars="150"/>
        <w:rPr>
          <w:rFonts w:ascii="彩虹粗仿宋" w:hAnsi="微软雅黑" w:eastAsia="彩虹粗仿宋" w:cs="宋体"/>
          <w:kern w:val="0"/>
          <w:sz w:val="32"/>
          <w:szCs w:val="32"/>
        </w:rPr>
      </w:pPr>
      <w:r>
        <w:rPr>
          <w:rFonts w:hint="eastAsia" w:ascii="彩虹粗仿宋" w:hAnsi="微软雅黑" w:eastAsia="彩虹粗仿宋" w:cs="宋体"/>
          <w:kern w:val="0"/>
          <w:sz w:val="32"/>
          <w:szCs w:val="32"/>
        </w:rPr>
        <w:t>（一）人员政治上可靠，遵守国家法律、法规，无不良行为记录、身体健康、着统一服装。</w:t>
      </w:r>
    </w:p>
    <w:p>
      <w:pPr>
        <w:adjustRightInd w:val="0"/>
        <w:snapToGrid w:val="0"/>
        <w:spacing w:line="560" w:lineRule="exact"/>
        <w:ind w:firstLine="480" w:firstLineChars="150"/>
        <w:rPr>
          <w:rFonts w:ascii="彩虹粗仿宋" w:hAnsi="微软雅黑" w:eastAsia="彩虹粗仿宋" w:cs="宋体"/>
          <w:kern w:val="0"/>
          <w:sz w:val="32"/>
          <w:szCs w:val="32"/>
        </w:rPr>
      </w:pPr>
      <w:r>
        <w:rPr>
          <w:rFonts w:hint="eastAsia" w:ascii="彩虹粗仿宋" w:hAnsi="微软雅黑" w:eastAsia="彩虹粗仿宋" w:cs="宋体"/>
          <w:kern w:val="0"/>
          <w:sz w:val="32"/>
          <w:szCs w:val="32"/>
        </w:rPr>
        <w:t>（二）具备一定的专业技能，能正确处理服务中出现的各种情况并进行有效处置。</w:t>
      </w:r>
    </w:p>
    <w:p>
      <w:pPr>
        <w:adjustRightInd w:val="0"/>
        <w:snapToGrid w:val="0"/>
        <w:spacing w:line="560" w:lineRule="exact"/>
        <w:ind w:firstLine="480" w:firstLineChars="150"/>
        <w:rPr>
          <w:rFonts w:ascii="彩虹粗仿宋" w:hAnsi="微软雅黑" w:eastAsia="彩虹粗仿宋" w:cs="宋体"/>
          <w:kern w:val="0"/>
          <w:sz w:val="32"/>
          <w:szCs w:val="32"/>
        </w:rPr>
      </w:pPr>
      <w:r>
        <w:rPr>
          <w:rFonts w:hint="eastAsia" w:ascii="彩虹粗仿宋" w:hAnsi="微软雅黑" w:eastAsia="彩虹粗仿宋" w:cs="宋体"/>
          <w:kern w:val="0"/>
          <w:sz w:val="32"/>
          <w:szCs w:val="32"/>
        </w:rPr>
        <w:t>（三）派驻人员须按国家规定持证上岗，必须认真执行国家有关规定及要求。如由于人员违反规定，造成财产损失和人员伤亡的，外包服务公司负全部责任。</w:t>
      </w:r>
    </w:p>
    <w:p>
      <w:pPr>
        <w:adjustRightInd w:val="0"/>
        <w:snapToGrid w:val="0"/>
        <w:spacing w:line="560" w:lineRule="exact"/>
        <w:ind w:firstLine="480" w:firstLineChars="150"/>
        <w:rPr>
          <w:rFonts w:ascii="彩虹粗仿宋" w:hAnsi="微软雅黑" w:eastAsia="彩虹粗仿宋" w:cs="宋体"/>
          <w:kern w:val="0"/>
          <w:sz w:val="32"/>
          <w:szCs w:val="32"/>
        </w:rPr>
      </w:pPr>
      <w:r>
        <w:rPr>
          <w:rFonts w:hint="eastAsia" w:ascii="彩虹粗仿宋" w:hAnsi="微软雅黑" w:eastAsia="彩虹粗仿宋" w:cs="宋体"/>
          <w:kern w:val="0"/>
          <w:sz w:val="32"/>
          <w:szCs w:val="32"/>
        </w:rPr>
        <w:t>（四）具有满足服务需要的器械和车辆等。</w:t>
      </w:r>
    </w:p>
    <w:p>
      <w:pPr>
        <w:adjustRightInd w:val="0"/>
        <w:snapToGrid w:val="0"/>
        <w:spacing w:line="560" w:lineRule="exact"/>
        <w:ind w:firstLine="480" w:firstLineChars="15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四、服务质量要求</w:t>
      </w:r>
    </w:p>
    <w:p>
      <w:pPr>
        <w:autoSpaceDE w:val="0"/>
        <w:autoSpaceDN w:val="0"/>
        <w:adjustRightInd w:val="0"/>
        <w:spacing w:line="560" w:lineRule="exact"/>
        <w:ind w:firstLine="800" w:firstLineChars="250"/>
        <w:rPr>
          <w:rFonts w:ascii="彩虹粗仿宋" w:eastAsia="彩虹粗仿宋" w:cs="CHCFS"/>
          <w:color w:val="000000"/>
          <w:kern w:val="0"/>
          <w:sz w:val="32"/>
          <w:szCs w:val="32"/>
        </w:rPr>
      </w:pPr>
      <w:r>
        <w:rPr>
          <w:rFonts w:hint="eastAsia" w:ascii="彩虹粗仿宋" w:eastAsia="彩虹粗仿宋" w:cs="CHCFS"/>
          <w:color w:val="000000"/>
          <w:kern w:val="0"/>
          <w:sz w:val="32"/>
          <w:szCs w:val="32"/>
        </w:rPr>
        <w:t xml:space="preserve">1.日常管理、监督和检查。定期对外包服务进行检查，每半年至少开展一次检查、并形成检查报告，检查内容为外包事项、工作进度、操作流程、风险控制、信息安全和服务质量等进行监督，对检查发现问题及时通报保安公司，限期整改和落实，确保保安服务合规合法开展，每年度结束后形成年度评估报告。 </w:t>
      </w:r>
    </w:p>
    <w:p>
      <w:pPr>
        <w:autoSpaceDE w:val="0"/>
        <w:autoSpaceDN w:val="0"/>
        <w:adjustRightInd w:val="0"/>
        <w:spacing w:line="560" w:lineRule="exact"/>
        <w:ind w:firstLine="640" w:firstLineChars="200"/>
        <w:rPr>
          <w:rFonts w:ascii="彩虹粗仿宋" w:eastAsia="彩虹粗仿宋" w:cs="CHCFS"/>
          <w:color w:val="000000"/>
          <w:kern w:val="0"/>
          <w:sz w:val="32"/>
          <w:szCs w:val="32"/>
        </w:rPr>
      </w:pPr>
      <w:r>
        <w:rPr>
          <w:rFonts w:hint="eastAsia" w:ascii="彩虹粗仿宋" w:eastAsia="彩虹粗仿宋" w:cs="CHCFS"/>
          <w:color w:val="000000"/>
          <w:kern w:val="0"/>
          <w:sz w:val="32"/>
          <w:szCs w:val="32"/>
        </w:rPr>
        <w:t>2.明确责任，防范风险。通过服务合同对保安公司的行为做出约束，防范我行可能承担的各类连带风险责任，依法合规合法开展外包业务，严格防范操作风险、声誉风险及其它风险。</w:t>
      </w:r>
    </w:p>
    <w:p>
      <w:pPr>
        <w:spacing w:line="560" w:lineRule="exact"/>
        <w:ind w:firstLine="636"/>
        <w:rPr>
          <w:rFonts w:ascii="彩虹粗仿宋" w:hAnsi="微软雅黑" w:eastAsia="彩虹粗仿宋" w:cs="Times New Roman"/>
          <w:color w:val="000000"/>
          <w:sz w:val="32"/>
          <w:szCs w:val="32"/>
        </w:rPr>
      </w:pPr>
      <w:r>
        <w:rPr>
          <w:rFonts w:hint="eastAsia" w:ascii="彩虹粗仿宋" w:hAnsi="微软雅黑" w:eastAsia="彩虹粗仿宋" w:cs="Times New Roman"/>
          <w:color w:val="000000"/>
          <w:sz w:val="32"/>
          <w:szCs w:val="32"/>
        </w:rPr>
        <w:t>3.服务验收质量评价。外包服务公司应根据合同服务条款的规定，接受我行的服务质量评价和验收，并作为付款的依据。</w:t>
      </w:r>
    </w:p>
    <w:p>
      <w:pPr>
        <w:spacing w:line="560" w:lineRule="exact"/>
        <w:ind w:firstLine="636"/>
        <w:outlineLvl w:val="0"/>
        <w:rPr>
          <w:rFonts w:ascii="彩虹黑体" w:hAnsi="宋体" w:eastAsia="彩虹黑体"/>
          <w:sz w:val="32"/>
          <w:szCs w:val="32"/>
        </w:rPr>
      </w:pPr>
      <w:r>
        <w:rPr>
          <w:rFonts w:hint="eastAsia" w:ascii="彩虹黑体" w:hAnsi="宋体" w:eastAsia="彩虹黑体"/>
          <w:sz w:val="32"/>
          <w:szCs w:val="32"/>
        </w:rPr>
        <w:t>五、消保条款要求</w:t>
      </w:r>
    </w:p>
    <w:p>
      <w:pPr>
        <w:spacing w:line="560" w:lineRule="exact"/>
        <w:ind w:firstLine="636"/>
        <w:outlineLvl w:val="1"/>
        <w:rPr>
          <w:rFonts w:ascii="彩虹黑体" w:hAnsi="宋体" w:eastAsia="彩虹黑体"/>
          <w:sz w:val="32"/>
          <w:szCs w:val="32"/>
        </w:rPr>
      </w:pPr>
      <w:r>
        <w:rPr>
          <w:rFonts w:hint="eastAsia" w:ascii="彩虹黑体" w:hAnsi="宋体" w:eastAsia="彩虹黑体"/>
          <w:sz w:val="32"/>
          <w:szCs w:val="32"/>
        </w:rPr>
        <w:t>（一）个人信息保护条款</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1.明确双方职责、保密义务及个人信息保护条款措施、个人信息发生泄露的违约责任；约定合作机构的保密义务不因服务的终止而终止；</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2.合作机构不得在未获得客户同意的前提下将获得的个人信息进一步提供给其他第三方；</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3.合作机构向个人信息主体征得收集个人信息的明确同意授权；</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4.在双方合作关系终止时，应确保其不再存储我行相关个人信息。</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5.我行从合作机构获取个人信息时，应确保中介机构和第三方机构的数据来源合法合规、真实有效，对外提供数据不违反法律法规要求，并已获得信息主体本人的明确同意授权；</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6.合作机构承诺其所提供的数据信息已获得相关授权，信息收集合法，且对外提供信息已经被收集者同意；对所提供的外部数据信息的采集、加工、整合、提供过程符合国家相关法律法规规章的规定，具有合法使用权，并有权向我行提供。</w:t>
      </w:r>
    </w:p>
    <w:p>
      <w:pPr>
        <w:spacing w:line="560" w:lineRule="exact"/>
        <w:ind w:firstLine="640" w:firstLineChars="200"/>
        <w:outlineLvl w:val="1"/>
        <w:rPr>
          <w:rFonts w:ascii="彩虹黑体" w:hAnsi="宋体" w:eastAsia="彩虹黑体"/>
          <w:sz w:val="32"/>
          <w:szCs w:val="32"/>
        </w:rPr>
      </w:pPr>
      <w:r>
        <w:rPr>
          <w:rFonts w:hint="eastAsia" w:ascii="彩虹黑体" w:hAnsi="宋体" w:eastAsia="彩虹黑体"/>
          <w:sz w:val="32"/>
          <w:szCs w:val="32"/>
        </w:rPr>
        <w:t>(二）信息披露条款</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对于我行与合作机构共同提供产品服务的，应向客户充分披露我行与合作机构信息、合作产品的信息、合作各方权利义务，按照适当性原则充分揭示合作业务风险，避免客户产生品牌混同。</w:t>
      </w:r>
    </w:p>
    <w:p>
      <w:pPr>
        <w:spacing w:line="560" w:lineRule="exact"/>
        <w:ind w:firstLine="640" w:firstLineChars="200"/>
        <w:outlineLvl w:val="1"/>
        <w:rPr>
          <w:rFonts w:ascii="彩虹黑体" w:hAnsi="宋体" w:eastAsia="彩虹黑体"/>
          <w:sz w:val="32"/>
          <w:szCs w:val="32"/>
        </w:rPr>
      </w:pPr>
      <w:r>
        <w:rPr>
          <w:rFonts w:hint="eastAsia" w:ascii="彩虹黑体" w:hAnsi="宋体" w:eastAsia="彩虹黑体"/>
          <w:sz w:val="32"/>
          <w:szCs w:val="32"/>
        </w:rPr>
        <w:t xml:space="preserve">(三）消费者投诉条款 </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1.合作机构应严格落实消费投诉处理工作责任，建立内部沟通协调、信息共享、协同处理的投诉处理工作机制，落实首问负责制，在消费投诉发生的第一时问及时处理、妥善解决，依法合规开展消费投诉处理工作，避免事态扩大产生负面影响。</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2.对涉及理赔给付的合作机构，应明确其承担的投诉处理义务和责任。</w:t>
      </w:r>
    </w:p>
    <w:p>
      <w:pPr>
        <w:spacing w:line="560" w:lineRule="exact"/>
        <w:ind w:firstLine="640" w:firstLineChars="200"/>
        <w:outlineLvl w:val="1"/>
        <w:rPr>
          <w:rFonts w:ascii="彩虹黑体" w:hAnsi="宋体" w:eastAsia="彩虹黑体"/>
          <w:sz w:val="32"/>
          <w:szCs w:val="32"/>
        </w:rPr>
      </w:pPr>
      <w:r>
        <w:rPr>
          <w:rFonts w:hint="eastAsia" w:ascii="彩虹黑体" w:hAnsi="宋体" w:eastAsia="彩虹黑体"/>
          <w:sz w:val="32"/>
          <w:szCs w:val="32"/>
        </w:rPr>
        <w:t xml:space="preserve">（四）其他行为监督 </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我行有权根据监管要求和形势发展变化，不断完善合作机构消费者权益保护监督内容，加强对中介机构和第三方机构涉及我行消费者的其他方面监督，督促中介机构和第三方机构经营行为合法合规，避免发生侵犯消费者权益事件。</w:t>
      </w:r>
    </w:p>
    <w:p>
      <w:pPr>
        <w:spacing w:line="560" w:lineRule="exact"/>
        <w:ind w:firstLine="640" w:firstLineChars="200"/>
        <w:outlineLvl w:val="1"/>
        <w:rPr>
          <w:rFonts w:ascii="彩虹粗仿宋" w:hAnsi="宋体" w:eastAsia="彩虹粗仿宋"/>
          <w:sz w:val="32"/>
          <w:szCs w:val="32"/>
        </w:rPr>
      </w:pPr>
      <w:r>
        <w:rPr>
          <w:rFonts w:hint="eastAsia" w:ascii="彩虹黑体" w:hAnsi="宋体" w:eastAsia="彩虹黑体"/>
          <w:sz w:val="32"/>
          <w:szCs w:val="32"/>
        </w:rPr>
        <w:t>（五）黑名单退出机制</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对有下列情形之一的，应取消准入资格；已经准入的，应予以退出。</w:t>
      </w:r>
    </w:p>
    <w:p>
      <w:pPr>
        <w:spacing w:line="560" w:lineRule="exact"/>
        <w:ind w:left="210" w:leftChars="100" w:firstLine="320" w:firstLineChars="100"/>
        <w:rPr>
          <w:rFonts w:ascii="彩虹粗仿宋" w:hAnsi="宋体" w:eastAsia="彩虹粗仿宋"/>
          <w:sz w:val="32"/>
          <w:szCs w:val="32"/>
        </w:rPr>
      </w:pPr>
      <w:r>
        <w:rPr>
          <w:rFonts w:ascii="彩虹粗仿宋" w:hAnsi="宋体" w:eastAsia="彩虹粗仿宋"/>
          <w:sz w:val="32"/>
          <w:szCs w:val="32"/>
        </w:rPr>
        <w:t>1.存在消费者权益侵权行为，引发较大舆情或重大投诉在社会上造成严重不良影响的；</w:t>
      </w:r>
    </w:p>
    <w:p>
      <w:pPr>
        <w:spacing w:line="560" w:lineRule="exact"/>
        <w:ind w:firstLine="640" w:firstLineChars="200"/>
        <w:rPr>
          <w:rFonts w:ascii="彩虹粗仿宋" w:hAnsi="宋体" w:eastAsia="彩虹粗仿宋"/>
          <w:sz w:val="32"/>
          <w:szCs w:val="32"/>
        </w:rPr>
      </w:pPr>
      <w:r>
        <w:rPr>
          <w:rFonts w:ascii="彩虹粗仿宋" w:hAnsi="宋体" w:eastAsia="彩虹粗仿宋"/>
          <w:sz w:val="32"/>
          <w:szCs w:val="32"/>
        </w:rPr>
        <w:t>2.存在消费者权益侵权行为，受到监管处罚，给我行造成严重不良影响的；</w:t>
      </w:r>
    </w:p>
    <w:p>
      <w:pPr>
        <w:spacing w:line="560" w:lineRule="exact"/>
        <w:ind w:firstLine="640" w:firstLineChars="200"/>
        <w:rPr>
          <w:rFonts w:ascii="彩虹粗仿宋" w:hAnsi="宋体" w:eastAsia="彩虹粗仿宋"/>
          <w:sz w:val="32"/>
          <w:szCs w:val="32"/>
        </w:rPr>
      </w:pPr>
      <w:r>
        <w:rPr>
          <w:rFonts w:ascii="彩虹粗仿宋" w:hAnsi="宋体" w:eastAsia="彩虹粗仿宋"/>
          <w:sz w:val="32"/>
          <w:szCs w:val="32"/>
        </w:rPr>
        <w:t>3.存在消费者权益侵权行为，受到公安立案或法院判决，给我行造成严重不良影响的；</w:t>
      </w:r>
    </w:p>
    <w:p>
      <w:pPr>
        <w:spacing w:line="560" w:lineRule="exact"/>
        <w:ind w:firstLine="640" w:firstLineChars="200"/>
        <w:rPr>
          <w:rFonts w:ascii="彩虹黑体" w:hAnsi="宋体" w:eastAsia="彩虹粗仿宋" w:cs="Times New Roman"/>
          <w:snapToGrid w:val="0"/>
          <w:kern w:val="0"/>
          <w:sz w:val="32"/>
          <w:szCs w:val="32"/>
        </w:rPr>
      </w:pPr>
      <w:r>
        <w:rPr>
          <w:rFonts w:ascii="彩虹粗仿宋" w:hAnsi="宋体" w:eastAsia="彩虹粗仿宋"/>
          <w:sz w:val="32"/>
          <w:szCs w:val="32"/>
        </w:rPr>
        <w:t>4.违反法律法规和监管机构规定的其他严重情形</w:t>
      </w:r>
      <w:r>
        <w:rPr>
          <w:rFonts w:hint="eastAsia" w:ascii="彩虹粗仿宋" w:hAnsi="宋体" w:eastAsia="彩虹粗仿宋"/>
          <w:sz w:val="32"/>
          <w:szCs w:val="32"/>
        </w:rPr>
        <w:t>。</w:t>
      </w:r>
    </w:p>
    <w:p>
      <w:pPr>
        <w:adjustRightInd w:val="0"/>
        <w:snapToGrid w:val="0"/>
        <w:spacing w:line="560" w:lineRule="exact"/>
        <w:ind w:firstLine="480" w:firstLineChars="15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六、服务供应安排</w:t>
      </w:r>
    </w:p>
    <w:p>
      <w:pPr>
        <w:adjustRightInd w:val="0"/>
        <w:snapToGrid w:val="0"/>
        <w:spacing w:line="560" w:lineRule="exact"/>
        <w:ind w:firstLine="320" w:firstLineChars="100"/>
        <w:outlineLvl w:val="1"/>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（一）办公营业场所安保值守服务</w:t>
      </w:r>
    </w:p>
    <w:p>
      <w:pPr>
        <w:adjustRightInd w:val="0"/>
        <w:snapToGrid w:val="0"/>
        <w:spacing w:line="560" w:lineRule="exact"/>
        <w:ind w:firstLine="480" w:firstLineChars="15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1、负责为新乡长垣支行本部和4个网点提供安保值守服务。</w:t>
      </w:r>
    </w:p>
    <w:p>
      <w:pPr>
        <w:adjustRightInd w:val="0"/>
        <w:snapToGrid w:val="0"/>
        <w:spacing w:line="560" w:lineRule="exact"/>
        <w:ind w:firstLine="480" w:firstLineChars="15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2、新乡长垣支行本部及3个网点保安人员执勤的工作时间与网点营业时间保持一致，每人每周工作时间符合国家法定工作时间。</w:t>
      </w:r>
    </w:p>
    <w:p>
      <w:pPr>
        <w:adjustRightInd w:val="0"/>
        <w:snapToGrid w:val="0"/>
        <w:spacing w:line="560" w:lineRule="exact"/>
        <w:ind w:left="479" w:leftChars="228" w:firstLine="160" w:firstLineChars="50"/>
        <w:outlineLvl w:val="1"/>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（二）钞币运送</w:t>
      </w:r>
    </w:p>
    <w:p>
      <w:pPr>
        <w:adjustRightInd w:val="0"/>
        <w:snapToGrid w:val="0"/>
        <w:spacing w:line="560" w:lineRule="exact"/>
        <w:ind w:firstLine="640" w:firstLineChars="200"/>
        <w:rPr>
          <w:rFonts w:ascii="彩虹粗仿宋" w:hAnsi="微软雅黑" w:eastAsia="彩虹粗仿宋" w:cs="宋体"/>
          <w:color w:val="FF0000"/>
          <w:kern w:val="0"/>
          <w:sz w:val="32"/>
          <w:szCs w:val="32"/>
        </w:rPr>
      </w:pPr>
      <w:r>
        <w:rPr>
          <w:rFonts w:hint="eastAsia" w:ascii="彩虹粗仿宋" w:hAnsi="微软雅黑" w:eastAsia="彩虹粗仿宋" w:cs="宋体"/>
          <w:kern w:val="0"/>
          <w:sz w:val="32"/>
          <w:szCs w:val="32"/>
        </w:rPr>
        <w:t>新乡长垣支行现有4个营业网点（含附行自助）、1个离行式自助（设备）银行，保证</w:t>
      </w:r>
      <w:r>
        <w:rPr>
          <w:rFonts w:hint="eastAsia" w:ascii="彩虹粗仿宋" w:hAnsi="宋体" w:eastAsia="彩虹粗仿宋" w:cs="Courier New"/>
          <w:sz w:val="32"/>
          <w:szCs w:val="32"/>
        </w:rPr>
        <w:t>业务点（是指营业场所、自助设备、上门服务点）的早、晚营业尾款箱（包）接送；业务点营业期间提缴现金；业务点配送外币、实物黄金;离行式自助（设备）银行收、送现金;我行客户上门收、送现金；去往新乡分行提取、缴存现金、贵金属、重要单证等；业务点之间的票据、紧急公文等重要物品传递或者</w:t>
      </w:r>
      <w:r>
        <w:rPr>
          <w:rFonts w:hint="eastAsia" w:ascii="彩虹粗仿宋" w:hAnsi="微软雅黑" w:eastAsia="彩虹粗仿宋" w:cs="宋体"/>
          <w:kern w:val="0"/>
          <w:sz w:val="32"/>
          <w:szCs w:val="32"/>
        </w:rPr>
        <w:t>因业务需要产生的临时押运事项等</w:t>
      </w:r>
      <w:r>
        <w:rPr>
          <w:rFonts w:hint="eastAsia" w:ascii="彩虹粗仿宋" w:hAnsi="宋体" w:eastAsia="彩虹粗仿宋" w:cs="Courier New"/>
          <w:sz w:val="32"/>
          <w:szCs w:val="32"/>
        </w:rPr>
        <w:t>提供武装押运服务。</w:t>
      </w:r>
    </w:p>
    <w:p>
      <w:pPr>
        <w:adjustRightInd w:val="0"/>
        <w:snapToGrid w:val="0"/>
        <w:spacing w:line="560" w:lineRule="atLeast"/>
        <w:ind w:firstLine="480" w:firstLineChars="15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押运人员执勤的工作时间与网点营业时间保持一致，接受我行的安全业务检查，每人每周工作时间符合国家法定工作时间。押运费用按照合同约定经双方确认后进行结算。</w:t>
      </w:r>
    </w:p>
    <w:p>
      <w:pPr>
        <w:adjustRightInd w:val="0"/>
        <w:snapToGrid w:val="0"/>
        <w:spacing w:line="560" w:lineRule="exact"/>
        <w:ind w:firstLine="633" w:firstLineChars="198"/>
        <w:rPr>
          <w:rFonts w:ascii="彩虹粗仿宋" w:hAnsi="宋体" w:eastAsia="彩虹粗仿宋" w:cs="Times New Roman"/>
          <w:b/>
          <w:snapToGrid w:val="0"/>
          <w:kern w:val="0"/>
          <w:sz w:val="32"/>
          <w:szCs w:val="32"/>
        </w:rPr>
      </w:pPr>
      <w:r>
        <w:rPr>
          <w:rFonts w:hint="eastAsia" w:ascii="彩虹粗仿宋" w:hAnsi="宋体" w:eastAsia="彩虹粗仿宋" w:cs="Times New Roman"/>
          <w:snapToGrid w:val="0"/>
          <w:kern w:val="0"/>
          <w:sz w:val="32"/>
          <w:szCs w:val="32"/>
        </w:rPr>
        <w:t>押运的物品包括现金、重要凭证、有价证券以及黄金、贵金属等。</w:t>
      </w:r>
    </w:p>
    <w:p>
      <w:pPr>
        <w:adjustRightInd w:val="0"/>
        <w:snapToGrid w:val="0"/>
        <w:spacing w:line="560" w:lineRule="exact"/>
        <w:ind w:firstLine="320" w:firstLineChars="10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七、服务数量要求</w:t>
      </w:r>
    </w:p>
    <w:p>
      <w:pPr>
        <w:adjustRightInd w:val="0"/>
        <w:snapToGrid w:val="0"/>
        <w:spacing w:line="560" w:lineRule="exact"/>
        <w:ind w:firstLine="320" w:firstLineChars="100"/>
        <w:outlineLvl w:val="1"/>
        <w:rPr>
          <w:rFonts w:ascii="彩虹粗仿宋" w:hAnsi="黑体" w:eastAsia="彩虹粗仿宋" w:cs="彩虹粗仿宋"/>
          <w:snapToGrid w:val="0"/>
          <w:color w:val="000000" w:themeColor="text1"/>
          <w:kern w:val="0"/>
          <w:sz w:val="32"/>
          <w:szCs w:val="32"/>
          <w14:textFill>
            <w14:solidFill>
              <w14:schemeClr w14:val="tx1"/>
            </w14:solidFill>
          </w14:textFill>
        </w:rPr>
      </w:pPr>
      <w:r>
        <w:rPr>
          <w:rFonts w:hint="eastAsia" w:ascii="彩虹粗仿宋" w:hAnsi="黑体" w:eastAsia="彩虹粗仿宋" w:cs="彩虹粗仿宋"/>
          <w:snapToGrid w:val="0"/>
          <w:color w:val="000000" w:themeColor="text1"/>
          <w:kern w:val="0"/>
          <w:sz w:val="32"/>
          <w:szCs w:val="32"/>
          <w14:textFill>
            <w14:solidFill>
              <w14:schemeClr w14:val="tx1"/>
            </w14:solidFill>
          </w14:textFill>
        </w:rPr>
        <w:t>（一）服务区域</w:t>
      </w:r>
    </w:p>
    <w:p>
      <w:pPr>
        <w:spacing w:line="560" w:lineRule="exact"/>
        <w:ind w:firstLine="480" w:firstLineChars="150"/>
        <w:rPr>
          <w:rFonts w:ascii="彩虹粗仿宋" w:hAnsi="黑体" w:eastAsia="彩虹粗仿宋" w:cs="Times New Roman"/>
          <w:color w:val="000000" w:themeColor="text1"/>
          <w:sz w:val="32"/>
          <w:szCs w:val="32"/>
          <w14:textFill>
            <w14:solidFill>
              <w14:schemeClr w14:val="tx1"/>
            </w14:solidFill>
          </w14:textFill>
        </w:rPr>
      </w:pPr>
      <w:r>
        <w:rPr>
          <w:rFonts w:hint="eastAsia" w:ascii="彩虹粗仿宋" w:hAnsi="黑体" w:eastAsia="彩虹粗仿宋" w:cs="Times New Roman"/>
          <w:color w:val="000000" w:themeColor="text1"/>
          <w:sz w:val="32"/>
          <w:szCs w:val="32"/>
          <w14:textFill>
            <w14:solidFill>
              <w14:schemeClr w14:val="tx1"/>
            </w14:solidFill>
          </w14:textFill>
        </w:rPr>
        <w:t>1、安保服务：新乡长垣支行本部办公楼及所辖营业部等4个营业机构。</w:t>
      </w:r>
    </w:p>
    <w:p>
      <w:pPr>
        <w:adjustRightInd w:val="0"/>
        <w:snapToGrid w:val="0"/>
        <w:spacing w:line="560" w:lineRule="exact"/>
        <w:ind w:firstLine="358" w:firstLineChars="112"/>
        <w:rPr>
          <w:rFonts w:ascii="彩虹粗仿宋" w:hAnsi="宋体" w:eastAsia="彩虹粗仿宋" w:cs="Times New Roman"/>
          <w:sz w:val="32"/>
          <w:szCs w:val="32"/>
        </w:rPr>
      </w:pPr>
      <w:r>
        <w:rPr>
          <w:rFonts w:hint="eastAsia" w:ascii="彩虹粗仿宋" w:hAnsi="黑体" w:eastAsia="彩虹粗仿宋" w:cs="Times New Roman"/>
          <w:color w:val="000000" w:themeColor="text1"/>
          <w:sz w:val="32"/>
          <w:szCs w:val="32"/>
          <w14:textFill>
            <w14:solidFill>
              <w14:schemeClr w14:val="tx1"/>
            </w14:solidFill>
          </w14:textFill>
        </w:rPr>
        <w:t>2、钞币运送服务：</w:t>
      </w:r>
      <w:r>
        <w:rPr>
          <w:rFonts w:hint="eastAsia" w:ascii="彩虹粗仿宋" w:hAnsi="微软雅黑" w:eastAsia="彩虹粗仿宋" w:cs="宋体"/>
          <w:kern w:val="0"/>
          <w:sz w:val="32"/>
          <w:szCs w:val="32"/>
        </w:rPr>
        <w:t>新乡长垣支行现有4个营业网点（含附行自助）、1个离行式自助（设备）银行</w:t>
      </w:r>
      <w:r>
        <w:rPr>
          <w:rFonts w:hint="eastAsia" w:ascii="彩虹粗仿宋" w:hAnsi="宋体" w:eastAsia="彩虹粗仿宋" w:cs="Times New Roman"/>
          <w:sz w:val="32"/>
          <w:szCs w:val="32"/>
        </w:rPr>
        <w:t>早晚接送款、清机加钞、上门收款、新乡提交款等业务服务。</w:t>
      </w:r>
    </w:p>
    <w:p>
      <w:pPr>
        <w:spacing w:line="560" w:lineRule="exact"/>
        <w:ind w:firstLine="320" w:firstLineChars="100"/>
        <w:outlineLvl w:val="1"/>
        <w:rPr>
          <w:rFonts w:ascii="彩虹粗仿宋" w:hAnsi="黑体" w:eastAsia="彩虹粗仿宋" w:cs="Times New Roman"/>
          <w:color w:val="000000" w:themeColor="text1"/>
          <w:sz w:val="32"/>
          <w:szCs w:val="32"/>
          <w14:textFill>
            <w14:solidFill>
              <w14:schemeClr w14:val="tx1"/>
            </w14:solidFill>
          </w14:textFill>
        </w:rPr>
      </w:pPr>
      <w:r>
        <w:rPr>
          <w:rFonts w:hint="eastAsia" w:ascii="彩虹粗仿宋" w:hAnsi="黑体" w:eastAsia="彩虹粗仿宋" w:cs="Times New Roman"/>
          <w:color w:val="000000" w:themeColor="text1"/>
          <w:sz w:val="32"/>
          <w:szCs w:val="32"/>
          <w14:textFill>
            <w14:solidFill>
              <w14:schemeClr w14:val="tx1"/>
            </w14:solidFill>
          </w14:textFill>
        </w:rPr>
        <w:t>（二）岗位数量</w:t>
      </w:r>
    </w:p>
    <w:p>
      <w:pPr>
        <w:spacing w:line="560" w:lineRule="exact"/>
        <w:ind w:firstLine="480" w:firstLineChars="150"/>
        <w:rPr>
          <w:rFonts w:ascii="彩虹粗仿宋" w:hAnsi="Times New Roman" w:eastAsia="彩虹粗仿宋" w:cs="Times New Roman"/>
          <w:sz w:val="32"/>
          <w:szCs w:val="32"/>
        </w:rPr>
      </w:pPr>
      <w:r>
        <w:rPr>
          <w:rFonts w:ascii="彩虹粗仿宋" w:hAnsi="黑体" w:eastAsia="彩虹粗仿宋" w:cs="Times New Roman"/>
          <w:color w:val="000000" w:themeColor="text1"/>
          <w:sz w:val="32"/>
          <w:szCs w:val="32"/>
          <w14:textFill>
            <w14:solidFill>
              <w14:schemeClr w14:val="tx1"/>
            </w14:solidFill>
          </w14:textFill>
        </w:rPr>
        <w:t>1</w:t>
      </w:r>
      <w:r>
        <w:rPr>
          <w:rFonts w:hint="eastAsia" w:ascii="彩虹粗仿宋" w:hAnsi="黑体" w:eastAsia="彩虹粗仿宋" w:cs="Times New Roman"/>
          <w:color w:val="000000" w:themeColor="text1"/>
          <w:sz w:val="32"/>
          <w:szCs w:val="32"/>
          <w14:textFill>
            <w14:solidFill>
              <w14:schemeClr w14:val="tx1"/>
            </w14:solidFill>
          </w14:textFill>
        </w:rPr>
        <w:t>、新乡长垣支行</w:t>
      </w:r>
      <w:r>
        <w:rPr>
          <w:rFonts w:hint="eastAsia" w:ascii="彩虹粗仿宋" w:hAnsi="黑体" w:eastAsia="彩虹粗仿宋"/>
          <w:color w:val="000000" w:themeColor="text1"/>
          <w:sz w:val="32"/>
          <w:szCs w:val="32"/>
          <w14:textFill>
            <w14:solidFill>
              <w14:schemeClr w14:val="tx1"/>
            </w14:solidFill>
          </w14:textFill>
        </w:rPr>
        <w:t>营业部、文武路支行、魏庄支行和丁栾</w:t>
      </w:r>
      <w:r>
        <w:rPr>
          <w:rFonts w:hint="eastAsia" w:ascii="彩虹粗仿宋" w:eastAsia="彩虹粗仿宋"/>
          <w:sz w:val="32"/>
          <w:szCs w:val="32"/>
        </w:rPr>
        <w:t>支行</w:t>
      </w:r>
      <w:r>
        <w:rPr>
          <w:rFonts w:hint="eastAsia" w:ascii="彩虹粗仿宋" w:hAnsi="Times New Roman" w:eastAsia="彩虹粗仿宋" w:cs="Times New Roman"/>
          <w:sz w:val="32"/>
          <w:szCs w:val="32"/>
        </w:rPr>
        <w:t>各配备2个岗位，共需8个岗位。</w:t>
      </w:r>
    </w:p>
    <w:p>
      <w:pPr>
        <w:spacing w:line="560" w:lineRule="exact"/>
        <w:ind w:firstLine="480" w:firstLineChars="150"/>
        <w:rPr>
          <w:rFonts w:ascii="彩虹粗仿宋" w:hAnsi="黑体" w:eastAsia="彩虹粗仿宋" w:cs="Times New Roman"/>
          <w:color w:val="000000" w:themeColor="text1"/>
          <w:sz w:val="32"/>
          <w:szCs w:val="32"/>
          <w14:textFill>
            <w14:solidFill>
              <w14:schemeClr w14:val="tx1"/>
            </w14:solidFill>
          </w14:textFill>
        </w:rPr>
      </w:pPr>
      <w:r>
        <w:rPr>
          <w:rFonts w:hint="eastAsia" w:ascii="彩虹粗仿宋" w:hAnsi="黑体" w:eastAsia="彩虹粗仿宋" w:cs="Times New Roman"/>
          <w:color w:val="000000" w:themeColor="text1"/>
          <w:sz w:val="32"/>
          <w:szCs w:val="32"/>
          <w14:textFill>
            <w14:solidFill>
              <w14:schemeClr w14:val="tx1"/>
            </w14:solidFill>
          </w14:textFill>
        </w:rPr>
        <w:t>2、钞币运送服务：2辆制式武装押运车辆，每个车组配备5人，其中车长1名、队员1名、解款员2名、司机1名。</w:t>
      </w:r>
    </w:p>
    <w:p>
      <w:pPr>
        <w:adjustRightInd w:val="0"/>
        <w:snapToGrid w:val="0"/>
        <w:spacing w:line="560" w:lineRule="exact"/>
        <w:ind w:firstLine="480" w:firstLineChars="15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八、款项支付要求</w:t>
      </w:r>
    </w:p>
    <w:p>
      <w:pPr>
        <w:spacing w:line="600" w:lineRule="exact"/>
        <w:ind w:firstLine="640" w:firstLineChars="200"/>
        <w:jc w:val="left"/>
        <w:rPr>
          <w:rFonts w:ascii="彩虹粗仿宋" w:hAnsi="宋体" w:eastAsia="彩虹粗仿宋" w:cs="Times New Roman"/>
          <w:snapToGrid w:val="0"/>
          <w:kern w:val="0"/>
          <w:sz w:val="32"/>
          <w:szCs w:val="32"/>
        </w:rPr>
      </w:pPr>
      <w:r>
        <w:rPr>
          <w:rFonts w:hint="eastAsia" w:ascii="彩虹粗仿宋" w:hAnsi="黑体" w:eastAsia="彩虹粗仿宋" w:cs="彩虹粗仿宋"/>
          <w:snapToGrid w:val="0"/>
          <w:kern w:val="0"/>
          <w:sz w:val="32"/>
          <w:szCs w:val="32"/>
        </w:rPr>
        <w:t>按月根据保安岗位实际增减情况据实支付</w:t>
      </w:r>
      <w:r>
        <w:rPr>
          <w:rFonts w:hint="eastAsia" w:ascii="彩虹粗仿宋" w:hAnsi="黑体" w:eastAsia="彩虹粗仿宋" w:cs="Times New Roman"/>
          <w:snapToGrid w:val="0"/>
          <w:sz w:val="32"/>
          <w:szCs w:val="32"/>
        </w:rPr>
        <w:t>，根据月度考核情况，</w:t>
      </w:r>
      <w:r>
        <w:rPr>
          <w:rFonts w:hint="eastAsia" w:ascii="彩虹粗仿宋" w:hAnsi="黑体" w:eastAsia="彩虹粗仿宋" w:cs="Times New Roman"/>
          <w:sz w:val="32"/>
          <w:szCs w:val="32"/>
        </w:rPr>
        <w:t>供应商出具相应的增值税专用发票，</w:t>
      </w:r>
      <w:r>
        <w:rPr>
          <w:rFonts w:hint="eastAsia" w:ascii="彩虹粗仿宋" w:hAnsi="宋体" w:eastAsia="彩虹粗仿宋" w:cs="Times New Roman"/>
          <w:snapToGrid w:val="0"/>
          <w:kern w:val="0"/>
          <w:sz w:val="32"/>
          <w:szCs w:val="32"/>
        </w:rPr>
        <w:t>如遇增加或减少岗位数量,服务金额按对应岗位价格和数量进行增减。</w:t>
      </w:r>
    </w:p>
    <w:p>
      <w:pPr>
        <w:adjustRightInd w:val="0"/>
        <w:snapToGrid w:val="0"/>
        <w:spacing w:line="560" w:lineRule="exact"/>
        <w:ind w:firstLine="480" w:firstLineChars="15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九、报价要求</w:t>
      </w:r>
    </w:p>
    <w:p>
      <w:pPr>
        <w:adjustRightInd w:val="0"/>
        <w:snapToGrid w:val="0"/>
        <w:spacing w:line="560" w:lineRule="exact"/>
        <w:ind w:firstLine="480" w:firstLineChars="15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（一）</w:t>
      </w:r>
      <w:r>
        <w:rPr>
          <w:rFonts w:hint="eastAsia" w:ascii="彩虹粗仿宋" w:hAnsi="黑体" w:eastAsia="彩虹粗仿宋" w:cs="Times New Roman"/>
          <w:sz w:val="32"/>
          <w:szCs w:val="32"/>
        </w:rPr>
        <w:t>新乡长垣支行本部办公楼及营业网点配备8个岗位， 每年服务费用预算17</w:t>
      </w:r>
      <w:r>
        <w:rPr>
          <w:rFonts w:hint="eastAsia" w:ascii="彩虹粗仿宋" w:hAnsi="黑体" w:eastAsia="彩虹粗仿宋" w:cs="Times New Roman"/>
          <w:sz w:val="32"/>
          <w:szCs w:val="32"/>
          <w:lang w:val="en-US" w:eastAsia="zh-CN"/>
        </w:rPr>
        <w:t>6448</w:t>
      </w:r>
      <w:r>
        <w:rPr>
          <w:rFonts w:hint="eastAsia" w:ascii="彩虹粗仿宋" w:hAnsi="黑体" w:eastAsia="彩虹粗仿宋" w:cs="Times New Roman"/>
          <w:sz w:val="32"/>
          <w:szCs w:val="32"/>
        </w:rPr>
        <w:t>元（含税价），</w:t>
      </w:r>
      <w:r>
        <w:rPr>
          <w:rFonts w:hint="eastAsia" w:ascii="彩虹粗仿宋" w:hAnsi="黑体" w:eastAsia="彩虹粗仿宋" w:cs="Times New Roman"/>
          <w:sz w:val="32"/>
          <w:szCs w:val="32"/>
          <w:lang w:eastAsia="zh-CN"/>
        </w:rPr>
        <w:t>每岗</w:t>
      </w:r>
      <w:r>
        <w:rPr>
          <w:rFonts w:hint="eastAsia" w:ascii="彩虹粗仿宋" w:hAnsi="黑体" w:eastAsia="彩虹粗仿宋" w:cs="Times New Roman"/>
          <w:sz w:val="32"/>
          <w:szCs w:val="32"/>
        </w:rPr>
        <w:t>每月183</w:t>
      </w:r>
      <w:r>
        <w:rPr>
          <w:rFonts w:hint="eastAsia" w:ascii="彩虹粗仿宋" w:hAnsi="黑体" w:eastAsia="彩虹粗仿宋" w:cs="Times New Roman"/>
          <w:sz w:val="32"/>
          <w:szCs w:val="32"/>
          <w:lang w:val="en-US" w:eastAsia="zh-CN"/>
        </w:rPr>
        <w:t>8</w:t>
      </w:r>
      <w:r>
        <w:rPr>
          <w:rFonts w:hint="eastAsia" w:ascii="彩虹粗仿宋" w:hAnsi="黑体" w:eastAsia="彩虹粗仿宋" w:cs="Times New Roman"/>
          <w:sz w:val="32"/>
          <w:szCs w:val="32"/>
        </w:rPr>
        <w:t>元。</w:t>
      </w:r>
      <w:r>
        <w:rPr>
          <w:rFonts w:hint="eastAsia" w:ascii="彩虹粗仿宋" w:hAnsi="宋体" w:eastAsia="彩虹粗仿宋" w:cs="Times New Roman"/>
          <w:snapToGrid w:val="0"/>
          <w:kern w:val="0"/>
          <w:sz w:val="32"/>
          <w:szCs w:val="32"/>
        </w:rPr>
        <w:t>按元/月/岗报单价和含税总价进行报价，超过预算为无效报价。</w:t>
      </w:r>
    </w:p>
    <w:p>
      <w:pPr>
        <w:adjustRightInd w:val="0"/>
        <w:snapToGrid w:val="0"/>
        <w:spacing w:line="560" w:lineRule="exact"/>
        <w:ind w:firstLine="480" w:firstLineChars="150"/>
        <w:rPr>
          <w:rFonts w:ascii="彩虹粗仿宋" w:hAnsi="Calibri" w:eastAsia="彩虹粗仿宋" w:cs="Times New Roman"/>
          <w:sz w:val="32"/>
          <w:szCs w:val="32"/>
        </w:rPr>
      </w:pPr>
      <w:r>
        <w:rPr>
          <w:rFonts w:hint="eastAsia" w:ascii="彩虹粗仿宋" w:hAnsi="黑体" w:eastAsia="彩虹粗仿宋" w:cs="Times New Roman"/>
          <w:sz w:val="32"/>
          <w:szCs w:val="32"/>
        </w:rPr>
        <w:t>（二</w:t>
      </w:r>
      <w:r>
        <w:rPr>
          <w:rFonts w:hint="eastAsia" w:ascii="彩虹粗仿宋" w:hAnsi="Calibri" w:eastAsia="彩虹粗仿宋" w:cs="Times New Roman"/>
          <w:sz w:val="32"/>
          <w:szCs w:val="32"/>
        </w:rPr>
        <w:t>）新乡长垣支行需2个押运车组，每年费用为91.74万元（含税价），每</w:t>
      </w:r>
      <w:r>
        <w:rPr>
          <w:rFonts w:hint="eastAsia" w:ascii="彩虹粗仿宋" w:hAnsi="Calibri" w:eastAsia="彩虹粗仿宋" w:cs="Times New Roman"/>
          <w:sz w:val="32"/>
          <w:szCs w:val="32"/>
          <w:lang w:eastAsia="zh-CN"/>
        </w:rPr>
        <w:t>车每</w:t>
      </w:r>
      <w:r>
        <w:rPr>
          <w:rFonts w:hint="eastAsia" w:ascii="彩虹粗仿宋" w:hAnsi="Calibri" w:eastAsia="彩虹粗仿宋" w:cs="Times New Roman"/>
          <w:sz w:val="32"/>
          <w:szCs w:val="32"/>
        </w:rPr>
        <w:t>月为</w:t>
      </w:r>
      <w:r>
        <w:rPr>
          <w:rFonts w:hint="eastAsia" w:ascii="彩虹粗仿宋" w:hAnsi="Calibri" w:eastAsia="彩虹粗仿宋" w:cs="Times New Roman"/>
          <w:sz w:val="32"/>
          <w:szCs w:val="32"/>
          <w:lang w:val="en-US" w:eastAsia="zh-CN"/>
        </w:rPr>
        <w:t>38225</w:t>
      </w:r>
      <w:r>
        <w:rPr>
          <w:rFonts w:hint="eastAsia" w:ascii="彩虹粗仿宋" w:hAnsi="Calibri" w:eastAsia="彩虹粗仿宋" w:cs="Times New Roman"/>
          <w:sz w:val="32"/>
          <w:szCs w:val="32"/>
        </w:rPr>
        <w:t>元。</w:t>
      </w:r>
      <w:r>
        <w:rPr>
          <w:rFonts w:hint="eastAsia" w:ascii="彩虹粗仿宋" w:hAnsi="宋体" w:eastAsia="彩虹粗仿宋" w:cs="Times New Roman"/>
          <w:snapToGrid w:val="0"/>
          <w:kern w:val="0"/>
          <w:sz w:val="32"/>
          <w:szCs w:val="32"/>
        </w:rPr>
        <w:t>按单价和含税总价进行报价，超过预算为无效报价。</w:t>
      </w:r>
    </w:p>
    <w:p>
      <w:pPr>
        <w:adjustRightInd w:val="0"/>
        <w:snapToGrid w:val="0"/>
        <w:spacing w:line="560" w:lineRule="exact"/>
        <w:ind w:firstLine="320" w:firstLineChars="10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十、其他要求</w:t>
      </w:r>
    </w:p>
    <w:p>
      <w:pPr>
        <w:adjustRightInd w:val="0"/>
        <w:snapToGrid w:val="0"/>
        <w:spacing w:line="560" w:lineRule="exact"/>
        <w:ind w:firstLine="480" w:firstLineChars="150"/>
        <w:rPr>
          <w:rFonts w:ascii="彩虹粗仿宋" w:hAnsi="黑体" w:eastAsia="彩虹粗仿宋" w:cs="Times New Roman"/>
          <w:b/>
          <w:snapToGrid w:val="0"/>
          <w:sz w:val="32"/>
          <w:szCs w:val="32"/>
          <w:shd w:val="clear" w:color="auto" w:fill="FFFFFF"/>
        </w:rPr>
      </w:pPr>
      <w:r>
        <w:rPr>
          <w:rFonts w:hint="eastAsia" w:ascii="彩虹粗仿宋" w:hAnsi="黑体" w:eastAsia="彩虹粗仿宋" w:cs="Times New Roman"/>
          <w:snapToGrid w:val="0"/>
          <w:sz w:val="32"/>
          <w:szCs w:val="32"/>
          <w:shd w:val="clear" w:color="auto" w:fill="FFFFFF"/>
        </w:rPr>
        <w:t>1、未经采购方允许，供应商不得将本项目采购内容及项目以任何方式进行转包。</w:t>
      </w:r>
    </w:p>
    <w:tbl>
      <w:tblPr>
        <w:tblStyle w:val="2"/>
        <w:tblW w:w="8980" w:type="dxa"/>
        <w:tblInd w:w="93" w:type="dxa"/>
        <w:tblLayout w:type="autofit"/>
        <w:tblCellMar>
          <w:top w:w="0" w:type="dxa"/>
          <w:left w:w="108" w:type="dxa"/>
          <w:bottom w:w="0" w:type="dxa"/>
          <w:right w:w="108" w:type="dxa"/>
        </w:tblCellMar>
      </w:tblPr>
      <w:tblGrid>
        <w:gridCol w:w="740"/>
        <w:gridCol w:w="740"/>
        <w:gridCol w:w="720"/>
        <w:gridCol w:w="1080"/>
        <w:gridCol w:w="740"/>
        <w:gridCol w:w="1120"/>
        <w:gridCol w:w="920"/>
        <w:gridCol w:w="740"/>
        <w:gridCol w:w="700"/>
        <w:gridCol w:w="720"/>
        <w:gridCol w:w="760"/>
      </w:tblGrid>
      <w:tr>
        <w:tblPrEx>
          <w:tblCellMar>
            <w:top w:w="0" w:type="dxa"/>
            <w:left w:w="108" w:type="dxa"/>
            <w:bottom w:w="0" w:type="dxa"/>
            <w:right w:w="108" w:type="dxa"/>
          </w:tblCellMar>
        </w:tblPrEx>
        <w:trPr>
          <w:trHeight w:val="456" w:hRule="atLeast"/>
        </w:trPr>
        <w:tc>
          <w:tcPr>
            <w:tcW w:w="8980" w:type="dxa"/>
            <w:gridSpan w:val="11"/>
            <w:tcBorders>
              <w:top w:val="nil"/>
              <w:left w:val="nil"/>
              <w:bottom w:val="nil"/>
              <w:right w:val="nil"/>
            </w:tcBorders>
            <w:noWrap/>
            <w:vAlign w:val="center"/>
          </w:tcPr>
          <w:p>
            <w:pPr>
              <w:widowControl/>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附件：</w:t>
            </w:r>
          </w:p>
          <w:p>
            <w:pPr>
              <w:widowControl/>
              <w:jc w:val="center"/>
              <w:rPr>
                <w:rFonts w:ascii="Times New Roman" w:hAnsi="Times New Roman"/>
                <w:b/>
                <w:bCs/>
                <w:kern w:val="0"/>
                <w:sz w:val="36"/>
                <w:szCs w:val="36"/>
              </w:rPr>
            </w:pPr>
            <w:r>
              <w:rPr>
                <w:rFonts w:ascii="彩虹粗仿宋" w:hAnsi="宋体" w:eastAsia="彩虹粗仿宋" w:cs="Times New Roman"/>
                <w:snapToGrid w:val="0"/>
                <w:kern w:val="0"/>
                <w:sz w:val="32"/>
                <w:szCs w:val="32"/>
              </w:rPr>
              <w:br w:type="page"/>
            </w:r>
            <w:r>
              <w:rPr>
                <w:rFonts w:hint="eastAsia" w:ascii="宋体" w:hAnsi="宋体"/>
                <w:b/>
                <w:bCs/>
                <w:kern w:val="0"/>
                <w:sz w:val="36"/>
                <w:szCs w:val="36"/>
              </w:rPr>
              <w:t>保安服务测评表</w:t>
            </w:r>
          </w:p>
        </w:tc>
      </w:tr>
      <w:tr>
        <w:tblPrEx>
          <w:tblCellMar>
            <w:top w:w="0" w:type="dxa"/>
            <w:left w:w="108" w:type="dxa"/>
            <w:bottom w:w="0" w:type="dxa"/>
            <w:right w:w="108" w:type="dxa"/>
          </w:tblCellMar>
        </w:tblPrEx>
        <w:trPr>
          <w:trHeight w:val="135" w:hRule="atLeast"/>
        </w:trPr>
        <w:tc>
          <w:tcPr>
            <w:tcW w:w="740" w:type="dxa"/>
            <w:tcBorders>
              <w:top w:val="nil"/>
              <w:left w:val="nil"/>
              <w:bottom w:val="nil"/>
              <w:right w:val="nil"/>
            </w:tcBorders>
            <w:noWrap/>
            <w:vAlign w:val="center"/>
          </w:tcPr>
          <w:p>
            <w:pPr>
              <w:widowControl/>
              <w:jc w:val="center"/>
              <w:rPr>
                <w:rFonts w:ascii="宋体" w:hAnsi="宋体" w:cs="宋体"/>
                <w:kern w:val="0"/>
                <w:sz w:val="24"/>
                <w:szCs w:val="24"/>
              </w:rPr>
            </w:pPr>
          </w:p>
        </w:tc>
        <w:tc>
          <w:tcPr>
            <w:tcW w:w="740" w:type="dxa"/>
            <w:tcBorders>
              <w:top w:val="nil"/>
              <w:left w:val="nil"/>
              <w:bottom w:val="nil"/>
              <w:right w:val="nil"/>
            </w:tcBorders>
            <w:noWrap/>
            <w:vAlign w:val="bottom"/>
          </w:tcPr>
          <w:p>
            <w:pPr>
              <w:widowControl/>
              <w:jc w:val="left"/>
              <w:rPr>
                <w:rFonts w:ascii="宋体" w:hAnsi="宋体" w:cs="宋体"/>
                <w:kern w:val="0"/>
                <w:sz w:val="24"/>
                <w:szCs w:val="24"/>
              </w:rPr>
            </w:pPr>
          </w:p>
        </w:tc>
        <w:tc>
          <w:tcPr>
            <w:tcW w:w="720" w:type="dxa"/>
            <w:tcBorders>
              <w:top w:val="nil"/>
              <w:left w:val="nil"/>
              <w:bottom w:val="nil"/>
              <w:right w:val="nil"/>
            </w:tcBorders>
            <w:noWrap/>
            <w:vAlign w:val="bottom"/>
          </w:tcPr>
          <w:p>
            <w:pPr>
              <w:widowControl/>
              <w:jc w:val="left"/>
              <w:rPr>
                <w:rFonts w:ascii="宋体" w:hAnsi="宋体" w:cs="宋体"/>
                <w:kern w:val="0"/>
                <w:sz w:val="24"/>
                <w:szCs w:val="24"/>
              </w:rPr>
            </w:pPr>
          </w:p>
        </w:tc>
        <w:tc>
          <w:tcPr>
            <w:tcW w:w="1080" w:type="dxa"/>
            <w:tcBorders>
              <w:top w:val="nil"/>
              <w:left w:val="nil"/>
              <w:bottom w:val="nil"/>
              <w:right w:val="nil"/>
            </w:tcBorders>
            <w:noWrap/>
            <w:vAlign w:val="bottom"/>
          </w:tcPr>
          <w:p>
            <w:pPr>
              <w:widowControl/>
              <w:jc w:val="left"/>
              <w:rPr>
                <w:rFonts w:ascii="宋体" w:hAnsi="宋体" w:cs="宋体"/>
                <w:kern w:val="0"/>
                <w:sz w:val="24"/>
                <w:szCs w:val="24"/>
              </w:rPr>
            </w:pPr>
          </w:p>
        </w:tc>
        <w:tc>
          <w:tcPr>
            <w:tcW w:w="740" w:type="dxa"/>
            <w:tcBorders>
              <w:top w:val="nil"/>
              <w:left w:val="nil"/>
              <w:bottom w:val="nil"/>
              <w:right w:val="nil"/>
            </w:tcBorders>
            <w:noWrap/>
            <w:vAlign w:val="bottom"/>
          </w:tcPr>
          <w:p>
            <w:pPr>
              <w:widowControl/>
              <w:jc w:val="left"/>
              <w:rPr>
                <w:rFonts w:ascii="宋体" w:hAnsi="宋体" w:cs="宋体"/>
                <w:kern w:val="0"/>
                <w:sz w:val="24"/>
                <w:szCs w:val="24"/>
              </w:rPr>
            </w:pPr>
          </w:p>
        </w:tc>
        <w:tc>
          <w:tcPr>
            <w:tcW w:w="1120" w:type="dxa"/>
            <w:tcBorders>
              <w:top w:val="nil"/>
              <w:left w:val="nil"/>
              <w:bottom w:val="nil"/>
              <w:right w:val="nil"/>
            </w:tcBorders>
            <w:noWrap/>
            <w:vAlign w:val="bottom"/>
          </w:tcPr>
          <w:p>
            <w:pPr>
              <w:widowControl/>
              <w:jc w:val="left"/>
              <w:rPr>
                <w:rFonts w:ascii="宋体" w:hAnsi="宋体" w:cs="宋体"/>
                <w:kern w:val="0"/>
                <w:sz w:val="24"/>
                <w:szCs w:val="24"/>
              </w:rPr>
            </w:pPr>
          </w:p>
        </w:tc>
        <w:tc>
          <w:tcPr>
            <w:tcW w:w="920" w:type="dxa"/>
            <w:tcBorders>
              <w:top w:val="nil"/>
              <w:left w:val="nil"/>
              <w:bottom w:val="nil"/>
              <w:right w:val="nil"/>
            </w:tcBorders>
            <w:noWrap/>
            <w:vAlign w:val="bottom"/>
          </w:tcPr>
          <w:p>
            <w:pPr>
              <w:widowControl/>
              <w:jc w:val="left"/>
              <w:rPr>
                <w:rFonts w:ascii="宋体" w:hAnsi="宋体" w:cs="宋体"/>
                <w:kern w:val="0"/>
                <w:sz w:val="24"/>
                <w:szCs w:val="24"/>
              </w:rPr>
            </w:pPr>
          </w:p>
        </w:tc>
        <w:tc>
          <w:tcPr>
            <w:tcW w:w="740" w:type="dxa"/>
            <w:tcBorders>
              <w:top w:val="nil"/>
              <w:left w:val="nil"/>
              <w:bottom w:val="nil"/>
              <w:right w:val="nil"/>
            </w:tcBorders>
            <w:noWrap/>
            <w:vAlign w:val="bottom"/>
          </w:tcPr>
          <w:p>
            <w:pPr>
              <w:widowControl/>
              <w:jc w:val="left"/>
              <w:rPr>
                <w:rFonts w:ascii="宋体" w:hAnsi="宋体" w:cs="宋体"/>
                <w:kern w:val="0"/>
                <w:sz w:val="24"/>
                <w:szCs w:val="24"/>
              </w:rPr>
            </w:pPr>
          </w:p>
        </w:tc>
        <w:tc>
          <w:tcPr>
            <w:tcW w:w="700" w:type="dxa"/>
            <w:tcBorders>
              <w:top w:val="nil"/>
              <w:left w:val="nil"/>
              <w:bottom w:val="nil"/>
              <w:right w:val="nil"/>
            </w:tcBorders>
            <w:noWrap/>
            <w:vAlign w:val="bottom"/>
          </w:tcPr>
          <w:p>
            <w:pPr>
              <w:widowControl/>
              <w:jc w:val="left"/>
              <w:rPr>
                <w:rFonts w:ascii="宋体" w:hAnsi="宋体" w:cs="宋体"/>
                <w:kern w:val="0"/>
                <w:sz w:val="24"/>
                <w:szCs w:val="24"/>
              </w:rPr>
            </w:pPr>
          </w:p>
        </w:tc>
        <w:tc>
          <w:tcPr>
            <w:tcW w:w="720" w:type="dxa"/>
            <w:tcBorders>
              <w:top w:val="nil"/>
              <w:left w:val="nil"/>
              <w:bottom w:val="nil"/>
              <w:right w:val="nil"/>
            </w:tcBorders>
            <w:noWrap/>
            <w:vAlign w:val="bottom"/>
          </w:tcPr>
          <w:p>
            <w:pPr>
              <w:widowControl/>
              <w:jc w:val="left"/>
              <w:rPr>
                <w:rFonts w:ascii="宋体" w:hAnsi="宋体" w:cs="宋体"/>
                <w:kern w:val="0"/>
                <w:sz w:val="24"/>
                <w:szCs w:val="24"/>
              </w:rPr>
            </w:pPr>
          </w:p>
        </w:tc>
        <w:tc>
          <w:tcPr>
            <w:tcW w:w="760" w:type="dxa"/>
            <w:tcBorders>
              <w:top w:val="nil"/>
              <w:left w:val="nil"/>
              <w:bottom w:val="nil"/>
              <w:right w:val="nil"/>
            </w:tcBorders>
            <w:noWrap/>
            <w:vAlign w:val="bottom"/>
          </w:tcPr>
          <w:p>
            <w:pPr>
              <w:widowControl/>
              <w:jc w:val="left"/>
              <w:rPr>
                <w:rFonts w:ascii="宋体" w:hAnsi="宋体" w:cs="宋体"/>
                <w:kern w:val="0"/>
                <w:sz w:val="24"/>
                <w:szCs w:val="24"/>
              </w:rPr>
            </w:pPr>
          </w:p>
        </w:tc>
      </w:tr>
      <w:tr>
        <w:tblPrEx>
          <w:tblCellMar>
            <w:top w:w="0" w:type="dxa"/>
            <w:left w:w="108" w:type="dxa"/>
            <w:bottom w:w="0" w:type="dxa"/>
            <w:right w:w="108" w:type="dxa"/>
          </w:tblCellMar>
        </w:tblPrEx>
        <w:trPr>
          <w:trHeight w:val="600" w:hRule="atLeast"/>
        </w:trPr>
        <w:tc>
          <w:tcPr>
            <w:tcW w:w="1480" w:type="dxa"/>
            <w:gridSpan w:val="2"/>
            <w:tcBorders>
              <w:top w:val="nil"/>
              <w:left w:val="nil"/>
              <w:bottom w:val="single" w:color="auto" w:sz="4" w:space="0"/>
              <w:right w:val="nil"/>
            </w:tcBorders>
            <w:noWrap/>
            <w:vAlign w:val="center"/>
          </w:tcPr>
          <w:p>
            <w:pPr>
              <w:widowControl/>
              <w:jc w:val="center"/>
              <w:rPr>
                <w:rFonts w:ascii="宋体" w:hAnsi="宋体" w:cs="宋体"/>
                <w:kern w:val="0"/>
                <w:szCs w:val="28"/>
              </w:rPr>
            </w:pPr>
            <w:r>
              <w:rPr>
                <w:rFonts w:hint="eastAsia" w:ascii="宋体" w:hAnsi="宋体" w:cs="宋体"/>
                <w:kern w:val="0"/>
                <w:szCs w:val="28"/>
              </w:rPr>
              <w:t>网点：</w:t>
            </w:r>
          </w:p>
        </w:tc>
        <w:tc>
          <w:tcPr>
            <w:tcW w:w="720" w:type="dxa"/>
            <w:tcBorders>
              <w:top w:val="nil"/>
              <w:left w:val="nil"/>
              <w:bottom w:val="nil"/>
              <w:right w:val="nil"/>
            </w:tcBorders>
            <w:noWrap/>
            <w:vAlign w:val="center"/>
          </w:tcPr>
          <w:p>
            <w:pPr>
              <w:widowControl/>
              <w:jc w:val="left"/>
              <w:rPr>
                <w:rFonts w:ascii="宋体" w:hAnsi="宋体" w:cs="宋体"/>
                <w:kern w:val="0"/>
                <w:szCs w:val="28"/>
              </w:rPr>
            </w:pPr>
          </w:p>
        </w:tc>
        <w:tc>
          <w:tcPr>
            <w:tcW w:w="1080" w:type="dxa"/>
            <w:tcBorders>
              <w:top w:val="nil"/>
              <w:left w:val="nil"/>
              <w:bottom w:val="nil"/>
              <w:right w:val="nil"/>
            </w:tcBorders>
            <w:noWrap/>
            <w:vAlign w:val="center"/>
          </w:tcPr>
          <w:p>
            <w:pPr>
              <w:widowControl/>
              <w:jc w:val="left"/>
              <w:rPr>
                <w:rFonts w:ascii="宋体" w:hAnsi="宋体" w:cs="宋体"/>
                <w:kern w:val="0"/>
                <w:szCs w:val="28"/>
              </w:rPr>
            </w:pPr>
          </w:p>
        </w:tc>
        <w:tc>
          <w:tcPr>
            <w:tcW w:w="1860" w:type="dxa"/>
            <w:gridSpan w:val="2"/>
            <w:tcBorders>
              <w:top w:val="nil"/>
              <w:left w:val="nil"/>
              <w:bottom w:val="nil"/>
              <w:right w:val="nil"/>
            </w:tcBorders>
            <w:noWrap/>
            <w:vAlign w:val="center"/>
          </w:tcPr>
          <w:p>
            <w:pPr>
              <w:widowControl/>
              <w:jc w:val="left"/>
              <w:rPr>
                <w:rFonts w:ascii="宋体" w:hAnsi="宋体" w:cs="宋体"/>
                <w:kern w:val="0"/>
                <w:szCs w:val="28"/>
              </w:rPr>
            </w:pPr>
            <w:r>
              <w:rPr>
                <w:rFonts w:hint="eastAsia" w:ascii="宋体" w:hAnsi="宋体" w:cs="宋体"/>
                <w:kern w:val="0"/>
                <w:szCs w:val="28"/>
              </w:rPr>
              <w:t>保安姓名：</w:t>
            </w:r>
          </w:p>
        </w:tc>
        <w:tc>
          <w:tcPr>
            <w:tcW w:w="920" w:type="dxa"/>
            <w:tcBorders>
              <w:top w:val="nil"/>
              <w:left w:val="nil"/>
              <w:bottom w:val="nil"/>
              <w:right w:val="nil"/>
            </w:tcBorders>
            <w:noWrap/>
            <w:vAlign w:val="center"/>
          </w:tcPr>
          <w:p>
            <w:pPr>
              <w:widowControl/>
              <w:jc w:val="left"/>
              <w:rPr>
                <w:rFonts w:ascii="宋体" w:hAnsi="宋体" w:cs="宋体"/>
                <w:kern w:val="0"/>
                <w:szCs w:val="28"/>
              </w:rPr>
            </w:pPr>
          </w:p>
        </w:tc>
        <w:tc>
          <w:tcPr>
            <w:tcW w:w="740" w:type="dxa"/>
            <w:tcBorders>
              <w:top w:val="nil"/>
              <w:left w:val="nil"/>
              <w:bottom w:val="nil"/>
              <w:right w:val="nil"/>
            </w:tcBorders>
            <w:noWrap/>
            <w:vAlign w:val="center"/>
          </w:tcPr>
          <w:p>
            <w:pPr>
              <w:widowControl/>
              <w:jc w:val="left"/>
              <w:rPr>
                <w:rFonts w:ascii="宋体" w:hAnsi="宋体" w:cs="宋体"/>
                <w:kern w:val="0"/>
                <w:szCs w:val="28"/>
              </w:rPr>
            </w:pPr>
          </w:p>
        </w:tc>
        <w:tc>
          <w:tcPr>
            <w:tcW w:w="1420" w:type="dxa"/>
            <w:gridSpan w:val="2"/>
            <w:tcBorders>
              <w:top w:val="nil"/>
              <w:left w:val="nil"/>
              <w:bottom w:val="nil"/>
              <w:right w:val="nil"/>
            </w:tcBorders>
            <w:noWrap/>
            <w:vAlign w:val="center"/>
          </w:tcPr>
          <w:p>
            <w:pPr>
              <w:widowControl/>
              <w:jc w:val="left"/>
              <w:rPr>
                <w:rFonts w:ascii="宋体" w:hAnsi="宋体" w:cs="宋体"/>
                <w:kern w:val="0"/>
                <w:szCs w:val="28"/>
              </w:rPr>
            </w:pPr>
            <w:r>
              <w:rPr>
                <w:rFonts w:hint="eastAsia" w:ascii="宋体" w:hAnsi="宋体" w:cs="宋体"/>
                <w:kern w:val="0"/>
                <w:szCs w:val="28"/>
              </w:rPr>
              <w:t>日期：</w:t>
            </w:r>
          </w:p>
        </w:tc>
        <w:tc>
          <w:tcPr>
            <w:tcW w:w="760" w:type="dxa"/>
            <w:tcBorders>
              <w:top w:val="nil"/>
              <w:left w:val="nil"/>
              <w:bottom w:val="nil"/>
              <w:right w:val="nil"/>
            </w:tcBorders>
            <w:noWrap/>
            <w:vAlign w:val="bottom"/>
          </w:tcPr>
          <w:p>
            <w:pPr>
              <w:widowControl/>
              <w:jc w:val="left"/>
              <w:rPr>
                <w:rFonts w:ascii="宋体" w:hAnsi="宋体" w:cs="宋体"/>
                <w:kern w:val="0"/>
                <w:szCs w:val="28"/>
              </w:rPr>
            </w:pPr>
          </w:p>
        </w:tc>
      </w:tr>
      <w:tr>
        <w:tblPrEx>
          <w:tblCellMar>
            <w:top w:w="0" w:type="dxa"/>
            <w:left w:w="108" w:type="dxa"/>
            <w:bottom w:w="0" w:type="dxa"/>
            <w:right w:w="108" w:type="dxa"/>
          </w:tblCellMar>
        </w:tblPrEx>
        <w:trPr>
          <w:trHeight w:val="360" w:hRule="atLeast"/>
        </w:trPr>
        <w:tc>
          <w:tcPr>
            <w:tcW w:w="740"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kern w:val="0"/>
                <w:sz w:val="24"/>
                <w:szCs w:val="24"/>
              </w:rPr>
            </w:pPr>
            <w:r>
              <w:rPr>
                <w:rFonts w:hint="eastAsia" w:ascii="宋体" w:hAnsi="宋体" w:cs="宋体"/>
                <w:kern w:val="0"/>
                <w:sz w:val="24"/>
                <w:szCs w:val="24"/>
              </w:rPr>
              <w:t>日</w:t>
            </w:r>
            <w:r>
              <w:rPr>
                <w:rFonts w:ascii="Times New Roman" w:hAnsi="Times New Roman"/>
                <w:kern w:val="0"/>
                <w:sz w:val="24"/>
                <w:szCs w:val="24"/>
              </w:rPr>
              <w:t xml:space="preserve">   </w:t>
            </w:r>
            <w:r>
              <w:rPr>
                <w:rFonts w:hint="eastAsia" w:ascii="宋体" w:hAnsi="宋体" w:cs="宋体"/>
                <w:kern w:val="0"/>
                <w:sz w:val="24"/>
                <w:szCs w:val="24"/>
              </w:rPr>
              <w:t>期</w:t>
            </w:r>
          </w:p>
        </w:tc>
        <w:tc>
          <w:tcPr>
            <w:tcW w:w="7480" w:type="dxa"/>
            <w:gridSpan w:val="9"/>
            <w:tcBorders>
              <w:top w:val="single" w:color="auto" w:sz="4" w:space="0"/>
              <w:left w:val="nil"/>
              <w:bottom w:val="single" w:color="auto" w:sz="4" w:space="0"/>
              <w:right w:val="single" w:color="auto" w:sz="4" w:space="0"/>
            </w:tcBorders>
            <w:noWrap/>
            <w:vAlign w:val="bottom"/>
          </w:tcPr>
          <w:p>
            <w:pPr>
              <w:widowControl/>
              <w:jc w:val="center"/>
              <w:rPr>
                <w:rFonts w:ascii="宋体" w:hAnsi="宋体" w:cs="宋体"/>
                <w:b/>
                <w:bCs/>
                <w:kern w:val="0"/>
                <w:szCs w:val="28"/>
              </w:rPr>
            </w:pPr>
            <w:r>
              <w:rPr>
                <w:rFonts w:hint="eastAsia" w:ascii="宋体" w:hAnsi="宋体" w:cs="宋体"/>
                <w:b/>
                <w:bCs/>
                <w:kern w:val="0"/>
                <w:szCs w:val="28"/>
              </w:rPr>
              <w:t>违犯规定内容及次数</w:t>
            </w:r>
          </w:p>
        </w:tc>
        <w:tc>
          <w:tcPr>
            <w:tcW w:w="760" w:type="dxa"/>
            <w:tcBorders>
              <w:top w:val="single" w:color="auto" w:sz="4" w:space="0"/>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1014" w:hRule="atLeast"/>
        </w:trPr>
        <w:tc>
          <w:tcPr>
            <w:tcW w:w="74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4"/>
                <w:szCs w:val="24"/>
              </w:rPr>
            </w:pPr>
          </w:p>
        </w:tc>
        <w:tc>
          <w:tcPr>
            <w:tcW w:w="74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着装</w:t>
            </w:r>
            <w:r>
              <w:rPr>
                <w:rFonts w:ascii="Times New Roman" w:hAnsi="Times New Roman"/>
                <w:kern w:val="0"/>
                <w:sz w:val="22"/>
              </w:rPr>
              <w:t xml:space="preserve">    </w:t>
            </w:r>
            <w:r>
              <w:rPr>
                <w:rFonts w:hint="eastAsia" w:ascii="宋体" w:hAnsi="宋体" w:cs="宋体"/>
                <w:kern w:val="0"/>
                <w:sz w:val="22"/>
              </w:rPr>
              <w:t>不整</w:t>
            </w:r>
          </w:p>
        </w:tc>
        <w:tc>
          <w:tcPr>
            <w:tcW w:w="72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警具</w:t>
            </w:r>
            <w:r>
              <w:rPr>
                <w:rFonts w:ascii="Times New Roman" w:hAnsi="Times New Roman"/>
                <w:kern w:val="0"/>
                <w:sz w:val="22"/>
              </w:rPr>
              <w:t xml:space="preserve">      </w:t>
            </w:r>
            <w:r>
              <w:rPr>
                <w:rFonts w:hint="eastAsia" w:ascii="宋体" w:hAnsi="宋体" w:cs="宋体"/>
                <w:kern w:val="0"/>
                <w:sz w:val="22"/>
              </w:rPr>
              <w:t>乱放</w:t>
            </w:r>
          </w:p>
        </w:tc>
        <w:tc>
          <w:tcPr>
            <w:tcW w:w="108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迟到、早退  脱岗、旷工</w:t>
            </w:r>
          </w:p>
        </w:tc>
        <w:tc>
          <w:tcPr>
            <w:tcW w:w="74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不服从          领 导</w:t>
            </w:r>
          </w:p>
        </w:tc>
        <w:tc>
          <w:tcPr>
            <w:tcW w:w="112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睡觉、看报会客、聊天</w:t>
            </w:r>
          </w:p>
        </w:tc>
        <w:tc>
          <w:tcPr>
            <w:tcW w:w="92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警惕性差松懈怠工</w:t>
            </w:r>
          </w:p>
        </w:tc>
        <w:tc>
          <w:tcPr>
            <w:tcW w:w="74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客户</w:t>
            </w:r>
            <w:r>
              <w:rPr>
                <w:rFonts w:ascii="Times New Roman" w:hAnsi="Times New Roman"/>
                <w:kern w:val="0"/>
                <w:sz w:val="22"/>
              </w:rPr>
              <w:t xml:space="preserve">       </w:t>
            </w:r>
            <w:r>
              <w:rPr>
                <w:rFonts w:hint="eastAsia" w:ascii="宋体" w:hAnsi="宋体" w:cs="宋体"/>
                <w:kern w:val="0"/>
                <w:sz w:val="22"/>
              </w:rPr>
              <w:t>投诉</w:t>
            </w:r>
          </w:p>
        </w:tc>
        <w:tc>
          <w:tcPr>
            <w:tcW w:w="70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与客户发生纠纷</w:t>
            </w:r>
          </w:p>
        </w:tc>
        <w:tc>
          <w:tcPr>
            <w:tcW w:w="72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其   他</w:t>
            </w:r>
          </w:p>
        </w:tc>
        <w:tc>
          <w:tcPr>
            <w:tcW w:w="7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当日合计</w:t>
            </w:r>
          </w:p>
        </w:tc>
      </w:tr>
      <w:tr>
        <w:tblPrEx>
          <w:tblCellMar>
            <w:top w:w="0" w:type="dxa"/>
            <w:left w:w="108" w:type="dxa"/>
            <w:bottom w:w="0" w:type="dxa"/>
            <w:right w:w="108" w:type="dxa"/>
          </w:tblCellMar>
        </w:tblPrEx>
        <w:trPr>
          <w:trHeight w:val="312" w:hRule="atLeast"/>
        </w:trPr>
        <w:tc>
          <w:tcPr>
            <w:tcW w:w="74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4"/>
                <w:szCs w:val="24"/>
              </w:rPr>
            </w:pPr>
          </w:p>
        </w:tc>
        <w:tc>
          <w:tcPr>
            <w:tcW w:w="74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72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108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74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112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92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74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70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72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76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1</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2</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3</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4</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5</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6</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eastAsia="宋体" w:cs="宋体"/>
                <w:kern w:val="0"/>
                <w:sz w:val="24"/>
                <w:szCs w:val="24"/>
              </w:rPr>
            </w:pPr>
            <w:r>
              <w:rPr>
                <w:rFonts w:hint="eastAsia" w:ascii="宋体" w:hAnsi="宋体" w:cs="宋体"/>
                <w:kern w:val="0"/>
                <w:sz w:val="24"/>
                <w:szCs w:val="24"/>
              </w:rPr>
              <w:t>：</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31</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600"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总评</w:t>
            </w:r>
          </w:p>
        </w:tc>
        <w:tc>
          <w:tcPr>
            <w:tcW w:w="8240" w:type="dxa"/>
            <w:gridSpan w:val="10"/>
            <w:tcBorders>
              <w:top w:val="single" w:color="auto" w:sz="4" w:space="0"/>
              <w:left w:val="nil"/>
              <w:bottom w:val="single" w:color="auto" w:sz="4" w:space="0"/>
              <w:right w:val="single" w:color="000000"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　</w:t>
            </w:r>
          </w:p>
        </w:tc>
      </w:tr>
    </w:tbl>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彩虹小标宋">
    <w:panose1 w:val="03000509000000000000"/>
    <w:charset w:val="86"/>
    <w:family w:val="auto"/>
    <w:pitch w:val="default"/>
    <w:sig w:usb0="00000001" w:usb1="080E0000" w:usb2="00000000" w:usb3="00000000" w:csb0="00040000" w:csb1="00000000"/>
  </w:font>
  <w:font w:name="彩虹黑体">
    <w:panose1 w:val="03000509000000000000"/>
    <w:charset w:val="86"/>
    <w:family w:val="script"/>
    <w:pitch w:val="default"/>
    <w:sig w:usb0="00000001" w:usb1="080E0000" w:usb2="00000000" w:usb3="00000000" w:csb0="00040000" w:csb1="00000000"/>
  </w:font>
  <w:font w:name="彩虹粗仿宋">
    <w:panose1 w:val="03000509000000000000"/>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CHCFS">
    <w:altName w:val="微软雅黑"/>
    <w:panose1 w:val="00000000000000000000"/>
    <w:charset w:val="86"/>
    <w:family w:val="swiss"/>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2897E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2024-05-23T00:44:54Z</dcterms:created>
  <dc:creator>haccb</dc:creator>
  <cp:lastModifiedBy>haccb</cp:lastModifiedBy>
  <dcterms:modified xsi:type="dcterms:W3CDTF">2024-05-23T00:46:22Z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08EAC74322D14680802D807B6734162A_12</vt:lpwstr>
  </property>
</Properties>
</file>