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FC9C91A">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b/>
          <w:bCs/>
          <w:sz w:val="28"/>
          <w:szCs w:val="28"/>
          <w:lang w:val="zh-CN" w:eastAsia="zh-CN"/>
        </w:rPr>
      </w:pPr>
      <w:r>
        <w:rPr>
          <w:rFonts w:hint="eastAsia" w:ascii="宋体" w:hAnsi="宋体" w:eastAsia="宋体" w:cs="宋体"/>
          <w:b/>
          <w:bCs/>
          <w:sz w:val="28"/>
          <w:szCs w:val="28"/>
          <w:lang w:val="en-US" w:eastAsia="zh-CN"/>
        </w:rPr>
        <w:t>评审细则</w:t>
      </w:r>
    </w:p>
    <w:tbl>
      <w:tblPr>
        <w:tblStyle w:val="18"/>
        <w:tblpPr w:leftFromText="180" w:rightFromText="180" w:vertAnchor="text" w:horzAnchor="page" w:tblpX="1130" w:tblpY="422"/>
        <w:tblOverlap w:val="never"/>
        <w:tblW w:w="98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832"/>
        <w:gridCol w:w="1436"/>
        <w:gridCol w:w="6706"/>
      </w:tblGrid>
      <w:tr w14:paraId="48017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3" w:hRule="atLeast"/>
        </w:trPr>
        <w:tc>
          <w:tcPr>
            <w:tcW w:w="870" w:type="dxa"/>
            <w:noWrap w:val="0"/>
            <w:vAlign w:val="center"/>
          </w:tcPr>
          <w:p w14:paraId="09145C6B">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b/>
                <w:kern w:val="0"/>
                <w:sz w:val="24"/>
                <w:szCs w:val="24"/>
              </w:rPr>
            </w:pPr>
            <w:r>
              <w:rPr>
                <w:rFonts w:hint="eastAsia" w:ascii="宋体" w:hAnsi="宋体" w:eastAsia="宋体" w:cs="宋体"/>
                <w:b/>
                <w:kern w:val="0"/>
                <w:sz w:val="24"/>
                <w:szCs w:val="24"/>
              </w:rPr>
              <w:t>内容</w:t>
            </w:r>
          </w:p>
        </w:tc>
        <w:tc>
          <w:tcPr>
            <w:tcW w:w="832" w:type="dxa"/>
            <w:noWrap w:val="0"/>
            <w:vAlign w:val="center"/>
          </w:tcPr>
          <w:p w14:paraId="1BA7686D">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b/>
                <w:kern w:val="0"/>
                <w:sz w:val="24"/>
                <w:szCs w:val="24"/>
              </w:rPr>
            </w:pPr>
            <w:r>
              <w:rPr>
                <w:rFonts w:hint="eastAsia" w:ascii="宋体" w:hAnsi="宋体" w:eastAsia="宋体" w:cs="宋体"/>
                <w:b/>
                <w:kern w:val="0"/>
                <w:sz w:val="24"/>
                <w:szCs w:val="24"/>
              </w:rPr>
              <w:t>分值</w:t>
            </w:r>
          </w:p>
        </w:tc>
        <w:tc>
          <w:tcPr>
            <w:tcW w:w="1436" w:type="dxa"/>
            <w:noWrap w:val="0"/>
            <w:vAlign w:val="center"/>
          </w:tcPr>
          <w:p w14:paraId="32B827CF">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b/>
                <w:kern w:val="0"/>
                <w:sz w:val="24"/>
                <w:szCs w:val="24"/>
              </w:rPr>
            </w:pPr>
            <w:r>
              <w:rPr>
                <w:rFonts w:hint="eastAsia" w:ascii="宋体" w:hAnsi="宋体" w:eastAsia="宋体" w:cs="宋体"/>
                <w:b/>
                <w:kern w:val="0"/>
                <w:sz w:val="24"/>
                <w:szCs w:val="24"/>
              </w:rPr>
              <w:t>评分因素</w:t>
            </w:r>
          </w:p>
        </w:tc>
        <w:tc>
          <w:tcPr>
            <w:tcW w:w="6706" w:type="dxa"/>
            <w:noWrap w:val="0"/>
            <w:vAlign w:val="center"/>
          </w:tcPr>
          <w:p w14:paraId="1052574D">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b/>
                <w:kern w:val="0"/>
                <w:sz w:val="24"/>
                <w:szCs w:val="24"/>
              </w:rPr>
            </w:pPr>
            <w:r>
              <w:rPr>
                <w:rFonts w:hint="eastAsia" w:ascii="宋体" w:hAnsi="宋体" w:eastAsia="宋体" w:cs="宋体"/>
                <w:b/>
                <w:kern w:val="0"/>
                <w:sz w:val="24"/>
                <w:szCs w:val="24"/>
              </w:rPr>
              <w:t>评分标准</w:t>
            </w:r>
          </w:p>
        </w:tc>
      </w:tr>
      <w:tr w14:paraId="65DC7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70" w:type="dxa"/>
            <w:noWrap w:val="0"/>
            <w:vAlign w:val="center"/>
          </w:tcPr>
          <w:p w14:paraId="567A3971">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r>
              <w:rPr>
                <w:rFonts w:hint="eastAsia" w:ascii="宋体" w:hAnsi="宋体" w:eastAsia="宋体" w:cs="宋体"/>
                <w:sz w:val="24"/>
                <w:szCs w:val="24"/>
              </w:rPr>
              <w:t>价格</w:t>
            </w:r>
          </w:p>
          <w:p w14:paraId="33157DF2">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r>
              <w:rPr>
                <w:rFonts w:hint="eastAsia" w:ascii="宋体" w:hAnsi="宋体" w:eastAsia="宋体" w:cs="宋体"/>
                <w:sz w:val="24"/>
                <w:szCs w:val="24"/>
              </w:rPr>
              <w:t>部分</w:t>
            </w:r>
          </w:p>
        </w:tc>
        <w:tc>
          <w:tcPr>
            <w:tcW w:w="832" w:type="dxa"/>
            <w:noWrap w:val="0"/>
            <w:vAlign w:val="center"/>
          </w:tcPr>
          <w:p w14:paraId="57B254B3">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r>
              <w:rPr>
                <w:rFonts w:hint="eastAsia" w:ascii="宋体" w:hAnsi="宋体" w:eastAsia="宋体" w:cs="宋体"/>
                <w:sz w:val="24"/>
                <w:szCs w:val="24"/>
              </w:rPr>
              <w:t>30分</w:t>
            </w:r>
          </w:p>
        </w:tc>
        <w:tc>
          <w:tcPr>
            <w:tcW w:w="1436" w:type="dxa"/>
            <w:noWrap w:val="0"/>
            <w:vAlign w:val="center"/>
          </w:tcPr>
          <w:p w14:paraId="28128C6F">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下浮率</w:t>
            </w:r>
          </w:p>
          <w:p w14:paraId="74C9FCDD">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lang w:eastAsia="zh-CN"/>
              </w:rPr>
            </w:pPr>
            <w:r>
              <w:rPr>
                <w:rFonts w:hint="eastAsia" w:ascii="宋体" w:hAnsi="宋体" w:eastAsia="宋体" w:cs="宋体"/>
                <w:color w:val="auto"/>
                <w:sz w:val="24"/>
                <w:szCs w:val="24"/>
                <w:lang w:val="en-US" w:eastAsia="zh-CN"/>
              </w:rPr>
              <w:t>（折扣率）</w:t>
            </w:r>
          </w:p>
        </w:tc>
        <w:tc>
          <w:tcPr>
            <w:tcW w:w="6706" w:type="dxa"/>
            <w:noWrap w:val="0"/>
            <w:vAlign w:val="center"/>
          </w:tcPr>
          <w:p w14:paraId="5D63C6F7">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sz w:val="24"/>
                <w:szCs w:val="24"/>
              </w:rPr>
            </w:pPr>
            <w:r>
              <w:rPr>
                <w:rFonts w:hint="eastAsia" w:ascii="宋体" w:hAnsi="宋体" w:eastAsia="宋体" w:cs="宋体"/>
                <w:sz w:val="24"/>
                <w:szCs w:val="24"/>
              </w:rPr>
              <w:t>以满足</w:t>
            </w:r>
            <w:r>
              <w:rPr>
                <w:rFonts w:hint="eastAsia" w:ascii="宋体" w:hAnsi="宋体" w:eastAsia="宋体" w:cs="宋体"/>
                <w:sz w:val="24"/>
                <w:szCs w:val="24"/>
                <w:lang w:val="en-US" w:eastAsia="zh-CN"/>
              </w:rPr>
              <w:t>竞价</w:t>
            </w:r>
            <w:r>
              <w:rPr>
                <w:rFonts w:hint="eastAsia" w:ascii="宋体" w:hAnsi="宋体" w:eastAsia="宋体" w:cs="宋体"/>
                <w:sz w:val="24"/>
                <w:szCs w:val="24"/>
              </w:rPr>
              <w:t>文件要求且单价</w:t>
            </w:r>
            <w:r>
              <w:rPr>
                <w:rFonts w:hint="eastAsia" w:ascii="宋体" w:hAnsi="宋体" w:eastAsia="宋体" w:cs="宋体"/>
                <w:color w:val="auto"/>
                <w:sz w:val="24"/>
                <w:szCs w:val="24"/>
                <w:lang w:val="en-US" w:eastAsia="zh-CN"/>
              </w:rPr>
              <w:t>统一</w:t>
            </w:r>
            <w:r>
              <w:rPr>
                <w:rFonts w:hint="eastAsia" w:ascii="宋体" w:hAnsi="宋体" w:eastAsia="宋体" w:cs="宋体"/>
                <w:sz w:val="24"/>
                <w:szCs w:val="24"/>
              </w:rPr>
              <w:t>折扣率最低的投标报价为评标基准价，其价格分为满分</w:t>
            </w:r>
            <w:r>
              <w:rPr>
                <w:rFonts w:hint="eastAsia" w:ascii="宋体" w:hAnsi="宋体" w:eastAsia="宋体" w:cs="宋体"/>
                <w:sz w:val="24"/>
                <w:szCs w:val="24"/>
                <w:lang w:val="en-US" w:eastAsia="zh-CN"/>
              </w:rPr>
              <w:t>30</w:t>
            </w:r>
            <w:r>
              <w:rPr>
                <w:rFonts w:hint="eastAsia" w:ascii="宋体" w:hAnsi="宋体" w:eastAsia="宋体" w:cs="宋体"/>
                <w:sz w:val="24"/>
                <w:szCs w:val="24"/>
              </w:rPr>
              <w:t>分，其他供应商的价格分按照下列公式计算：其他投标人的价格分统一按照下列公式计算：投标报价得分＝</w:t>
            </w:r>
            <w:r>
              <w:rPr>
                <w:rFonts w:hint="eastAsia" w:ascii="宋体" w:hAnsi="宋体" w:eastAsia="宋体" w:cs="宋体"/>
                <w:sz w:val="24"/>
                <w:szCs w:val="24"/>
                <w:lang w:val="en-US" w:eastAsia="zh-CN"/>
              </w:rPr>
              <w:t>30-</w:t>
            </w:r>
            <w:r>
              <w:rPr>
                <w:rFonts w:hint="eastAsia" w:ascii="宋体" w:hAnsi="宋体" w:eastAsia="宋体" w:cs="宋体"/>
                <w:sz w:val="24"/>
                <w:szCs w:val="24"/>
              </w:rPr>
              <w:t>（评标基准价</w:t>
            </w:r>
            <w:r>
              <w:rPr>
                <w:rFonts w:hint="eastAsia" w:ascii="宋体" w:hAnsi="宋体" w:eastAsia="宋体" w:cs="宋体"/>
                <w:sz w:val="24"/>
                <w:szCs w:val="24"/>
                <w:lang w:val="en-US" w:eastAsia="zh-CN"/>
              </w:rPr>
              <w:t>/</w:t>
            </w:r>
            <w:r>
              <w:rPr>
                <w:rFonts w:hint="eastAsia" w:ascii="宋体" w:hAnsi="宋体" w:eastAsia="宋体" w:cs="宋体"/>
                <w:sz w:val="24"/>
                <w:szCs w:val="24"/>
              </w:rPr>
              <w:t>单价折扣率）。</w:t>
            </w:r>
          </w:p>
        </w:tc>
      </w:tr>
      <w:tr w14:paraId="52004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7" w:hRule="atLeast"/>
        </w:trPr>
        <w:tc>
          <w:tcPr>
            <w:tcW w:w="870" w:type="dxa"/>
            <w:vMerge w:val="restart"/>
            <w:noWrap w:val="0"/>
            <w:vAlign w:val="center"/>
          </w:tcPr>
          <w:p w14:paraId="1E443F8D">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r>
              <w:rPr>
                <w:rFonts w:hint="eastAsia" w:ascii="宋体" w:hAnsi="宋体" w:eastAsia="宋体" w:cs="宋体"/>
                <w:sz w:val="24"/>
                <w:szCs w:val="24"/>
              </w:rPr>
              <w:t>商务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部分</w:t>
            </w:r>
          </w:p>
        </w:tc>
        <w:tc>
          <w:tcPr>
            <w:tcW w:w="832" w:type="dxa"/>
            <w:vMerge w:val="restart"/>
            <w:noWrap w:val="0"/>
            <w:vAlign w:val="center"/>
          </w:tcPr>
          <w:p w14:paraId="6B17262C">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分</w:t>
            </w:r>
          </w:p>
        </w:tc>
        <w:tc>
          <w:tcPr>
            <w:tcW w:w="1436" w:type="dxa"/>
            <w:noWrap w:val="0"/>
            <w:vAlign w:val="center"/>
          </w:tcPr>
          <w:p w14:paraId="434DA909">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业绩</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4分）</w:t>
            </w:r>
          </w:p>
        </w:tc>
        <w:tc>
          <w:tcPr>
            <w:tcW w:w="6706" w:type="dxa"/>
            <w:noWrap w:val="0"/>
            <w:vAlign w:val="center"/>
          </w:tcPr>
          <w:p w14:paraId="4E898B34">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投标人</w:t>
            </w:r>
            <w:r>
              <w:rPr>
                <w:rFonts w:hint="eastAsia" w:ascii="宋体" w:hAnsi="宋体" w:eastAsia="宋体" w:cs="宋体"/>
                <w:color w:val="auto"/>
                <w:sz w:val="24"/>
                <w:szCs w:val="24"/>
              </w:rPr>
              <w:t>提供 20</w:t>
            </w:r>
            <w:r>
              <w:rPr>
                <w:rFonts w:hint="eastAsia" w:ascii="宋体" w:hAnsi="宋体" w:eastAsia="宋体" w:cs="宋体"/>
                <w:color w:val="auto"/>
                <w:sz w:val="24"/>
                <w:szCs w:val="24"/>
                <w:lang w:val="en-US" w:eastAsia="zh-CN"/>
              </w:rPr>
              <w:t>23</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03</w:t>
            </w:r>
            <w:r>
              <w:rPr>
                <w:rFonts w:hint="eastAsia" w:ascii="宋体" w:hAnsi="宋体" w:eastAsia="宋体" w:cs="宋体"/>
                <w:color w:val="auto"/>
                <w:sz w:val="24"/>
                <w:szCs w:val="24"/>
              </w:rPr>
              <w:t>月1日（以同签订时间为准）以来同类项目合同业绩，每提供 1 个业绩得 2 分，最高得</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分。（提供合同及中标（成交）通知书复印件加盖公章胶装至响应文件中，否则不得分）</w:t>
            </w:r>
          </w:p>
        </w:tc>
      </w:tr>
      <w:tr w14:paraId="4C362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4" w:hRule="atLeast"/>
        </w:trPr>
        <w:tc>
          <w:tcPr>
            <w:tcW w:w="870" w:type="dxa"/>
            <w:vMerge w:val="continue"/>
            <w:noWrap w:val="0"/>
            <w:vAlign w:val="center"/>
          </w:tcPr>
          <w:p w14:paraId="6D863F6E">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p>
        </w:tc>
        <w:tc>
          <w:tcPr>
            <w:tcW w:w="832" w:type="dxa"/>
            <w:vMerge w:val="continue"/>
            <w:noWrap w:val="0"/>
            <w:vAlign w:val="center"/>
          </w:tcPr>
          <w:p w14:paraId="36C5CCDF">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color w:val="auto"/>
                <w:sz w:val="24"/>
                <w:szCs w:val="24"/>
              </w:rPr>
            </w:pPr>
          </w:p>
        </w:tc>
        <w:tc>
          <w:tcPr>
            <w:tcW w:w="1436" w:type="dxa"/>
            <w:noWrap w:val="0"/>
            <w:vAlign w:val="center"/>
          </w:tcPr>
          <w:p w14:paraId="7C9114D2">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对投标人售后服务能力的评价（1</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分）</w:t>
            </w:r>
          </w:p>
        </w:tc>
        <w:tc>
          <w:tcPr>
            <w:tcW w:w="6706" w:type="dxa"/>
            <w:noWrap w:val="0"/>
            <w:vAlign w:val="center"/>
          </w:tcPr>
          <w:p w14:paraId="47BE46A8">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根据投标人提供的售后服务方案, 方案详细、科学合理、响应时间迅速、切合实际情况由专家进行综合评审。满分1</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分，每出现一处相对弱势或不合理减0.5 分，扣完为止，缺项不得分。</w:t>
            </w:r>
          </w:p>
        </w:tc>
      </w:tr>
      <w:tr w14:paraId="74223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30" w:hRule="atLeast"/>
        </w:trPr>
        <w:tc>
          <w:tcPr>
            <w:tcW w:w="870" w:type="dxa"/>
            <w:vMerge w:val="restart"/>
            <w:noWrap w:val="0"/>
            <w:vAlign w:val="center"/>
          </w:tcPr>
          <w:p w14:paraId="5CDC9ABB">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r>
              <w:rPr>
                <w:rFonts w:hint="eastAsia" w:ascii="宋体" w:hAnsi="宋体" w:eastAsia="宋体" w:cs="宋体"/>
                <w:sz w:val="24"/>
                <w:szCs w:val="24"/>
              </w:rPr>
              <w:t>技术</w:t>
            </w:r>
          </w:p>
          <w:p w14:paraId="10F66AFB">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r>
              <w:rPr>
                <w:rFonts w:hint="eastAsia" w:ascii="宋体" w:hAnsi="宋体" w:eastAsia="宋体" w:cs="宋体"/>
                <w:sz w:val="24"/>
                <w:szCs w:val="24"/>
              </w:rPr>
              <w:t>部分</w:t>
            </w:r>
          </w:p>
        </w:tc>
        <w:tc>
          <w:tcPr>
            <w:tcW w:w="832" w:type="dxa"/>
            <w:vMerge w:val="restart"/>
            <w:noWrap w:val="0"/>
            <w:vAlign w:val="center"/>
          </w:tcPr>
          <w:p w14:paraId="4F2C91A7">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6</w:t>
            </w:r>
            <w:r>
              <w:rPr>
                <w:rFonts w:hint="eastAsia" w:ascii="宋体" w:hAnsi="宋体" w:eastAsia="宋体" w:cs="宋体"/>
                <w:sz w:val="24"/>
                <w:szCs w:val="24"/>
              </w:rPr>
              <w:t>分</w:t>
            </w:r>
          </w:p>
        </w:tc>
        <w:tc>
          <w:tcPr>
            <w:tcW w:w="1436" w:type="dxa"/>
            <w:noWrap w:val="0"/>
            <w:vAlign w:val="center"/>
          </w:tcPr>
          <w:p w14:paraId="2AC54289">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质量保障措施 （</w:t>
            </w:r>
            <w:r>
              <w:rPr>
                <w:rFonts w:hint="eastAsia" w:ascii="宋体" w:hAnsi="宋体" w:eastAsia="宋体" w:cs="宋体"/>
                <w:color w:val="auto"/>
                <w:sz w:val="24"/>
                <w:szCs w:val="24"/>
                <w:lang w:val="en-US" w:eastAsia="zh-CN"/>
              </w:rPr>
              <w:t>25</w:t>
            </w:r>
            <w:r>
              <w:rPr>
                <w:rFonts w:hint="eastAsia" w:ascii="宋体" w:hAnsi="宋体" w:eastAsia="宋体" w:cs="宋体"/>
                <w:color w:val="auto"/>
                <w:sz w:val="24"/>
                <w:szCs w:val="24"/>
              </w:rPr>
              <w:t xml:space="preserve"> 分）</w:t>
            </w:r>
          </w:p>
        </w:tc>
        <w:tc>
          <w:tcPr>
            <w:tcW w:w="6706" w:type="dxa"/>
            <w:noWrap w:val="0"/>
            <w:vAlign w:val="center"/>
          </w:tcPr>
          <w:p w14:paraId="42F37755">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根据投标人提供的下列内容进行评价：</w:t>
            </w:r>
          </w:p>
          <w:p w14:paraId="39F4E746">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①质量保证措施及方案； </w:t>
            </w:r>
          </w:p>
          <w:p w14:paraId="4E3FCD3A">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②货物来源证明及食品质检报告；</w:t>
            </w:r>
          </w:p>
          <w:p w14:paraId="261B23DE">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③供货质量控制管理方案；</w:t>
            </w:r>
          </w:p>
          <w:p w14:paraId="2B538C63">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④产品验收标准； </w:t>
            </w:r>
          </w:p>
          <w:p w14:paraId="603838D7">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⑤日常管理措施；</w:t>
            </w:r>
          </w:p>
          <w:p w14:paraId="086B576C">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以上①-⑤每条方案内容完善可行，能够充分保障食品质量的得5分； 每出现一处相对弱势或不合理减0.5 分，扣完为止，缺项不得分，本项最高得 25 分。</w:t>
            </w:r>
          </w:p>
        </w:tc>
      </w:tr>
      <w:tr w14:paraId="2BA38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94" w:hRule="atLeast"/>
        </w:trPr>
        <w:tc>
          <w:tcPr>
            <w:tcW w:w="870" w:type="dxa"/>
            <w:vMerge w:val="continue"/>
            <w:noWrap w:val="0"/>
            <w:vAlign w:val="center"/>
          </w:tcPr>
          <w:p w14:paraId="26463A54">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kern w:val="0"/>
                <w:sz w:val="24"/>
                <w:szCs w:val="24"/>
              </w:rPr>
            </w:pPr>
          </w:p>
        </w:tc>
        <w:tc>
          <w:tcPr>
            <w:tcW w:w="832" w:type="dxa"/>
            <w:vMerge w:val="continue"/>
            <w:noWrap w:val="0"/>
            <w:vAlign w:val="center"/>
          </w:tcPr>
          <w:p w14:paraId="4221ED20">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kern w:val="0"/>
                <w:sz w:val="24"/>
                <w:szCs w:val="24"/>
              </w:rPr>
            </w:pPr>
          </w:p>
        </w:tc>
        <w:tc>
          <w:tcPr>
            <w:tcW w:w="1436" w:type="dxa"/>
            <w:noWrap w:val="0"/>
            <w:vAlign w:val="center"/>
          </w:tcPr>
          <w:p w14:paraId="408F7F49">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营业场所</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5分）</w:t>
            </w:r>
          </w:p>
        </w:tc>
        <w:tc>
          <w:tcPr>
            <w:tcW w:w="6706" w:type="dxa"/>
            <w:noWrap w:val="0"/>
            <w:vAlign w:val="center"/>
          </w:tcPr>
          <w:p w14:paraId="28A2C581">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投标人</w:t>
            </w:r>
            <w:r>
              <w:rPr>
                <w:rFonts w:hint="eastAsia" w:ascii="宋体" w:hAnsi="宋体" w:eastAsia="宋体" w:cs="宋体"/>
                <w:color w:val="auto"/>
                <w:sz w:val="24"/>
                <w:szCs w:val="24"/>
              </w:rPr>
              <w:t>有</w:t>
            </w:r>
            <w:r>
              <w:rPr>
                <w:rFonts w:hint="eastAsia" w:ascii="宋体" w:hAnsi="宋体" w:cs="宋体"/>
                <w:color w:val="auto"/>
                <w:sz w:val="24"/>
                <w:szCs w:val="24"/>
                <w:lang w:eastAsia="zh"/>
              </w:rPr>
              <w:t>批发或</w:t>
            </w:r>
            <w:r>
              <w:rPr>
                <w:rFonts w:hint="eastAsia" w:ascii="宋体" w:hAnsi="宋体" w:eastAsia="宋体" w:cs="宋体"/>
                <w:color w:val="auto"/>
                <w:sz w:val="24"/>
                <w:szCs w:val="24"/>
                <w:lang w:val="en-US" w:eastAsia="zh-CN"/>
              </w:rPr>
              <w:t>零售</w:t>
            </w:r>
            <w:r>
              <w:rPr>
                <w:rFonts w:hint="eastAsia" w:ascii="宋体" w:hAnsi="宋体" w:eastAsia="宋体" w:cs="宋体"/>
                <w:color w:val="auto"/>
                <w:sz w:val="24"/>
                <w:szCs w:val="24"/>
              </w:rPr>
              <w:t>场所</w:t>
            </w:r>
            <w:r>
              <w:rPr>
                <w:rFonts w:hint="eastAsia" w:ascii="宋体" w:hAnsi="宋体" w:eastAsia="宋体" w:cs="宋体"/>
                <w:color w:val="auto"/>
                <w:sz w:val="24"/>
                <w:szCs w:val="24"/>
                <w:lang w:val="en-US" w:eastAsia="zh-CN"/>
              </w:rPr>
              <w:t>的得分，</w:t>
            </w:r>
            <w:r>
              <w:rPr>
                <w:rFonts w:hint="eastAsia" w:ascii="宋体" w:hAnsi="宋体" w:eastAsia="宋体" w:cs="宋体"/>
                <w:color w:val="auto"/>
                <w:sz w:val="24"/>
                <w:szCs w:val="24"/>
                <w:lang w:eastAsia="zh-CN"/>
              </w:rPr>
              <w:t>满分</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eastAsia="zh-CN"/>
              </w:rPr>
              <w:t>分，</w:t>
            </w:r>
            <w:r>
              <w:rPr>
                <w:rFonts w:hint="eastAsia" w:ascii="宋体" w:hAnsi="宋体" w:eastAsia="宋体" w:cs="宋体"/>
                <w:color w:val="auto"/>
                <w:sz w:val="24"/>
                <w:szCs w:val="24"/>
                <w:lang w:val="en-US" w:eastAsia="zh-CN"/>
              </w:rPr>
              <w:t>没有</w:t>
            </w:r>
            <w:r>
              <w:rPr>
                <w:rFonts w:hint="eastAsia" w:ascii="宋体" w:hAnsi="宋体" w:cs="宋体"/>
                <w:color w:val="auto"/>
                <w:sz w:val="24"/>
                <w:szCs w:val="24"/>
                <w:lang w:val="en-US" w:eastAsia="zh"/>
              </w:rPr>
              <w:t>批发或</w:t>
            </w:r>
            <w:bookmarkStart w:id="0" w:name="_GoBack"/>
            <w:bookmarkEnd w:id="0"/>
            <w:r>
              <w:rPr>
                <w:rFonts w:hint="eastAsia" w:ascii="宋体" w:hAnsi="宋体" w:eastAsia="宋体" w:cs="宋体"/>
                <w:color w:val="auto"/>
                <w:sz w:val="24"/>
                <w:szCs w:val="24"/>
                <w:lang w:val="en-US" w:eastAsia="zh-CN"/>
              </w:rPr>
              <w:t>零售场所的</w:t>
            </w:r>
            <w:r>
              <w:rPr>
                <w:rFonts w:hint="eastAsia" w:ascii="宋体" w:hAnsi="宋体" w:eastAsia="宋体" w:cs="宋体"/>
                <w:color w:val="auto"/>
                <w:sz w:val="24"/>
                <w:szCs w:val="24"/>
                <w:lang w:eastAsia="zh-CN"/>
              </w:rPr>
              <w:t>不得分。</w:t>
            </w:r>
          </w:p>
        </w:tc>
      </w:tr>
      <w:tr w14:paraId="6A92F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1" w:hRule="atLeast"/>
        </w:trPr>
        <w:tc>
          <w:tcPr>
            <w:tcW w:w="870" w:type="dxa"/>
            <w:vMerge w:val="continue"/>
            <w:noWrap w:val="0"/>
            <w:vAlign w:val="center"/>
          </w:tcPr>
          <w:p w14:paraId="3B0899AD">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kern w:val="0"/>
                <w:sz w:val="24"/>
                <w:szCs w:val="24"/>
              </w:rPr>
            </w:pPr>
          </w:p>
        </w:tc>
        <w:tc>
          <w:tcPr>
            <w:tcW w:w="832" w:type="dxa"/>
            <w:vMerge w:val="continue"/>
            <w:noWrap w:val="0"/>
            <w:vAlign w:val="center"/>
          </w:tcPr>
          <w:p w14:paraId="7036244F">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kern w:val="0"/>
                <w:sz w:val="24"/>
                <w:szCs w:val="24"/>
              </w:rPr>
            </w:pPr>
          </w:p>
        </w:tc>
        <w:tc>
          <w:tcPr>
            <w:tcW w:w="1436" w:type="dxa"/>
            <w:noWrap w:val="0"/>
            <w:vAlign w:val="center"/>
          </w:tcPr>
          <w:p w14:paraId="35FF7A08">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sz w:val="24"/>
                <w:szCs w:val="24"/>
              </w:rPr>
            </w:pPr>
            <w:r>
              <w:rPr>
                <w:rFonts w:hint="eastAsia" w:ascii="宋体" w:hAnsi="宋体" w:eastAsia="宋体" w:cs="宋体"/>
                <w:sz w:val="24"/>
                <w:szCs w:val="24"/>
              </w:rPr>
              <w:t>配送方案及服务承诺（1</w:t>
            </w:r>
            <w:r>
              <w:rPr>
                <w:rFonts w:hint="eastAsia" w:ascii="宋体" w:hAnsi="宋体" w:eastAsia="宋体" w:cs="宋体"/>
                <w:sz w:val="24"/>
                <w:szCs w:val="24"/>
                <w:lang w:val="en-US" w:eastAsia="zh-CN"/>
              </w:rPr>
              <w:t>0</w:t>
            </w:r>
            <w:r>
              <w:rPr>
                <w:rFonts w:hint="eastAsia" w:ascii="宋体" w:hAnsi="宋体" w:eastAsia="宋体" w:cs="宋体"/>
                <w:sz w:val="24"/>
                <w:szCs w:val="24"/>
              </w:rPr>
              <w:t>分）</w:t>
            </w:r>
          </w:p>
        </w:tc>
        <w:tc>
          <w:tcPr>
            <w:tcW w:w="6706" w:type="dxa"/>
            <w:noWrap w:val="0"/>
            <w:vAlign w:val="center"/>
          </w:tcPr>
          <w:p w14:paraId="76C7C2FF">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sz w:val="24"/>
                <w:szCs w:val="24"/>
                <w:lang w:eastAsia="zh-CN"/>
              </w:rPr>
            </w:pPr>
            <w:r>
              <w:rPr>
                <w:rFonts w:hint="eastAsia" w:ascii="宋体" w:hAnsi="宋体" w:eastAsia="宋体" w:cs="宋体"/>
                <w:color w:val="auto"/>
                <w:sz w:val="24"/>
                <w:szCs w:val="24"/>
              </w:rPr>
              <w:t>拥有合理完善的配送方案，能够提供一站式服务</w:t>
            </w:r>
            <w:r>
              <w:rPr>
                <w:rFonts w:hint="eastAsia" w:ascii="宋体" w:hAnsi="宋体" w:cs="宋体"/>
                <w:color w:val="auto"/>
                <w:sz w:val="24"/>
                <w:szCs w:val="24"/>
                <w:lang w:eastAsia="zh"/>
              </w:rPr>
              <w:t>、</w:t>
            </w:r>
            <w:r>
              <w:rPr>
                <w:rFonts w:hint="eastAsia" w:ascii="宋体" w:hAnsi="宋体" w:eastAsia="宋体" w:cs="宋体"/>
                <w:color w:val="auto"/>
                <w:sz w:val="24"/>
                <w:szCs w:val="24"/>
              </w:rPr>
              <w:t>管控协调服务能力强</w:t>
            </w:r>
            <w:r>
              <w:rPr>
                <w:rFonts w:hint="eastAsia" w:ascii="宋体" w:hAnsi="宋体" w:cs="宋体"/>
                <w:color w:val="auto"/>
                <w:sz w:val="24"/>
                <w:szCs w:val="24"/>
                <w:lang w:eastAsia="zh"/>
              </w:rPr>
              <w:t>且随时可以响应服务的，</w:t>
            </w:r>
            <w:r>
              <w:rPr>
                <w:rFonts w:hint="eastAsia" w:ascii="宋体" w:hAnsi="宋体" w:eastAsia="宋体" w:cs="宋体"/>
                <w:color w:val="auto"/>
                <w:sz w:val="24"/>
                <w:szCs w:val="24"/>
              </w:rPr>
              <w:t>得10 分</w:t>
            </w:r>
            <w:r>
              <w:rPr>
                <w:rFonts w:hint="eastAsia" w:ascii="宋体" w:hAnsi="宋体" w:eastAsia="宋体" w:cs="宋体"/>
                <w:color w:val="auto"/>
                <w:sz w:val="24"/>
                <w:szCs w:val="24"/>
                <w:lang w:eastAsia="zh-CN"/>
              </w:rPr>
              <w:t>，每出现一处相对弱势或不合理减0.5 分，扣完为止，缺项不得分。</w:t>
            </w:r>
          </w:p>
        </w:tc>
      </w:tr>
      <w:tr w14:paraId="5774B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05" w:hRule="atLeast"/>
        </w:trPr>
        <w:tc>
          <w:tcPr>
            <w:tcW w:w="870" w:type="dxa"/>
            <w:vMerge w:val="continue"/>
            <w:noWrap w:val="0"/>
            <w:vAlign w:val="center"/>
          </w:tcPr>
          <w:p w14:paraId="4C038587">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kern w:val="0"/>
                <w:sz w:val="24"/>
                <w:szCs w:val="24"/>
              </w:rPr>
            </w:pPr>
          </w:p>
        </w:tc>
        <w:tc>
          <w:tcPr>
            <w:tcW w:w="832" w:type="dxa"/>
            <w:vMerge w:val="continue"/>
            <w:noWrap w:val="0"/>
            <w:vAlign w:val="center"/>
          </w:tcPr>
          <w:p w14:paraId="4B024E24">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kern w:val="0"/>
                <w:sz w:val="24"/>
                <w:szCs w:val="24"/>
              </w:rPr>
            </w:pPr>
          </w:p>
        </w:tc>
        <w:tc>
          <w:tcPr>
            <w:tcW w:w="1436" w:type="dxa"/>
            <w:noWrap w:val="0"/>
            <w:vAlign w:val="center"/>
          </w:tcPr>
          <w:p w14:paraId="6A3A8980">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应急保障措施</w:t>
            </w:r>
            <w:r>
              <w:rPr>
                <w:rFonts w:hint="eastAsia" w:ascii="宋体" w:hAnsi="宋体" w:eastAsia="宋体" w:cs="宋体"/>
                <w:color w:val="auto"/>
                <w:kern w:val="2"/>
                <w:sz w:val="24"/>
                <w:szCs w:val="24"/>
                <w:lang w:val="en-US" w:eastAsia="zh-CN" w:bidi="ar-SA"/>
              </w:rPr>
              <w:t>（6分）</w:t>
            </w:r>
          </w:p>
        </w:tc>
        <w:tc>
          <w:tcPr>
            <w:tcW w:w="6706" w:type="dxa"/>
            <w:noWrap w:val="0"/>
            <w:vAlign w:val="center"/>
          </w:tcPr>
          <w:p w14:paraId="5E50D309">
            <w:pPr>
              <w:keepNext w:val="0"/>
              <w:keepLines w:val="0"/>
              <w:widowControl/>
              <w:suppressLineNumbers w:val="0"/>
              <w:spacing w:before="145" w:beforeLines="50" w:beforeAutospacing="0" w:after="0" w:afterAutospacing="0" w:line="240" w:lineRule="auto"/>
              <w:ind w:left="0" w:right="0"/>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根据供应商提供针对本项目的服务响应时间及恶劣天气应急配送方案进行评价；服务响应时间迅速，恶劣天气应急配送方案完善可行的得</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分</w:t>
            </w:r>
            <w:r>
              <w:rPr>
                <w:rFonts w:hint="eastAsia" w:ascii="宋体" w:hAnsi="宋体" w:eastAsia="宋体" w:cs="宋体"/>
                <w:color w:val="auto"/>
                <w:sz w:val="24"/>
                <w:szCs w:val="24"/>
                <w:lang w:eastAsia="zh-CN"/>
              </w:rPr>
              <w:t>，每出现一处相对弱势或不合理减0.5 分，扣完为止，缺项不得分。</w:t>
            </w:r>
          </w:p>
        </w:tc>
      </w:tr>
      <w:tr w14:paraId="4FCB4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70" w:hRule="atLeast"/>
        </w:trPr>
        <w:tc>
          <w:tcPr>
            <w:tcW w:w="870" w:type="dxa"/>
            <w:vMerge w:val="continue"/>
            <w:noWrap w:val="0"/>
            <w:vAlign w:val="center"/>
          </w:tcPr>
          <w:p w14:paraId="511D65B7">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kern w:val="0"/>
                <w:sz w:val="24"/>
                <w:szCs w:val="24"/>
              </w:rPr>
            </w:pPr>
          </w:p>
        </w:tc>
        <w:tc>
          <w:tcPr>
            <w:tcW w:w="832" w:type="dxa"/>
            <w:vMerge w:val="continue"/>
            <w:noWrap w:val="0"/>
            <w:vAlign w:val="center"/>
          </w:tcPr>
          <w:p w14:paraId="2DD7DACA">
            <w:pPr>
              <w:keepNext w:val="0"/>
              <w:keepLines w:val="0"/>
              <w:widowControl/>
              <w:suppressLineNumbers w:val="0"/>
              <w:spacing w:before="145" w:beforeLines="50" w:beforeAutospacing="0" w:after="0" w:afterAutospacing="0" w:line="240" w:lineRule="auto"/>
              <w:ind w:left="0" w:right="0"/>
              <w:rPr>
                <w:rFonts w:hint="eastAsia" w:ascii="宋体" w:hAnsi="宋体" w:eastAsia="宋体" w:cs="宋体"/>
                <w:kern w:val="0"/>
                <w:sz w:val="24"/>
                <w:szCs w:val="24"/>
              </w:rPr>
            </w:pPr>
          </w:p>
        </w:tc>
        <w:tc>
          <w:tcPr>
            <w:tcW w:w="1436" w:type="dxa"/>
            <w:noWrap w:val="0"/>
            <w:vAlign w:val="center"/>
          </w:tcPr>
          <w:p w14:paraId="24BF90A4">
            <w:pPr>
              <w:keepNext w:val="0"/>
              <w:keepLines w:val="0"/>
              <w:widowControl/>
              <w:suppressLineNumbers w:val="0"/>
              <w:spacing w:before="145" w:beforeLines="50" w:beforeAutospacing="0" w:after="0" w:afterAutospacing="0" w:line="240"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其他合理化建议及优惠承诺（</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分）</w:t>
            </w:r>
          </w:p>
        </w:tc>
        <w:tc>
          <w:tcPr>
            <w:tcW w:w="6706" w:type="dxa"/>
            <w:noWrap w:val="0"/>
            <w:vAlign w:val="center"/>
          </w:tcPr>
          <w:p w14:paraId="4B91682F">
            <w:pPr>
              <w:keepNext w:val="0"/>
              <w:keepLines w:val="0"/>
              <w:widowControl/>
              <w:suppressLineNumbers w:val="0"/>
              <w:spacing w:before="145" w:beforeLines="50" w:beforeAutospacing="0" w:after="0" w:afterAutospacing="0" w:line="240"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每提供一条可行性建议、合理化建议及其优惠性承诺得</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 xml:space="preserve">分， 最高得 </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 xml:space="preserve">分。 </w:t>
            </w:r>
          </w:p>
        </w:tc>
      </w:tr>
    </w:tbl>
    <w:p w14:paraId="0DAB5A03">
      <w:pPr>
        <w:tabs>
          <w:tab w:val="center" w:pos="4860"/>
        </w:tabs>
        <w:spacing w:beforeAutospacing="0"/>
        <w:ind w:firstLine="360" w:firstLineChars="15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 xml:space="preserve">                                                </w:t>
      </w:r>
    </w:p>
    <w:p w14:paraId="26381B8B">
      <w:pPr>
        <w:tabs>
          <w:tab w:val="center" w:pos="4860"/>
        </w:tabs>
        <w:ind w:firstLine="6720" w:firstLineChars="28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 xml:space="preserve"> </w:t>
      </w:r>
    </w:p>
    <w:sectPr>
      <w:headerReference r:id="rId3" w:type="default"/>
      <w:footerReference r:id="rId4" w:type="default"/>
      <w:pgSz w:w="11906" w:h="16838"/>
      <w:pgMar w:top="680" w:right="964" w:bottom="227" w:left="964" w:header="851" w:footer="2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Tahoma">
    <w:altName w:val="Verdana"/>
    <w:panose1 w:val="020B0604030504040204"/>
    <w:charset w:val="00"/>
    <w:family w:val="swiss"/>
    <w:pitch w:val="default"/>
    <w:sig w:usb0="00000000" w:usb1="00000000" w:usb2="00000029" w:usb3="00000000" w:csb0="200101FF" w:csb1="2028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D73EA">
    <w:pPr>
      <w:pStyle w:val="14"/>
      <w:jc w:val="center"/>
    </w:pPr>
    <w:r>
      <w:fldChar w:fldCharType="begin"/>
    </w:r>
    <w:r>
      <w:rPr>
        <w:rStyle w:val="20"/>
      </w:rPr>
      <w:instrText xml:space="preserve"> PAGE </w:instrText>
    </w:r>
    <w:r>
      <w:fldChar w:fldCharType="separate"/>
    </w:r>
    <w:r>
      <w:rPr>
        <w:rStyle w:val="20"/>
      </w:rP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EBD33">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1B5FEF"/>
    <w:multiLevelType w:val="multilevel"/>
    <w:tmpl w:val="2F1B5FEF"/>
    <w:lvl w:ilvl="0" w:tentative="0">
      <w:start w:val="1"/>
      <w:numFmt w:val="decimal"/>
      <w:pStyle w:val="29"/>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wN2IxMzI0M2Y5ODliNDkwZTk3YmRlM2Q3MjhkMjAifQ=="/>
  </w:docVars>
  <w:rsids>
    <w:rsidRoot w:val="00172A27"/>
    <w:rsid w:val="00001AD9"/>
    <w:rsid w:val="0004054D"/>
    <w:rsid w:val="00045FE4"/>
    <w:rsid w:val="0006167F"/>
    <w:rsid w:val="00066915"/>
    <w:rsid w:val="00084EA7"/>
    <w:rsid w:val="001003ED"/>
    <w:rsid w:val="00104CF2"/>
    <w:rsid w:val="00112E01"/>
    <w:rsid w:val="00121042"/>
    <w:rsid w:val="0012241E"/>
    <w:rsid w:val="0013495A"/>
    <w:rsid w:val="001362D2"/>
    <w:rsid w:val="0014405D"/>
    <w:rsid w:val="00156F99"/>
    <w:rsid w:val="001810CA"/>
    <w:rsid w:val="0018526B"/>
    <w:rsid w:val="001878D9"/>
    <w:rsid w:val="00194DC6"/>
    <w:rsid w:val="001B3B47"/>
    <w:rsid w:val="002031E7"/>
    <w:rsid w:val="002134E8"/>
    <w:rsid w:val="00250F73"/>
    <w:rsid w:val="002571EC"/>
    <w:rsid w:val="002F02EB"/>
    <w:rsid w:val="00320DBB"/>
    <w:rsid w:val="00335C8B"/>
    <w:rsid w:val="0034121D"/>
    <w:rsid w:val="003621E7"/>
    <w:rsid w:val="00381040"/>
    <w:rsid w:val="003A0EE7"/>
    <w:rsid w:val="003B632A"/>
    <w:rsid w:val="003C434E"/>
    <w:rsid w:val="0040505F"/>
    <w:rsid w:val="004251A5"/>
    <w:rsid w:val="00432456"/>
    <w:rsid w:val="00437295"/>
    <w:rsid w:val="00437BC9"/>
    <w:rsid w:val="00442D37"/>
    <w:rsid w:val="00444FBD"/>
    <w:rsid w:val="00481283"/>
    <w:rsid w:val="0048756F"/>
    <w:rsid w:val="00494B8F"/>
    <w:rsid w:val="004B5FD5"/>
    <w:rsid w:val="004C06A2"/>
    <w:rsid w:val="004E2331"/>
    <w:rsid w:val="0054249D"/>
    <w:rsid w:val="005453CB"/>
    <w:rsid w:val="00552BB3"/>
    <w:rsid w:val="00573B42"/>
    <w:rsid w:val="00580A99"/>
    <w:rsid w:val="00584A3B"/>
    <w:rsid w:val="005E05B2"/>
    <w:rsid w:val="006002E8"/>
    <w:rsid w:val="0060073D"/>
    <w:rsid w:val="00624675"/>
    <w:rsid w:val="00631E8C"/>
    <w:rsid w:val="00661761"/>
    <w:rsid w:val="006B39F6"/>
    <w:rsid w:val="006D04A6"/>
    <w:rsid w:val="006D7243"/>
    <w:rsid w:val="006E07E5"/>
    <w:rsid w:val="006E323D"/>
    <w:rsid w:val="007304BE"/>
    <w:rsid w:val="00730FB6"/>
    <w:rsid w:val="007429F9"/>
    <w:rsid w:val="0075183B"/>
    <w:rsid w:val="00786D86"/>
    <w:rsid w:val="007B6EF9"/>
    <w:rsid w:val="007C75F7"/>
    <w:rsid w:val="007D2FC3"/>
    <w:rsid w:val="007F6A7A"/>
    <w:rsid w:val="00844519"/>
    <w:rsid w:val="00872C33"/>
    <w:rsid w:val="008A6748"/>
    <w:rsid w:val="008F0174"/>
    <w:rsid w:val="008F3F71"/>
    <w:rsid w:val="00903A1C"/>
    <w:rsid w:val="009256BA"/>
    <w:rsid w:val="0093045B"/>
    <w:rsid w:val="00932B7C"/>
    <w:rsid w:val="0094159C"/>
    <w:rsid w:val="009513F9"/>
    <w:rsid w:val="009535FD"/>
    <w:rsid w:val="009A2BC6"/>
    <w:rsid w:val="009A4872"/>
    <w:rsid w:val="009C67DD"/>
    <w:rsid w:val="009F1225"/>
    <w:rsid w:val="009F51AB"/>
    <w:rsid w:val="00A1261A"/>
    <w:rsid w:val="00A26FD1"/>
    <w:rsid w:val="00A37087"/>
    <w:rsid w:val="00A54EAD"/>
    <w:rsid w:val="00A62B56"/>
    <w:rsid w:val="00A7160F"/>
    <w:rsid w:val="00A8545E"/>
    <w:rsid w:val="00A95F0D"/>
    <w:rsid w:val="00AB6E45"/>
    <w:rsid w:val="00AD61C4"/>
    <w:rsid w:val="00AE1389"/>
    <w:rsid w:val="00AE658C"/>
    <w:rsid w:val="00B22468"/>
    <w:rsid w:val="00B55557"/>
    <w:rsid w:val="00B63F64"/>
    <w:rsid w:val="00B73757"/>
    <w:rsid w:val="00BA4F14"/>
    <w:rsid w:val="00BE6653"/>
    <w:rsid w:val="00C003F8"/>
    <w:rsid w:val="00C01A2F"/>
    <w:rsid w:val="00C01B0C"/>
    <w:rsid w:val="00C368FD"/>
    <w:rsid w:val="00C55FF3"/>
    <w:rsid w:val="00CB2286"/>
    <w:rsid w:val="00CB26AD"/>
    <w:rsid w:val="00CB4307"/>
    <w:rsid w:val="00CC4A94"/>
    <w:rsid w:val="00CE3412"/>
    <w:rsid w:val="00CE7D15"/>
    <w:rsid w:val="00CF7A0A"/>
    <w:rsid w:val="00D20945"/>
    <w:rsid w:val="00D227DB"/>
    <w:rsid w:val="00D45456"/>
    <w:rsid w:val="00D62002"/>
    <w:rsid w:val="00D66A12"/>
    <w:rsid w:val="00D93810"/>
    <w:rsid w:val="00DB3958"/>
    <w:rsid w:val="00DD1255"/>
    <w:rsid w:val="00DE6495"/>
    <w:rsid w:val="00E10D39"/>
    <w:rsid w:val="00E201E7"/>
    <w:rsid w:val="00E205FF"/>
    <w:rsid w:val="00E3039D"/>
    <w:rsid w:val="00E539CE"/>
    <w:rsid w:val="00EA2E7D"/>
    <w:rsid w:val="00EC792E"/>
    <w:rsid w:val="00F0798D"/>
    <w:rsid w:val="00F15392"/>
    <w:rsid w:val="00F213BB"/>
    <w:rsid w:val="00F2436C"/>
    <w:rsid w:val="00F36D5C"/>
    <w:rsid w:val="00F3771C"/>
    <w:rsid w:val="00F703B4"/>
    <w:rsid w:val="00F83487"/>
    <w:rsid w:val="00FA5ABE"/>
    <w:rsid w:val="00FC7FAD"/>
    <w:rsid w:val="00FE0B35"/>
    <w:rsid w:val="011624D8"/>
    <w:rsid w:val="01862A2F"/>
    <w:rsid w:val="0196749F"/>
    <w:rsid w:val="01BF29E7"/>
    <w:rsid w:val="023B6D15"/>
    <w:rsid w:val="02575469"/>
    <w:rsid w:val="02CB38D9"/>
    <w:rsid w:val="02E10D7E"/>
    <w:rsid w:val="03502865"/>
    <w:rsid w:val="04A820A3"/>
    <w:rsid w:val="04B30EA2"/>
    <w:rsid w:val="04D600E5"/>
    <w:rsid w:val="04D740F0"/>
    <w:rsid w:val="04E10CE3"/>
    <w:rsid w:val="055F6000"/>
    <w:rsid w:val="057523EE"/>
    <w:rsid w:val="05E80AF3"/>
    <w:rsid w:val="06CC3309"/>
    <w:rsid w:val="07271101"/>
    <w:rsid w:val="07912826"/>
    <w:rsid w:val="07A50A56"/>
    <w:rsid w:val="07F67DD6"/>
    <w:rsid w:val="083D2F57"/>
    <w:rsid w:val="08470C50"/>
    <w:rsid w:val="08B32996"/>
    <w:rsid w:val="08BD5E59"/>
    <w:rsid w:val="092161C7"/>
    <w:rsid w:val="09231099"/>
    <w:rsid w:val="094B08D0"/>
    <w:rsid w:val="09A27EAD"/>
    <w:rsid w:val="0ABE30AF"/>
    <w:rsid w:val="0B0108BB"/>
    <w:rsid w:val="0BD31DF6"/>
    <w:rsid w:val="0BF9352D"/>
    <w:rsid w:val="0C2D4F1B"/>
    <w:rsid w:val="0CE81D3C"/>
    <w:rsid w:val="0D336E17"/>
    <w:rsid w:val="0DC17DA0"/>
    <w:rsid w:val="0DD67DB9"/>
    <w:rsid w:val="0DFE5677"/>
    <w:rsid w:val="0E1B259D"/>
    <w:rsid w:val="0E58714E"/>
    <w:rsid w:val="0ED04A48"/>
    <w:rsid w:val="0F204B67"/>
    <w:rsid w:val="106355A7"/>
    <w:rsid w:val="10743EB7"/>
    <w:rsid w:val="10C6126A"/>
    <w:rsid w:val="10CD53B4"/>
    <w:rsid w:val="1162652C"/>
    <w:rsid w:val="116273C3"/>
    <w:rsid w:val="11AE571C"/>
    <w:rsid w:val="11EA6041"/>
    <w:rsid w:val="12111A83"/>
    <w:rsid w:val="12917C11"/>
    <w:rsid w:val="12B42FA9"/>
    <w:rsid w:val="130C602D"/>
    <w:rsid w:val="13212A8E"/>
    <w:rsid w:val="13260C43"/>
    <w:rsid w:val="13294AE3"/>
    <w:rsid w:val="135919A8"/>
    <w:rsid w:val="135E7488"/>
    <w:rsid w:val="139923ED"/>
    <w:rsid w:val="13F919F0"/>
    <w:rsid w:val="14014CA1"/>
    <w:rsid w:val="146B49D3"/>
    <w:rsid w:val="15FD2837"/>
    <w:rsid w:val="165108A4"/>
    <w:rsid w:val="16893F4C"/>
    <w:rsid w:val="16A64F88"/>
    <w:rsid w:val="16AC610C"/>
    <w:rsid w:val="174E6EB0"/>
    <w:rsid w:val="17720201"/>
    <w:rsid w:val="17760B55"/>
    <w:rsid w:val="17F43647"/>
    <w:rsid w:val="17F50C76"/>
    <w:rsid w:val="18694C8A"/>
    <w:rsid w:val="18766FFC"/>
    <w:rsid w:val="1892528E"/>
    <w:rsid w:val="18BD1DBF"/>
    <w:rsid w:val="1A773451"/>
    <w:rsid w:val="1A91166E"/>
    <w:rsid w:val="1B0D0CF9"/>
    <w:rsid w:val="1C011D87"/>
    <w:rsid w:val="1CA57E82"/>
    <w:rsid w:val="1D3416A2"/>
    <w:rsid w:val="1D7128A1"/>
    <w:rsid w:val="1E500B10"/>
    <w:rsid w:val="1EA05464"/>
    <w:rsid w:val="1EB7381D"/>
    <w:rsid w:val="1F1274AA"/>
    <w:rsid w:val="1F3D57FA"/>
    <w:rsid w:val="1FCC272B"/>
    <w:rsid w:val="1FE37AE5"/>
    <w:rsid w:val="200105FA"/>
    <w:rsid w:val="20287934"/>
    <w:rsid w:val="203557A9"/>
    <w:rsid w:val="20372467"/>
    <w:rsid w:val="203A6E7E"/>
    <w:rsid w:val="204869A8"/>
    <w:rsid w:val="204D7D98"/>
    <w:rsid w:val="2090770E"/>
    <w:rsid w:val="20D22698"/>
    <w:rsid w:val="210931D1"/>
    <w:rsid w:val="21545FD7"/>
    <w:rsid w:val="21815841"/>
    <w:rsid w:val="21CB1FA3"/>
    <w:rsid w:val="22AC5444"/>
    <w:rsid w:val="22B057B0"/>
    <w:rsid w:val="232E6D4C"/>
    <w:rsid w:val="23693A14"/>
    <w:rsid w:val="23EE6066"/>
    <w:rsid w:val="24225BED"/>
    <w:rsid w:val="24482D50"/>
    <w:rsid w:val="24743D0C"/>
    <w:rsid w:val="24743EDB"/>
    <w:rsid w:val="24943349"/>
    <w:rsid w:val="2563204E"/>
    <w:rsid w:val="25E27B03"/>
    <w:rsid w:val="25F0494F"/>
    <w:rsid w:val="266859AC"/>
    <w:rsid w:val="26687E81"/>
    <w:rsid w:val="26814B1F"/>
    <w:rsid w:val="26EF2C4B"/>
    <w:rsid w:val="276B050D"/>
    <w:rsid w:val="27D9026C"/>
    <w:rsid w:val="281D309D"/>
    <w:rsid w:val="287E4F92"/>
    <w:rsid w:val="289C3BE1"/>
    <w:rsid w:val="28A75D25"/>
    <w:rsid w:val="29322F10"/>
    <w:rsid w:val="29994957"/>
    <w:rsid w:val="29B80978"/>
    <w:rsid w:val="29DA3C88"/>
    <w:rsid w:val="2A5C60DE"/>
    <w:rsid w:val="2AA53105"/>
    <w:rsid w:val="2AB36170"/>
    <w:rsid w:val="2B4B4869"/>
    <w:rsid w:val="2B5457BF"/>
    <w:rsid w:val="2BAB516D"/>
    <w:rsid w:val="2C2665B7"/>
    <w:rsid w:val="2D0A4F50"/>
    <w:rsid w:val="2D382DD3"/>
    <w:rsid w:val="2D703021"/>
    <w:rsid w:val="2DAB2B1F"/>
    <w:rsid w:val="2DEE286A"/>
    <w:rsid w:val="2E7750DD"/>
    <w:rsid w:val="2E940D32"/>
    <w:rsid w:val="2EAE01F8"/>
    <w:rsid w:val="2ED43107"/>
    <w:rsid w:val="2EE0445C"/>
    <w:rsid w:val="2F145DD8"/>
    <w:rsid w:val="2F515399"/>
    <w:rsid w:val="2F785573"/>
    <w:rsid w:val="2FC636B2"/>
    <w:rsid w:val="2FD1742E"/>
    <w:rsid w:val="2FEB06BE"/>
    <w:rsid w:val="302151D8"/>
    <w:rsid w:val="30325E30"/>
    <w:rsid w:val="30CE0C76"/>
    <w:rsid w:val="32431727"/>
    <w:rsid w:val="327002EE"/>
    <w:rsid w:val="332C29BE"/>
    <w:rsid w:val="33BA0FEC"/>
    <w:rsid w:val="33BC0BA3"/>
    <w:rsid w:val="33BE479D"/>
    <w:rsid w:val="33C65A3F"/>
    <w:rsid w:val="33C808EE"/>
    <w:rsid w:val="33D77AF1"/>
    <w:rsid w:val="33DD2F7F"/>
    <w:rsid w:val="345D066F"/>
    <w:rsid w:val="346122A6"/>
    <w:rsid w:val="34A2480B"/>
    <w:rsid w:val="34D85015"/>
    <w:rsid w:val="35A47862"/>
    <w:rsid w:val="35F34FDD"/>
    <w:rsid w:val="35F60EB6"/>
    <w:rsid w:val="36084A0E"/>
    <w:rsid w:val="36263AEB"/>
    <w:rsid w:val="362E4490"/>
    <w:rsid w:val="364D1690"/>
    <w:rsid w:val="366820F8"/>
    <w:rsid w:val="368F63B2"/>
    <w:rsid w:val="369764DD"/>
    <w:rsid w:val="369A3D30"/>
    <w:rsid w:val="36C4005F"/>
    <w:rsid w:val="36DB1ADA"/>
    <w:rsid w:val="37105298"/>
    <w:rsid w:val="371B6AAF"/>
    <w:rsid w:val="37293CB1"/>
    <w:rsid w:val="373E1E7E"/>
    <w:rsid w:val="37EB69CA"/>
    <w:rsid w:val="3814683A"/>
    <w:rsid w:val="38A32EC5"/>
    <w:rsid w:val="38CD4AA1"/>
    <w:rsid w:val="38E41D27"/>
    <w:rsid w:val="39D769F6"/>
    <w:rsid w:val="39E22A6F"/>
    <w:rsid w:val="3A8770F8"/>
    <w:rsid w:val="3AB27E12"/>
    <w:rsid w:val="3ADA3416"/>
    <w:rsid w:val="3B183416"/>
    <w:rsid w:val="3B757F15"/>
    <w:rsid w:val="3B871FF9"/>
    <w:rsid w:val="3C070EBC"/>
    <w:rsid w:val="3C447E96"/>
    <w:rsid w:val="3CD45D26"/>
    <w:rsid w:val="3D147402"/>
    <w:rsid w:val="3D500601"/>
    <w:rsid w:val="3D716616"/>
    <w:rsid w:val="3E0E4BB3"/>
    <w:rsid w:val="3E1426CC"/>
    <w:rsid w:val="3E32783E"/>
    <w:rsid w:val="3E6465EC"/>
    <w:rsid w:val="3EBF4AC4"/>
    <w:rsid w:val="3ED97C14"/>
    <w:rsid w:val="3F0275E4"/>
    <w:rsid w:val="3F5900B0"/>
    <w:rsid w:val="3F8D0EE8"/>
    <w:rsid w:val="3F993E16"/>
    <w:rsid w:val="3F9E7A72"/>
    <w:rsid w:val="3FCE72D0"/>
    <w:rsid w:val="3FE247B3"/>
    <w:rsid w:val="3FFB4670"/>
    <w:rsid w:val="401C79DA"/>
    <w:rsid w:val="403D0889"/>
    <w:rsid w:val="40694DA9"/>
    <w:rsid w:val="414F0814"/>
    <w:rsid w:val="422B192E"/>
    <w:rsid w:val="430B7913"/>
    <w:rsid w:val="432D70D8"/>
    <w:rsid w:val="432E1A5C"/>
    <w:rsid w:val="435C50A7"/>
    <w:rsid w:val="441C3F7D"/>
    <w:rsid w:val="44233F7D"/>
    <w:rsid w:val="44A11813"/>
    <w:rsid w:val="44B16CE7"/>
    <w:rsid w:val="44D36F9F"/>
    <w:rsid w:val="4534084A"/>
    <w:rsid w:val="453F003A"/>
    <w:rsid w:val="467C3539"/>
    <w:rsid w:val="46FA1939"/>
    <w:rsid w:val="470373E7"/>
    <w:rsid w:val="471229C8"/>
    <w:rsid w:val="47163D7C"/>
    <w:rsid w:val="472C3E09"/>
    <w:rsid w:val="47307475"/>
    <w:rsid w:val="47BD58F3"/>
    <w:rsid w:val="491E5333"/>
    <w:rsid w:val="499F53F5"/>
    <w:rsid w:val="4A0940A5"/>
    <w:rsid w:val="4A236C8A"/>
    <w:rsid w:val="4A664A1C"/>
    <w:rsid w:val="4A871127"/>
    <w:rsid w:val="4A906E3C"/>
    <w:rsid w:val="4AB973DD"/>
    <w:rsid w:val="4B0E27FB"/>
    <w:rsid w:val="4B5C308E"/>
    <w:rsid w:val="4BA1799E"/>
    <w:rsid w:val="4BE961F0"/>
    <w:rsid w:val="4BF502D3"/>
    <w:rsid w:val="4C22272E"/>
    <w:rsid w:val="4C5B7215"/>
    <w:rsid w:val="4CD6627D"/>
    <w:rsid w:val="4CE71239"/>
    <w:rsid w:val="4D0A29E9"/>
    <w:rsid w:val="4D5E4CFE"/>
    <w:rsid w:val="4E20379E"/>
    <w:rsid w:val="4EAB5F00"/>
    <w:rsid w:val="4F166876"/>
    <w:rsid w:val="4F49557C"/>
    <w:rsid w:val="4F6C1739"/>
    <w:rsid w:val="4FBD0D02"/>
    <w:rsid w:val="4FC41F25"/>
    <w:rsid w:val="504B69FB"/>
    <w:rsid w:val="51844103"/>
    <w:rsid w:val="51F7261C"/>
    <w:rsid w:val="51F9726D"/>
    <w:rsid w:val="52213DC1"/>
    <w:rsid w:val="525D645D"/>
    <w:rsid w:val="52DD3B2D"/>
    <w:rsid w:val="52FB571B"/>
    <w:rsid w:val="53132BF4"/>
    <w:rsid w:val="53726A50"/>
    <w:rsid w:val="53C63529"/>
    <w:rsid w:val="53F31FC5"/>
    <w:rsid w:val="55935C72"/>
    <w:rsid w:val="55CC1EE3"/>
    <w:rsid w:val="55E97963"/>
    <w:rsid w:val="55FE6861"/>
    <w:rsid w:val="56AB0D99"/>
    <w:rsid w:val="57ED1BD1"/>
    <w:rsid w:val="57FA767A"/>
    <w:rsid w:val="58B62E4A"/>
    <w:rsid w:val="58C34FB6"/>
    <w:rsid w:val="591A66DB"/>
    <w:rsid w:val="59B0347E"/>
    <w:rsid w:val="59BF2359"/>
    <w:rsid w:val="5AAC3846"/>
    <w:rsid w:val="5AD81142"/>
    <w:rsid w:val="5B79398A"/>
    <w:rsid w:val="5BC45865"/>
    <w:rsid w:val="5BE140C2"/>
    <w:rsid w:val="5C1858EA"/>
    <w:rsid w:val="5C1C6445"/>
    <w:rsid w:val="5DE428E5"/>
    <w:rsid w:val="5E3C4EA4"/>
    <w:rsid w:val="5EAE46B6"/>
    <w:rsid w:val="5EAF73A1"/>
    <w:rsid w:val="5EB07F5F"/>
    <w:rsid w:val="5EDA771B"/>
    <w:rsid w:val="5F243DCF"/>
    <w:rsid w:val="5F5D57A9"/>
    <w:rsid w:val="5F646B5D"/>
    <w:rsid w:val="5F960B82"/>
    <w:rsid w:val="5F9C3975"/>
    <w:rsid w:val="5FAA2501"/>
    <w:rsid w:val="5FD81CED"/>
    <w:rsid w:val="5FD83FBF"/>
    <w:rsid w:val="602362C5"/>
    <w:rsid w:val="60433DF0"/>
    <w:rsid w:val="60590A76"/>
    <w:rsid w:val="608760BA"/>
    <w:rsid w:val="60896333"/>
    <w:rsid w:val="60AC615C"/>
    <w:rsid w:val="60B16F8F"/>
    <w:rsid w:val="60C204BF"/>
    <w:rsid w:val="60DB7FBF"/>
    <w:rsid w:val="60E07891"/>
    <w:rsid w:val="613B7963"/>
    <w:rsid w:val="613C7AE5"/>
    <w:rsid w:val="615570D2"/>
    <w:rsid w:val="616D2F85"/>
    <w:rsid w:val="621E4E92"/>
    <w:rsid w:val="624202CC"/>
    <w:rsid w:val="625A139F"/>
    <w:rsid w:val="62B3536F"/>
    <w:rsid w:val="62F330CE"/>
    <w:rsid w:val="63BD280C"/>
    <w:rsid w:val="63CE60C7"/>
    <w:rsid w:val="645E0180"/>
    <w:rsid w:val="64A70DF2"/>
    <w:rsid w:val="64E173EE"/>
    <w:rsid w:val="653F3DF4"/>
    <w:rsid w:val="65A90F33"/>
    <w:rsid w:val="660A297F"/>
    <w:rsid w:val="66240220"/>
    <w:rsid w:val="66C95227"/>
    <w:rsid w:val="66D341B9"/>
    <w:rsid w:val="66E52A16"/>
    <w:rsid w:val="67537015"/>
    <w:rsid w:val="6766133E"/>
    <w:rsid w:val="67CD0D76"/>
    <w:rsid w:val="686C4976"/>
    <w:rsid w:val="68A840B0"/>
    <w:rsid w:val="6926670F"/>
    <w:rsid w:val="694A662C"/>
    <w:rsid w:val="69BB578B"/>
    <w:rsid w:val="69F0585C"/>
    <w:rsid w:val="6A06637F"/>
    <w:rsid w:val="6AB07CB6"/>
    <w:rsid w:val="6C2B3319"/>
    <w:rsid w:val="6C934962"/>
    <w:rsid w:val="6CB2716D"/>
    <w:rsid w:val="6D3B47CD"/>
    <w:rsid w:val="6D4F658D"/>
    <w:rsid w:val="6D947773"/>
    <w:rsid w:val="6DE91B4A"/>
    <w:rsid w:val="6E77012F"/>
    <w:rsid w:val="6E7D6085"/>
    <w:rsid w:val="6F0F02C3"/>
    <w:rsid w:val="6F425B6E"/>
    <w:rsid w:val="6F8C4879"/>
    <w:rsid w:val="6FE35F76"/>
    <w:rsid w:val="6FF9271D"/>
    <w:rsid w:val="703F2F45"/>
    <w:rsid w:val="70597A61"/>
    <w:rsid w:val="718B63EB"/>
    <w:rsid w:val="71E33685"/>
    <w:rsid w:val="72983CB1"/>
    <w:rsid w:val="72AB009F"/>
    <w:rsid w:val="72B70845"/>
    <w:rsid w:val="734C585F"/>
    <w:rsid w:val="73D9180B"/>
    <w:rsid w:val="74574BF8"/>
    <w:rsid w:val="753E7D97"/>
    <w:rsid w:val="758773B9"/>
    <w:rsid w:val="761C7E75"/>
    <w:rsid w:val="766F39C4"/>
    <w:rsid w:val="768074CB"/>
    <w:rsid w:val="76CB6220"/>
    <w:rsid w:val="76F773B6"/>
    <w:rsid w:val="7714695F"/>
    <w:rsid w:val="77635693"/>
    <w:rsid w:val="77C97CA0"/>
    <w:rsid w:val="782B7C0F"/>
    <w:rsid w:val="783B2818"/>
    <w:rsid w:val="78732C8D"/>
    <w:rsid w:val="79797D1E"/>
    <w:rsid w:val="79961FBA"/>
    <w:rsid w:val="7A697177"/>
    <w:rsid w:val="7A8B4EA9"/>
    <w:rsid w:val="7A962BFC"/>
    <w:rsid w:val="7A9C1E1C"/>
    <w:rsid w:val="7ACC0B47"/>
    <w:rsid w:val="7AE069B4"/>
    <w:rsid w:val="7B533850"/>
    <w:rsid w:val="7B96617E"/>
    <w:rsid w:val="7BB01D49"/>
    <w:rsid w:val="7BFD5305"/>
    <w:rsid w:val="7CFF0ECA"/>
    <w:rsid w:val="7D3B25C7"/>
    <w:rsid w:val="7D414F26"/>
    <w:rsid w:val="7D8F2D9E"/>
    <w:rsid w:val="7E134735"/>
    <w:rsid w:val="7E505BFE"/>
    <w:rsid w:val="7EA62ED4"/>
    <w:rsid w:val="7EB748BC"/>
    <w:rsid w:val="7F280929"/>
    <w:rsid w:val="7F404865"/>
    <w:rsid w:val="7F4D1B15"/>
    <w:rsid w:val="EEE3FD96"/>
    <w:rsid w:val="F3B3A377"/>
    <w:rsid w:val="FB5A34C8"/>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spacing w:before="260" w:beforeLines="0" w:after="260" w:afterLines="0" w:line="416" w:lineRule="auto"/>
      <w:outlineLvl w:val="2"/>
    </w:pPr>
    <w:rPr>
      <w:b/>
      <w:bCs/>
      <w:sz w:val="32"/>
      <w:szCs w:val="32"/>
    </w:rPr>
  </w:style>
  <w:style w:type="character" w:default="1" w:styleId="19">
    <w:name w:val="Default Paragraph Font"/>
    <w:semiHidden/>
    <w:qFormat/>
    <w:uiPriority w:val="0"/>
    <w:rPr>
      <w:sz w:val="24"/>
    </w:rPr>
  </w:style>
  <w:style w:type="table" w:default="1" w:styleId="18">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Arial" w:hAnsi="Arial" w:eastAsia="宋体" w:cs="Times New Roman"/>
      <w:sz w:val="24"/>
    </w:rPr>
  </w:style>
  <w:style w:type="paragraph" w:styleId="4">
    <w:name w:val="List 3"/>
    <w:basedOn w:val="1"/>
    <w:qFormat/>
    <w:uiPriority w:val="0"/>
    <w:pPr>
      <w:ind w:left="100" w:leftChars="400" w:hanging="200" w:hangingChars="200"/>
    </w:pPr>
  </w:style>
  <w:style w:type="paragraph" w:styleId="5">
    <w:name w:val="Normal Indent"/>
    <w:basedOn w:val="1"/>
    <w:qFormat/>
    <w:uiPriority w:val="0"/>
    <w:pPr>
      <w:ind w:firstLine="420" w:firstLineChars="200"/>
    </w:pPr>
  </w:style>
  <w:style w:type="paragraph" w:styleId="6">
    <w:name w:val="Document Map"/>
    <w:basedOn w:val="1"/>
    <w:semiHidden/>
    <w:qFormat/>
    <w:uiPriority w:val="0"/>
    <w:pPr>
      <w:shd w:val="clear" w:color="auto" w:fill="000080"/>
    </w:pPr>
  </w:style>
  <w:style w:type="paragraph" w:styleId="7">
    <w:name w:val="annotation text"/>
    <w:basedOn w:val="1"/>
    <w:semiHidden/>
    <w:qFormat/>
    <w:uiPriority w:val="0"/>
    <w:pPr>
      <w:jc w:val="left"/>
    </w:pPr>
    <w:rPr>
      <w:kern w:val="0"/>
      <w:szCs w:val="20"/>
    </w:rPr>
  </w:style>
  <w:style w:type="paragraph" w:styleId="8">
    <w:name w:val="Body Text"/>
    <w:basedOn w:val="1"/>
    <w:next w:val="1"/>
    <w:qFormat/>
    <w:uiPriority w:val="0"/>
    <w:pPr>
      <w:jc w:val="center"/>
    </w:pPr>
    <w:rPr>
      <w:b/>
      <w:bCs/>
      <w:sz w:val="32"/>
    </w:rPr>
  </w:style>
  <w:style w:type="paragraph" w:styleId="9">
    <w:name w:val="Body Text Indent"/>
    <w:basedOn w:val="1"/>
    <w:qFormat/>
    <w:uiPriority w:val="0"/>
    <w:pPr>
      <w:tabs>
        <w:tab w:val="left" w:pos="9708"/>
      </w:tabs>
      <w:spacing w:line="400" w:lineRule="exact"/>
      <w:ind w:left="1401" w:leftChars="-85" w:hanging="1579" w:hangingChars="564"/>
    </w:pPr>
    <w:rPr>
      <w:rFonts w:ascii="宋体" w:hAnsi="宋体"/>
      <w:sz w:val="28"/>
    </w:rPr>
  </w:style>
  <w:style w:type="paragraph" w:styleId="10">
    <w:name w:val="List 2"/>
    <w:basedOn w:val="1"/>
    <w:qFormat/>
    <w:uiPriority w:val="0"/>
    <w:pPr>
      <w:ind w:left="100" w:leftChars="200" w:hanging="200" w:hangingChars="200"/>
    </w:pPr>
  </w:style>
  <w:style w:type="paragraph" w:styleId="11">
    <w:name w:val="index 4"/>
    <w:basedOn w:val="1"/>
    <w:next w:val="1"/>
    <w:unhideWhenUsed/>
    <w:qFormat/>
    <w:uiPriority w:val="99"/>
    <w:pPr>
      <w:ind w:left="34" w:leftChars="16"/>
      <w:jc w:val="center"/>
    </w:pPr>
    <w:rPr>
      <w:sz w:val="32"/>
      <w:szCs w:val="32"/>
    </w:rPr>
  </w:style>
  <w:style w:type="paragraph" w:styleId="12">
    <w:name w:val="Plain Text"/>
    <w:basedOn w:val="1"/>
    <w:qFormat/>
    <w:uiPriority w:val="0"/>
    <w:rPr>
      <w:rFonts w:ascii="Courier New" w:hAnsi="Courier New"/>
      <w:szCs w:val="20"/>
    </w:rPr>
  </w:style>
  <w:style w:type="paragraph" w:styleId="13">
    <w:name w:val="Balloon Text"/>
    <w:basedOn w:val="1"/>
    <w:semiHidden/>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next w:val="8"/>
    <w:qFormat/>
    <w:uiPriority w:val="0"/>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after="120" w:line="480" w:lineRule="auto"/>
    </w:pPr>
  </w:style>
  <w:style w:type="paragraph" w:styleId="17">
    <w:name w:val="Normal (Web)"/>
    <w:basedOn w:val="1"/>
    <w:uiPriority w:val="0"/>
    <w:rPr>
      <w:sz w:val="24"/>
    </w:rPr>
  </w:style>
  <w:style w:type="character" w:styleId="20">
    <w:name w:val="page number"/>
    <w:basedOn w:val="19"/>
    <w:uiPriority w:val="0"/>
  </w:style>
  <w:style w:type="character" w:styleId="21">
    <w:name w:val="line number"/>
    <w:basedOn w:val="19"/>
    <w:uiPriority w:val="0"/>
  </w:style>
  <w:style w:type="paragraph" w:customStyle="1" w:styleId="22">
    <w:name w:val="样式9 Char"/>
    <w:basedOn w:val="1"/>
    <w:link w:val="34"/>
    <w:uiPriority w:val="0"/>
    <w:pPr>
      <w:widowControl/>
      <w:spacing w:line="440" w:lineRule="exact"/>
      <w:ind w:firstLine="200" w:firstLineChars="200"/>
      <w:jc w:val="left"/>
    </w:pPr>
    <w:rPr>
      <w:spacing w:val="6"/>
      <w:kern w:val="0"/>
      <w:sz w:val="24"/>
      <w:szCs w:val="20"/>
    </w:rPr>
  </w:style>
  <w:style w:type="paragraph" w:customStyle="1" w:styleId="23">
    <w:name w:val="默认段落字体 Para Char Char Char Char"/>
    <w:basedOn w:val="1"/>
    <w:uiPriority w:val="0"/>
  </w:style>
  <w:style w:type="paragraph" w:customStyle="1" w:styleId="24">
    <w:name w:val=" Char Char Char Char"/>
    <w:basedOn w:val="6"/>
    <w:uiPriority w:val="0"/>
    <w:rPr>
      <w:rFonts w:ascii="Tahoma" w:hAnsi="Tahoma"/>
      <w:sz w:val="24"/>
    </w:rPr>
  </w:style>
  <w:style w:type="paragraph" w:customStyle="1" w:styleId="25">
    <w:name w:val="标书正文1"/>
    <w:basedOn w:val="1"/>
    <w:uiPriority w:val="0"/>
    <w:pPr>
      <w:ind w:left="-85" w:firstLine="560" w:firstLineChars="200"/>
    </w:pPr>
    <w:rPr>
      <w:rFonts w:ascii="仿宋_GB2312" w:hAnsi="宋体" w:eastAsia="仿宋_GB2312"/>
      <w:sz w:val="28"/>
      <w:szCs w:val="28"/>
    </w:rPr>
  </w:style>
  <w:style w:type="paragraph" w:customStyle="1" w:styleId="26">
    <w:name w:val="0"/>
    <w:basedOn w:val="1"/>
    <w:uiPriority w:val="0"/>
    <w:pPr>
      <w:widowControl/>
      <w:snapToGrid w:val="0"/>
      <w:spacing w:line="365" w:lineRule="atLeast"/>
      <w:ind w:left="1"/>
      <w:textAlignment w:val="bottom"/>
    </w:pPr>
    <w:rPr>
      <w:kern w:val="0"/>
      <w:sz w:val="20"/>
      <w:szCs w:val="20"/>
    </w:rPr>
  </w:style>
  <w:style w:type="paragraph" w:customStyle="1" w:styleId="27">
    <w:name w:val=" Char Char"/>
    <w:basedOn w:val="1"/>
    <w:uiPriority w:val="0"/>
  </w:style>
  <w:style w:type="paragraph" w:styleId="28">
    <w:name w:val="List Paragraph"/>
    <w:basedOn w:val="1"/>
    <w:qFormat/>
    <w:uiPriority w:val="34"/>
    <w:pPr>
      <w:widowControl/>
      <w:ind w:firstLine="420" w:firstLineChars="200"/>
      <w:jc w:val="left"/>
    </w:pPr>
    <w:rPr>
      <w:rFonts w:ascii="宋体" w:hAnsi="宋体" w:cs="宋体"/>
      <w:kern w:val="0"/>
      <w:sz w:val="24"/>
    </w:rPr>
  </w:style>
  <w:style w:type="paragraph" w:customStyle="1" w:styleId="29">
    <w:name w:val=" Char"/>
    <w:basedOn w:val="1"/>
    <w:uiPriority w:val="0"/>
    <w:pPr>
      <w:numPr>
        <w:ilvl w:val="0"/>
        <w:numId w:val="1"/>
      </w:numPr>
    </w:pPr>
    <w:rPr>
      <w:sz w:val="24"/>
    </w:rPr>
  </w:style>
  <w:style w:type="paragraph" w:customStyle="1" w:styleId="30">
    <w:name w:val="p0"/>
    <w:basedOn w:val="1"/>
    <w:uiPriority w:val="0"/>
    <w:pPr>
      <w:widowControl/>
    </w:pPr>
    <w:rPr>
      <w:kern w:val="0"/>
      <w:szCs w:val="21"/>
    </w:rPr>
  </w:style>
  <w:style w:type="paragraph" w:customStyle="1" w:styleId="31">
    <w:name w:val="Char Char"/>
    <w:basedOn w:val="1"/>
    <w:uiPriority w:val="0"/>
    <w:pPr>
      <w:widowControl/>
      <w:spacing w:after="160" w:afterLines="0" w:line="240" w:lineRule="exact"/>
      <w:jc w:val="left"/>
    </w:pPr>
    <w:rPr>
      <w:rFonts w:ascii="Verdana" w:hAnsi="Verdana" w:eastAsia="仿宋_GB2312"/>
      <w:kern w:val="0"/>
      <w:sz w:val="24"/>
      <w:szCs w:val="20"/>
      <w:lang w:eastAsia="en-US"/>
    </w:rPr>
  </w:style>
  <w:style w:type="paragraph" w:customStyle="1" w:styleId="32">
    <w:name w:val="正文_0_0_0"/>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列出段落1"/>
    <w:basedOn w:val="1"/>
    <w:next w:val="1"/>
    <w:qFormat/>
    <w:uiPriority w:val="0"/>
    <w:pPr>
      <w:widowControl/>
      <w:ind w:firstLine="420" w:firstLineChars="200"/>
      <w:jc w:val="left"/>
    </w:pPr>
    <w:rPr>
      <w:rFonts w:ascii="宋体" w:hAnsi="宋体" w:cs="宋体"/>
      <w:kern w:val="0"/>
      <w:sz w:val="24"/>
      <w:szCs w:val="22"/>
    </w:rPr>
  </w:style>
  <w:style w:type="character" w:customStyle="1" w:styleId="34">
    <w:name w:val="样式9 Char Char"/>
    <w:link w:val="22"/>
    <w:uiPriority w:val="0"/>
    <w:rPr>
      <w:rFonts w:eastAsia="宋体"/>
      <w:spacing w:val="6"/>
      <w:sz w:val="24"/>
      <w:lang w:val="en-US" w:eastAsia="zh-CN" w:bidi="ar-SA"/>
    </w:rPr>
  </w:style>
  <w:style w:type="character" w:customStyle="1" w:styleId="35">
    <w:name w:val="font11"/>
    <w:qFormat/>
    <w:uiPriority w:val="0"/>
    <w:rPr>
      <w:rFonts w:hint="eastAsia" w:ascii="宋体" w:hAnsi="宋体" w:eastAsia="宋体" w:cs="宋体"/>
      <w:color w:val="000000"/>
      <w:kern w:val="0"/>
      <w:sz w:val="21"/>
      <w:szCs w:val="21"/>
      <w:u w:val="none"/>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2014</Words>
  <Characters>2070</Characters>
  <Lines>17</Lines>
  <Paragraphs>5</Paragraphs>
  <TotalTime>3</TotalTime>
  <ScaleCrop>false</ScaleCrop>
  <LinksUpToDate>false</LinksUpToDate>
  <CharactersWithSpaces>2210</CharactersWithSpaces>
  <Application>WPS Office WWO_wpscloud_20250424194432-d21c6c7b9b</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2004-01-13T13:43:00Z</dcterms:created>
  <dc:creator>mxl</dc:creator>
  <cp:lastModifiedBy>webword_2563646674</cp:lastModifiedBy>
  <cp:lastPrinted>2024-08-30T10:39:00Z</cp:lastPrinted>
  <dcterms:modified xsi:type="dcterms:W3CDTF">2026-04-17T15:03:59Z</dcterms:modified>
  <dc:title>关于兖矿联工发化工有限公司新型气化炉项目评标报告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FD7187E411F539725FDBE1696CB46EFC_43</vt:lpwstr>
  </property>
  <property fmtid="{D5CDD505-2E9C-101B-9397-08002B2CF9AE}" pid="4" name="KSOTemplateDocerSaveRecord">
    <vt:lpwstr>eyJoZGlkIjoiYmExNzA5MDBhOGNjZjdmNGM4YTA2NDJhZWRhYzA3ZmYiLCJ1c2VySWQiOiIxMTIwNjgxMTE1In0=</vt:lpwstr>
  </property>
</Properties>
</file>