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ind w:firstLine="720" w:firstLineChars="200"/>
        <w:jc w:val="center"/>
        <w:rPr>
          <w:rFonts w:ascii="方正小标宋简体" w:hAnsi="仿宋" w:eastAsia="方正小标宋简体"/>
          <w:b/>
          <w:sz w:val="36"/>
          <w:szCs w:val="36"/>
        </w:rPr>
      </w:pPr>
      <w:bookmarkStart w:id="0" w:name="OLE_LINK6"/>
      <w:bookmarkStart w:id="1" w:name="OLE_LINK3"/>
      <w:bookmarkStart w:id="2" w:name="OLE_LINK1"/>
      <w:bookmarkStart w:id="3" w:name="OLE_LINK4"/>
      <w:bookmarkStart w:id="4" w:name="OLE_LINK5"/>
      <w:bookmarkStart w:id="5" w:name="OLE_LINK2"/>
    </w:p>
    <w:p>
      <w:pPr>
        <w:adjustRightInd w:val="0"/>
        <w:snapToGrid w:val="0"/>
        <w:spacing w:line="360" w:lineRule="auto"/>
        <w:ind w:firstLine="0" w:firstLineChars="0"/>
        <w:jc w:val="center"/>
        <w:rPr>
          <w:rFonts w:ascii="方正小标宋简体" w:hAnsi="仿宋" w:eastAsia="方正小标宋简体"/>
          <w:b/>
          <w:sz w:val="36"/>
          <w:szCs w:val="36"/>
        </w:rPr>
      </w:pPr>
      <w:r>
        <w:rPr>
          <w:rFonts w:hint="eastAsia" w:ascii="方正小标宋简体" w:hAnsi="仿宋" w:eastAsia="方正小标宋简体"/>
          <w:b/>
          <w:sz w:val="36"/>
          <w:szCs w:val="36"/>
        </w:rPr>
        <w:t>关于</w:t>
      </w:r>
      <w:r>
        <w:rPr>
          <w:rFonts w:hint="eastAsia" w:ascii="方正小标宋简体" w:hAnsi="仿宋" w:eastAsia="方正小标宋简体" w:cstheme="minorBidi"/>
          <w:b/>
          <w:bCs w:val="0"/>
          <w:kern w:val="2"/>
          <w:sz w:val="36"/>
          <w:szCs w:val="36"/>
          <w:u w:val="none"/>
        </w:rPr>
        <w:t>人保财险红河州分公司融资性信用保证险诉讼追偿信息调查服务项目采购</w:t>
      </w:r>
      <w:r>
        <w:rPr>
          <w:rFonts w:hint="eastAsia" w:ascii="方正小标宋简体" w:hAnsi="仿宋" w:eastAsia="方正小标宋简体"/>
          <w:b/>
          <w:sz w:val="36"/>
          <w:szCs w:val="36"/>
        </w:rPr>
        <w:t>拟采用单一来源方式采购的公示</w:t>
      </w:r>
    </w:p>
    <w:p>
      <w:pPr>
        <w:adjustRightInd w:val="0"/>
        <w:snapToGrid w:val="0"/>
        <w:spacing w:line="360" w:lineRule="auto"/>
        <w:ind w:firstLine="723" w:firstLineChars="200"/>
        <w:jc w:val="center"/>
        <w:rPr>
          <w:rFonts w:ascii="仿宋_GB2312" w:hAnsi="仿宋" w:eastAsia="仿宋_GB2312"/>
          <w:b/>
          <w:sz w:val="36"/>
          <w:szCs w:val="36"/>
        </w:rPr>
      </w:pP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根据中国人民保险集团</w:t>
      </w:r>
      <w:r>
        <w:rPr>
          <w:rFonts w:hint="eastAsia" w:ascii="仿宋_GB2312" w:hAnsi="仿宋" w:eastAsia="仿宋_GB2312"/>
          <w:sz w:val="32"/>
          <w:szCs w:val="32"/>
          <w:lang w:val="en-US" w:eastAsia="zh-CN"/>
        </w:rPr>
        <w:t>和中国人民财产保险股份有限公司</w:t>
      </w:r>
      <w:r>
        <w:rPr>
          <w:rFonts w:hint="eastAsia" w:ascii="仿宋_GB2312" w:hAnsi="仿宋" w:eastAsia="仿宋_GB2312"/>
          <w:sz w:val="32"/>
          <w:szCs w:val="32"/>
        </w:rPr>
        <w:t>采购管理相关制度规定，现将相关单一来源采购内容公示如下：</w:t>
      </w:r>
    </w:p>
    <w:p>
      <w:pPr>
        <w:adjustRightInd w:val="0"/>
        <w:snapToGrid w:val="0"/>
        <w:spacing w:line="360" w:lineRule="auto"/>
        <w:ind w:firstLine="643" w:firstLineChars="200"/>
        <w:rPr>
          <w:rFonts w:hint="eastAsia" w:ascii="黑体" w:hAnsi="黑体" w:eastAsia="黑体"/>
          <w:b/>
          <w:sz w:val="32"/>
          <w:szCs w:val="32"/>
          <w:lang w:val="en-US" w:eastAsia="zh-CN"/>
        </w:rPr>
      </w:pPr>
      <w:r>
        <w:rPr>
          <w:rFonts w:hint="eastAsia" w:ascii="黑体" w:hAnsi="黑体" w:eastAsia="黑体"/>
          <w:b/>
          <w:sz w:val="32"/>
          <w:szCs w:val="32"/>
        </w:rPr>
        <w:t>一、项目名称：</w:t>
      </w:r>
      <w:r>
        <w:rPr>
          <w:rFonts w:hint="eastAsia" w:ascii="仿宋_GB2312" w:hAnsi="仿宋_GB2312" w:eastAsia="仿宋_GB2312" w:cs="仿宋_GB2312"/>
          <w:bCs/>
          <w:kern w:val="0"/>
          <w:sz w:val="32"/>
          <w:szCs w:val="32"/>
        </w:rPr>
        <w:t>人保财险红河州分公司融资性信用保证险诉讼追偿信息调查服务项目采购</w:t>
      </w:r>
    </w:p>
    <w:p>
      <w:pPr>
        <w:adjustRightInd w:val="0"/>
        <w:snapToGrid w:val="0"/>
        <w:spacing w:line="360" w:lineRule="auto"/>
        <w:ind w:firstLine="643" w:firstLineChars="200"/>
        <w:rPr>
          <w:rFonts w:hint="eastAsia" w:ascii="黑体" w:hAnsi="黑体" w:eastAsia="黑体"/>
          <w:b/>
          <w:sz w:val="32"/>
          <w:szCs w:val="32"/>
          <w:lang w:val="en-US" w:eastAsia="zh-CN"/>
        </w:rPr>
      </w:pPr>
      <w:r>
        <w:rPr>
          <w:rFonts w:hint="eastAsia" w:ascii="黑体" w:hAnsi="黑体" w:eastAsia="黑体"/>
          <w:b/>
          <w:sz w:val="32"/>
          <w:szCs w:val="32"/>
          <w:lang w:val="en-US" w:eastAsia="zh-CN"/>
        </w:rPr>
        <w:t>二、采购需求</w:t>
      </w:r>
    </w:p>
    <w:p>
      <w:pPr>
        <w:adjustRightInd/>
        <w:snapToGrid/>
        <w:spacing w:line="360" w:lineRule="auto"/>
        <w:ind w:firstLine="640" w:firstLineChars="200"/>
        <w:jc w:val="left"/>
        <w:rPr>
          <w:rFonts w:hint="eastAsia" w:ascii="黑体" w:hAnsi="黑体" w:eastAsia="黑体"/>
          <w:b/>
          <w:sz w:val="32"/>
          <w:szCs w:val="32"/>
          <w:lang w:val="en-US" w:eastAsia="zh-CN"/>
        </w:rPr>
      </w:pPr>
      <w:r>
        <w:rPr>
          <w:rFonts w:hint="eastAsia" w:ascii="仿宋_GB2312" w:hAnsi="仿宋_GB2312" w:eastAsia="仿宋_GB2312" w:cs="仿宋_GB2312"/>
          <w:kern w:val="60"/>
          <w:sz w:val="32"/>
          <w:szCs w:val="32"/>
        </w:rPr>
        <w:t>采购1家供应商,提供红河州</w:t>
      </w:r>
      <w:r>
        <w:rPr>
          <w:rFonts w:hint="eastAsia" w:ascii="仿宋_GB2312" w:hAnsi="仿宋_GB2312" w:eastAsia="仿宋_GB2312" w:cs="仿宋_GB2312"/>
          <w:bCs/>
          <w:kern w:val="0"/>
          <w:sz w:val="32"/>
          <w:szCs w:val="32"/>
        </w:rPr>
        <w:t>融资性信用保证险诉讼追偿信息调查服务</w:t>
      </w:r>
      <w:r>
        <w:rPr>
          <w:rFonts w:hint="eastAsia" w:ascii="仿宋_GB2312" w:hAnsi="仿宋_GB2312" w:eastAsia="仿宋_GB2312" w:cs="仿宋_GB2312"/>
          <w:color w:val="000000"/>
          <w:kern w:val="0"/>
          <w:sz w:val="32"/>
          <w:szCs w:val="32"/>
          <w:highlight w:val="none"/>
          <w:lang w:bidi="ar"/>
        </w:rPr>
        <w:t>。</w:t>
      </w:r>
      <w:r>
        <w:rPr>
          <w:rFonts w:hint="eastAsia" w:ascii="仿宋_GB2312" w:eastAsia="仿宋_GB2312"/>
          <w:sz w:val="32"/>
          <w:szCs w:val="32"/>
          <w:lang w:val="en-US" w:eastAsia="zh-CN"/>
        </w:rPr>
        <w:t>。</w:t>
      </w:r>
    </w:p>
    <w:p>
      <w:pPr>
        <w:adjustRightInd w:val="0"/>
        <w:snapToGrid w:val="0"/>
        <w:spacing w:line="360" w:lineRule="auto"/>
        <w:ind w:firstLine="643" w:firstLineChars="200"/>
        <w:rPr>
          <w:rFonts w:ascii="仿宋_GB2312" w:hAnsi="仿宋" w:eastAsia="仿宋_GB2312"/>
          <w:sz w:val="32"/>
          <w:szCs w:val="32"/>
        </w:rPr>
      </w:pPr>
      <w:r>
        <w:rPr>
          <w:rFonts w:hint="eastAsia" w:ascii="黑体" w:hAnsi="黑体" w:eastAsia="黑体"/>
          <w:b/>
          <w:sz w:val="32"/>
          <w:szCs w:val="32"/>
          <w:lang w:val="en-US" w:eastAsia="zh-CN"/>
        </w:rPr>
        <w:t>二、</w:t>
      </w:r>
      <w:r>
        <w:rPr>
          <w:rFonts w:hint="eastAsia" w:ascii="黑体" w:hAnsi="黑体" w:eastAsia="黑体"/>
          <w:b/>
          <w:sz w:val="32"/>
          <w:szCs w:val="32"/>
        </w:rPr>
        <w:t>单一来源供应商：</w:t>
      </w:r>
      <w:r>
        <w:rPr>
          <w:rFonts w:hint="eastAsia" w:ascii="仿宋_GB2312" w:eastAsia="仿宋_GB2312"/>
          <w:sz w:val="32"/>
          <w:szCs w:val="32"/>
          <w:lang w:val="en-US" w:eastAsia="zh-CN"/>
        </w:rPr>
        <w:t>昆明信赢天保险咨询有限公司</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hAnsi="仿宋" w:eastAsia="仿宋_GB2312"/>
          <w:sz w:val="32"/>
          <w:szCs w:val="32"/>
          <w:lang w:val="en-US" w:eastAsia="zh-CN"/>
        </w:rPr>
        <w:t>公示日期：</w:t>
      </w:r>
      <w:r>
        <w:rPr>
          <w:rFonts w:hint="eastAsia" w:ascii="仿宋_GB2312" w:hAnsi="仿宋" w:eastAsia="仿宋_GB2312"/>
          <w:sz w:val="32"/>
          <w:szCs w:val="32"/>
        </w:rPr>
        <w:t>自公示发布之日起3个工作日内</w:t>
      </w:r>
      <w:r>
        <w:rPr>
          <w:rFonts w:hint="eastAsia" w:ascii="仿宋_GB2312" w:hAnsi="仿宋" w:eastAsia="仿宋_GB2312"/>
          <w:sz w:val="32"/>
          <w:szCs w:val="32"/>
          <w:lang w:eastAsia="zh-CN"/>
        </w:rPr>
        <w:t>。</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任何</w:t>
      </w:r>
      <w:r>
        <w:rPr>
          <w:rFonts w:hint="eastAsia" w:ascii="仿宋_GB2312" w:hAnsi="仿宋" w:eastAsia="仿宋_GB2312"/>
          <w:sz w:val="32"/>
          <w:szCs w:val="32"/>
        </w:rPr>
        <w:t>单位</w:t>
      </w:r>
      <w:r>
        <w:rPr>
          <w:rFonts w:hint="eastAsia" w:ascii="仿宋_GB2312" w:hAnsi="仿宋" w:eastAsia="仿宋_GB2312"/>
          <w:sz w:val="32"/>
          <w:szCs w:val="32"/>
          <w:lang w:val="en-US" w:eastAsia="zh-CN"/>
        </w:rPr>
        <w:t>或</w:t>
      </w:r>
      <w:r>
        <w:rPr>
          <w:rFonts w:hint="eastAsia" w:ascii="仿宋_GB2312" w:hAnsi="仿宋" w:eastAsia="仿宋_GB2312"/>
          <w:sz w:val="32"/>
          <w:szCs w:val="32"/>
        </w:rPr>
        <w:t>个人如对以上项目采用单一来源采购方式有异议，请在</w:t>
      </w:r>
      <w:r>
        <w:rPr>
          <w:rFonts w:hint="eastAsia" w:ascii="仿宋_GB2312" w:hAnsi="仿宋" w:eastAsia="仿宋_GB2312"/>
          <w:sz w:val="32"/>
          <w:szCs w:val="32"/>
          <w:lang w:val="en-US" w:eastAsia="zh-CN"/>
        </w:rPr>
        <w:t>公示期间</w:t>
      </w:r>
      <w:r>
        <w:rPr>
          <w:rFonts w:hint="eastAsia" w:ascii="仿宋_GB2312" w:hAnsi="仿宋" w:eastAsia="仿宋_GB2312"/>
          <w:sz w:val="32"/>
          <w:szCs w:val="32"/>
        </w:rPr>
        <w:t>以书面形式</w:t>
      </w:r>
      <w:r>
        <w:rPr>
          <w:rFonts w:hint="eastAsia" w:ascii="仿宋_GB2312" w:hAnsi="仿宋" w:eastAsia="仿宋_GB2312"/>
          <w:sz w:val="32"/>
          <w:szCs w:val="32"/>
          <w:lang w:val="en-US" w:eastAsia="zh-CN"/>
        </w:rPr>
        <w:t>进行反馈</w:t>
      </w:r>
      <w:r>
        <w:rPr>
          <w:rFonts w:hint="eastAsia" w:ascii="仿宋_GB2312" w:hAnsi="仿宋" w:eastAsia="仿宋_GB2312"/>
          <w:sz w:val="32"/>
          <w:szCs w:val="32"/>
        </w:rPr>
        <w:t>。</w:t>
      </w:r>
    </w:p>
    <w:p>
      <w:pPr>
        <w:adjustRightInd w:val="0"/>
        <w:snapToGrid w:val="0"/>
        <w:spacing w:line="360" w:lineRule="auto"/>
        <w:ind w:firstLine="643" w:firstLineChars="200"/>
        <w:rPr>
          <w:rFonts w:hint="default" w:ascii="仿宋_GB2312" w:hAnsi="仿宋" w:eastAsia="仿宋_GB2312"/>
          <w:b/>
          <w:bCs/>
          <w:sz w:val="32"/>
          <w:szCs w:val="32"/>
          <w:lang w:val="en-US" w:eastAsia="zh-CN"/>
        </w:rPr>
      </w:pPr>
      <w:r>
        <w:rPr>
          <w:rFonts w:hint="eastAsia" w:ascii="仿宋_GB2312" w:hAnsi="仿宋" w:eastAsia="仿宋_GB2312"/>
          <w:b/>
          <w:bCs/>
          <w:sz w:val="32"/>
          <w:szCs w:val="32"/>
          <w:lang w:val="en-US" w:eastAsia="zh-CN"/>
        </w:rPr>
        <w:t>联系人：黄琪岚</w:t>
      </w:r>
    </w:p>
    <w:p>
      <w:pPr>
        <w:adjustRightInd w:val="0"/>
        <w:snapToGrid w:val="0"/>
        <w:spacing w:line="360" w:lineRule="auto"/>
        <w:ind w:firstLine="640" w:firstLineChars="200"/>
        <w:rPr>
          <w:rFonts w:hint="default" w:ascii="仿宋_GB2312" w:hAnsi="仿宋" w:eastAsia="仿宋_GB2312"/>
          <w:sz w:val="32"/>
          <w:szCs w:val="32"/>
          <w:lang w:val="en-US" w:eastAsia="zh-CN"/>
        </w:rPr>
      </w:pPr>
      <w:r>
        <w:rPr>
          <w:rFonts w:hint="eastAsia" w:ascii="仿宋_GB2312" w:hAnsi="仿宋" w:eastAsia="仿宋_GB2312"/>
          <w:sz w:val="32"/>
          <w:szCs w:val="32"/>
          <w:lang w:val="en-US" w:eastAsia="zh-CN"/>
        </w:rPr>
        <w:t>联系电话：15126118672</w:t>
      </w:r>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lang w:val="en-US" w:eastAsia="zh-CN"/>
        </w:rPr>
        <w:t>联系邮箱：</w:t>
      </w:r>
      <w:r>
        <w:rPr>
          <w:rFonts w:ascii="宋体" w:hAnsi="宋体" w:eastAsia="宋体" w:cs="宋体"/>
          <w:sz w:val="24"/>
          <w:szCs w:val="24"/>
        </w:rPr>
        <w:t>huangqilan@yunn.picc.com.cn</w:t>
      </w:r>
      <w:bookmarkStart w:id="6" w:name="_GoBack"/>
      <w:bookmarkEnd w:id="6"/>
    </w:p>
    <w:p>
      <w:pPr>
        <w:adjustRightInd w:val="0"/>
        <w:snapToGrid w:val="0"/>
        <w:spacing w:line="360" w:lineRule="auto"/>
        <w:ind w:firstLine="640" w:firstLineChars="200"/>
        <w:rPr>
          <w:rFonts w:ascii="仿宋_GB2312" w:hAnsi="仿宋" w:eastAsia="仿宋_GB2312"/>
          <w:sz w:val="32"/>
          <w:szCs w:val="32"/>
        </w:rPr>
      </w:pPr>
      <w:r>
        <w:rPr>
          <w:rFonts w:hint="eastAsia" w:ascii="仿宋_GB2312" w:hAnsi="仿宋" w:eastAsia="仿宋_GB2312"/>
          <w:sz w:val="32"/>
          <w:szCs w:val="32"/>
        </w:rPr>
        <w:t xml:space="preserve"> </w:t>
      </w:r>
    </w:p>
    <w:p>
      <w:pPr>
        <w:adjustRightInd w:val="0"/>
        <w:snapToGrid w:val="0"/>
        <w:spacing w:line="360" w:lineRule="auto"/>
        <w:ind w:left="5438" w:leftChars="304" w:hanging="4800" w:hangingChars="1500"/>
        <w:rPr>
          <w:rFonts w:hint="default" w:ascii="仿宋_GB2312" w:hAnsi="仿宋" w:eastAsia="仿宋_GB2312"/>
          <w:sz w:val="32"/>
          <w:szCs w:val="32"/>
          <w:lang w:val="en-US" w:eastAsia="zh-CN"/>
        </w:rPr>
      </w:pPr>
      <w:r>
        <w:rPr>
          <w:rFonts w:hint="eastAsia" w:ascii="仿宋_GB2312" w:hAnsi="仿宋" w:eastAsia="仿宋_GB2312"/>
          <w:sz w:val="32"/>
          <w:szCs w:val="32"/>
        </w:rPr>
        <w:t xml:space="preserve">          </w:t>
      </w:r>
      <w:r>
        <w:rPr>
          <w:rFonts w:ascii="仿宋_GB2312" w:hAnsi="仿宋" w:eastAsia="仿宋_GB2312"/>
          <w:sz w:val="32"/>
          <w:szCs w:val="32"/>
        </w:rPr>
        <w:t xml:space="preserve">       </w:t>
      </w:r>
      <w:r>
        <w:rPr>
          <w:rFonts w:hint="eastAsia" w:ascii="仿宋_GB2312" w:hAnsi="仿宋" w:eastAsia="仿宋_GB2312"/>
          <w:sz w:val="32"/>
          <w:szCs w:val="32"/>
        </w:rPr>
        <w:t xml:space="preserve"> 中国人民财产保险股份有限公司</w:t>
      </w:r>
      <w:r>
        <w:rPr>
          <w:rFonts w:hint="eastAsia" w:ascii="仿宋_GB2312" w:hAnsi="仿宋" w:eastAsia="仿宋_GB2312"/>
          <w:sz w:val="32"/>
          <w:szCs w:val="32"/>
          <w:lang w:val="en-US" w:eastAsia="zh-CN"/>
        </w:rPr>
        <w:t>红河分公司</w:t>
      </w:r>
    </w:p>
    <w:p>
      <w:pPr>
        <w:adjustRightInd w:val="0"/>
        <w:snapToGrid w:val="0"/>
        <w:spacing w:line="360" w:lineRule="auto"/>
        <w:ind w:firstLine="4960" w:firstLineChars="1550"/>
        <w:rPr>
          <w:rFonts w:hint="eastAsia" w:ascii="仿宋_GB2312" w:hAnsi="仿宋" w:eastAsia="仿宋_GB2312"/>
          <w:sz w:val="32"/>
          <w:szCs w:val="32"/>
        </w:rPr>
      </w:pPr>
      <w:r>
        <w:rPr>
          <w:rFonts w:hint="eastAsia" w:ascii="仿宋_GB2312" w:hAnsi="仿宋" w:eastAsia="仿宋_GB2312"/>
          <w:sz w:val="32"/>
          <w:szCs w:val="32"/>
          <w:lang w:val="en-US" w:eastAsia="zh-CN"/>
        </w:rPr>
        <w:t>2025</w:t>
      </w:r>
      <w:r>
        <w:rPr>
          <w:rFonts w:hint="eastAsia" w:ascii="仿宋_GB2312" w:hAnsi="仿宋" w:eastAsia="仿宋_GB2312"/>
          <w:sz w:val="32"/>
          <w:szCs w:val="32"/>
        </w:rPr>
        <w:t>年</w:t>
      </w:r>
      <w:r>
        <w:rPr>
          <w:rFonts w:hint="eastAsia" w:ascii="仿宋_GB2312" w:hAnsi="仿宋" w:eastAsia="仿宋_GB2312"/>
          <w:sz w:val="32"/>
          <w:szCs w:val="32"/>
          <w:lang w:val="en-US" w:eastAsia="zh-CN"/>
        </w:rPr>
        <w:t>12</w:t>
      </w:r>
      <w:r>
        <w:rPr>
          <w:rFonts w:hint="eastAsia" w:ascii="仿宋_GB2312" w:hAnsi="仿宋" w:eastAsia="仿宋_GB2312"/>
          <w:sz w:val="32"/>
          <w:szCs w:val="32"/>
        </w:rPr>
        <w:t>月</w:t>
      </w:r>
      <w:r>
        <w:rPr>
          <w:rFonts w:hint="eastAsia" w:ascii="仿宋_GB2312" w:hAnsi="仿宋" w:eastAsia="仿宋_GB2312"/>
          <w:sz w:val="32"/>
          <w:szCs w:val="32"/>
          <w:lang w:val="en-US" w:eastAsia="zh-CN"/>
        </w:rPr>
        <w:t>5</w:t>
      </w:r>
      <w:r>
        <w:rPr>
          <w:rFonts w:hint="eastAsia" w:ascii="仿宋_GB2312" w:hAnsi="仿宋" w:eastAsia="仿宋_GB2312"/>
          <w:sz w:val="32"/>
          <w:szCs w:val="32"/>
        </w:rPr>
        <w:t>日</w:t>
      </w:r>
      <w:bookmarkEnd w:id="0"/>
      <w:bookmarkEnd w:id="1"/>
      <w:bookmarkEnd w:id="2"/>
      <w:bookmarkEnd w:id="3"/>
      <w:bookmarkEnd w:id="4"/>
      <w:bookmarkEnd w:id="5"/>
    </w:p>
    <w:p>
      <w:pPr>
        <w:adjustRightInd w:val="0"/>
        <w:snapToGrid w:val="0"/>
        <w:spacing w:line="360" w:lineRule="auto"/>
        <w:ind w:firstLine="0" w:firstLineChars="0"/>
        <w:jc w:val="left"/>
        <w:rPr>
          <w:rFonts w:hint="default" w:ascii="仿宋_GB2312" w:hAnsi="仿宋" w:eastAsia="仿宋_GB2312"/>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Arial Unicode MS"/>
    <w:panose1 w:val="02000000000000000000"/>
    <w:charset w:val="86"/>
    <w:family w:val="script"/>
    <w:pitch w:val="default"/>
    <w:sig w:usb0="00000000" w:usb1="00000000" w:usb2="00000012" w:usb3="00000000" w:csb0="00040001" w:csb1="00000000"/>
  </w:font>
  <w:font w:name="仿宋">
    <w:panose1 w:val="02010609060101010101"/>
    <w:charset w:val="86"/>
    <w:family w:val="modern"/>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52FEA"/>
    <w:rsid w:val="00085621"/>
    <w:rsid w:val="000A745F"/>
    <w:rsid w:val="000C28B9"/>
    <w:rsid w:val="00141FA1"/>
    <w:rsid w:val="00281669"/>
    <w:rsid w:val="002C2E3C"/>
    <w:rsid w:val="002F3CB0"/>
    <w:rsid w:val="003708E5"/>
    <w:rsid w:val="003F18EC"/>
    <w:rsid w:val="00554FA2"/>
    <w:rsid w:val="005E0FF1"/>
    <w:rsid w:val="005F2C31"/>
    <w:rsid w:val="00613B10"/>
    <w:rsid w:val="00684766"/>
    <w:rsid w:val="006F027F"/>
    <w:rsid w:val="00722A4B"/>
    <w:rsid w:val="00752A74"/>
    <w:rsid w:val="007D0328"/>
    <w:rsid w:val="007D60D1"/>
    <w:rsid w:val="00874A20"/>
    <w:rsid w:val="0089484F"/>
    <w:rsid w:val="009A3388"/>
    <w:rsid w:val="00A855B7"/>
    <w:rsid w:val="00B415AA"/>
    <w:rsid w:val="00B5433F"/>
    <w:rsid w:val="00B91BC6"/>
    <w:rsid w:val="00CC5D32"/>
    <w:rsid w:val="00D61F71"/>
    <w:rsid w:val="00DB159B"/>
    <w:rsid w:val="00E52FEA"/>
    <w:rsid w:val="00E64017"/>
    <w:rsid w:val="00EB12A1"/>
    <w:rsid w:val="00EC2767"/>
    <w:rsid w:val="00EF4E2F"/>
    <w:rsid w:val="00F1626B"/>
    <w:rsid w:val="00FA2142"/>
    <w:rsid w:val="02224765"/>
    <w:rsid w:val="0303507F"/>
    <w:rsid w:val="0466555F"/>
    <w:rsid w:val="05011BB3"/>
    <w:rsid w:val="05B715E3"/>
    <w:rsid w:val="06FD23C9"/>
    <w:rsid w:val="085C052E"/>
    <w:rsid w:val="08911369"/>
    <w:rsid w:val="0BC52D54"/>
    <w:rsid w:val="0DDD041D"/>
    <w:rsid w:val="0F981408"/>
    <w:rsid w:val="13B1041E"/>
    <w:rsid w:val="149C1327"/>
    <w:rsid w:val="174D2E96"/>
    <w:rsid w:val="17AE3734"/>
    <w:rsid w:val="18290D1F"/>
    <w:rsid w:val="1E892E57"/>
    <w:rsid w:val="1FE906DB"/>
    <w:rsid w:val="236D6079"/>
    <w:rsid w:val="25D043F6"/>
    <w:rsid w:val="28D51D10"/>
    <w:rsid w:val="299F3825"/>
    <w:rsid w:val="2A580599"/>
    <w:rsid w:val="2BCB61BD"/>
    <w:rsid w:val="2D2F69EF"/>
    <w:rsid w:val="2EAD3210"/>
    <w:rsid w:val="2F4E0BEA"/>
    <w:rsid w:val="2FB9010F"/>
    <w:rsid w:val="31692175"/>
    <w:rsid w:val="355D6B88"/>
    <w:rsid w:val="3700672D"/>
    <w:rsid w:val="37BD3173"/>
    <w:rsid w:val="381766BF"/>
    <w:rsid w:val="38745C65"/>
    <w:rsid w:val="3A0E61B2"/>
    <w:rsid w:val="3E736EAD"/>
    <w:rsid w:val="432F014B"/>
    <w:rsid w:val="44105BA8"/>
    <w:rsid w:val="452350A5"/>
    <w:rsid w:val="46807952"/>
    <w:rsid w:val="46A447F4"/>
    <w:rsid w:val="489C78AB"/>
    <w:rsid w:val="49203328"/>
    <w:rsid w:val="4A7C1CA8"/>
    <w:rsid w:val="4AD27F4E"/>
    <w:rsid w:val="4AF85D2E"/>
    <w:rsid w:val="4EEF148D"/>
    <w:rsid w:val="55EC3747"/>
    <w:rsid w:val="56F93029"/>
    <w:rsid w:val="5858536E"/>
    <w:rsid w:val="59C058BB"/>
    <w:rsid w:val="59FC33EE"/>
    <w:rsid w:val="5AF91787"/>
    <w:rsid w:val="5B574F95"/>
    <w:rsid w:val="5D246F26"/>
    <w:rsid w:val="5F1F15F1"/>
    <w:rsid w:val="5F824ADC"/>
    <w:rsid w:val="60D17632"/>
    <w:rsid w:val="631F2FCC"/>
    <w:rsid w:val="63C666C4"/>
    <w:rsid w:val="642771F5"/>
    <w:rsid w:val="67233F8B"/>
    <w:rsid w:val="68676CD5"/>
    <w:rsid w:val="68A8626A"/>
    <w:rsid w:val="694723CA"/>
    <w:rsid w:val="69C33623"/>
    <w:rsid w:val="6A2013CB"/>
    <w:rsid w:val="6E7348AC"/>
    <w:rsid w:val="6EFC1770"/>
    <w:rsid w:val="6F682214"/>
    <w:rsid w:val="70194436"/>
    <w:rsid w:val="70D670E6"/>
    <w:rsid w:val="71D85D08"/>
    <w:rsid w:val="76235472"/>
    <w:rsid w:val="764E644B"/>
    <w:rsid w:val="79843C26"/>
    <w:rsid w:val="7B225A37"/>
    <w:rsid w:val="7C3D76F9"/>
    <w:rsid w:val="7DE028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0"/>
    <w:pPr>
      <w:autoSpaceDE/>
      <w:autoSpaceDN/>
      <w:adjustRightInd/>
      <w:spacing w:before="0" w:after="120"/>
      <w:ind w:firstLine="420" w:firstLineChars="100"/>
    </w:pPr>
    <w:rPr>
      <w:kern w:val="2"/>
      <w:sz w:val="21"/>
      <w:szCs w:val="24"/>
    </w:rPr>
  </w:style>
  <w:style w:type="paragraph" w:styleId="3">
    <w:name w:val="Body Text"/>
    <w:basedOn w:val="1"/>
    <w:next w:val="1"/>
    <w:qFormat/>
    <w:uiPriority w:val="0"/>
    <w:pPr>
      <w:spacing w:after="120"/>
    </w:pPr>
    <w:rPr>
      <w:szCs w:val="24"/>
    </w:rPr>
  </w:style>
  <w:style w:type="paragraph" w:styleId="4">
    <w:name w:val="footer"/>
    <w:basedOn w:val="1"/>
    <w:link w:val="11"/>
    <w:unhideWhenUsed/>
    <w:qFormat/>
    <w:uiPriority w:val="99"/>
    <w:pPr>
      <w:tabs>
        <w:tab w:val="center" w:pos="4153"/>
        <w:tab w:val="right" w:pos="8306"/>
      </w:tabs>
      <w:snapToGrid w:val="0"/>
      <w:jc w:val="left"/>
    </w:pPr>
    <w:rPr>
      <w:sz w:val="18"/>
      <w:szCs w:val="18"/>
    </w:rPr>
  </w:style>
  <w:style w:type="paragraph" w:styleId="5">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Body Text Indent 3"/>
    <w:basedOn w:val="1"/>
    <w:qFormat/>
    <w:uiPriority w:val="0"/>
    <w:pPr>
      <w:snapToGrid w:val="0"/>
      <w:spacing w:line="580" w:lineRule="exact"/>
      <w:ind w:firstLine="560" w:firstLineChars="200"/>
    </w:pPr>
    <w:rPr>
      <w:rFonts w:ascii="仿宋_GB2312" w:eastAsia="仿宋_GB2312"/>
      <w:sz w:val="28"/>
      <w:szCs w:val="28"/>
      <w:lang w:val="zh-CN"/>
    </w:rPr>
  </w:style>
  <w:style w:type="paragraph" w:styleId="9">
    <w:name w:val="List Paragraph"/>
    <w:basedOn w:val="1"/>
    <w:qFormat/>
    <w:uiPriority w:val="34"/>
    <w:pPr>
      <w:ind w:firstLine="420" w:firstLineChars="200"/>
    </w:pPr>
  </w:style>
  <w:style w:type="character" w:customStyle="1" w:styleId="10">
    <w:name w:val="页眉 Char"/>
    <w:basedOn w:val="8"/>
    <w:link w:val="5"/>
    <w:qFormat/>
    <w:uiPriority w:val="99"/>
    <w:rPr>
      <w:sz w:val="18"/>
      <w:szCs w:val="18"/>
    </w:rPr>
  </w:style>
  <w:style w:type="character" w:customStyle="1" w:styleId="11">
    <w:name w:val="页脚 Char"/>
    <w:basedOn w:val="8"/>
    <w:link w:val="4"/>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36</Words>
  <Characters>210</Characters>
  <Lines>1</Lines>
  <Paragraphs>1</Paragraphs>
  <TotalTime>3</TotalTime>
  <ScaleCrop>false</ScaleCrop>
  <LinksUpToDate>false</LinksUpToDate>
  <CharactersWithSpaces>245</CharactersWithSpaces>
  <Application>WPS Office_11.8.2.10393_F1E327BC-269C-435d-A152-05C5408002CA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2021-04-25T09:20:00Z</dcterms:created>
  <dc:creator>孙艳红</dc:creator>
  <cp:lastModifiedBy>huangqilan</cp:lastModifiedBy>
  <cp:lastPrinted>2022-10-11T02:51:00Z</cp:lastPrinted>
  <dcterms:modified xsi:type="dcterms:W3CDTF">2025-12-05T03:14:05Z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2052-11.8.2.10393</vt:lpwstr>
  </property>
  <property fmtid="{D5CDD505-2E9C-101B-9397-08002B2CF9AE}" pid="3" name="ICV">
    <vt:lpwstr>E952E2B24537410BA0E574FAA7BAEF71</vt:lpwstr>
  </property>
</Properties>
</file>