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adjustRightInd w:val="0"/>
        <w:snapToGrid w:val="0"/>
        <w:spacing w:line="360" w:lineRule="auto"/>
        <w:jc w:val="center"/>
        <w:outlineLvl w:val="0"/>
        <w:rPr>
          <w:rFonts w:ascii="彩虹小标宋" w:hAnsi="宋体" w:eastAsia="彩虹小标宋" w:cs="Times New Roman"/>
          <w:bCs/>
          <w:snapToGrid w:val="0"/>
          <w:kern w:val="0"/>
          <w:sz w:val="36"/>
          <w:szCs w:val="36"/>
          <w:highlight w:val="yellow"/>
        </w:rPr>
      </w:pPr>
      <w:bookmarkStart w:id="0" w:name="PO_PURCHASE_REQUISITION_NAME"/>
      <w:r>
        <w:rPr>
          <w:rFonts w:hint="eastAsia" w:ascii="彩虹小标宋" w:hAnsi="宋体" w:eastAsia="彩虹小标宋" w:cs="Times New Roman"/>
          <w:bCs/>
          <w:snapToGrid w:val="0"/>
          <w:kern w:val="0"/>
          <w:sz w:val="36"/>
          <w:szCs w:val="36"/>
          <w:highlight w:val="yellow"/>
          <w:lang w:eastAsia="zh-CN"/>
        </w:rPr>
        <w:t>安全保卫部关于新乡分行安保类服务采购</w:t>
      </w:r>
      <w:bookmarkEnd w:id="0"/>
      <w:r>
        <w:rPr>
          <w:rFonts w:hint="eastAsia" w:ascii="彩虹小标宋" w:hAnsi="宋体" w:eastAsia="彩虹小标宋" w:cs="Times New Roman"/>
          <w:bCs/>
          <w:snapToGrid w:val="0"/>
          <w:kern w:val="0"/>
          <w:sz w:val="36"/>
          <w:szCs w:val="36"/>
          <w:highlight w:val="yellow"/>
          <w:lang w:val="en-US" w:eastAsia="zh-CN"/>
        </w:rPr>
        <w:t>项目（巡查）</w:t>
      </w:r>
      <w:r>
        <w:rPr>
          <w:rFonts w:hint="eastAsia" w:ascii="彩虹小标宋" w:hAnsi="宋体" w:eastAsia="彩虹小标宋" w:cs="Times New Roman"/>
          <w:bCs/>
          <w:snapToGrid w:val="0"/>
          <w:kern w:val="0"/>
          <w:sz w:val="36"/>
          <w:szCs w:val="36"/>
          <w:highlight w:val="yellow"/>
        </w:rPr>
        <w:t>采购需求</w:t>
      </w:r>
    </w:p>
    <w:p>
      <w:pPr>
        <w:numPr>
          <w:ilvl w:val="0"/>
          <w:numId w:val="1"/>
        </w:numPr>
        <w:adjustRightInd w:val="0"/>
        <w:snapToGrid w:val="0"/>
        <w:spacing w:line="560" w:lineRule="exact"/>
        <w:ind w:left="1287"/>
        <w:outlineLvl w:val="0"/>
        <w:rPr>
          <w:rFonts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服务供应商要求</w:t>
      </w:r>
    </w:p>
    <w:p>
      <w:pPr>
        <w:adjustRightInd w:val="0"/>
        <w:snapToGrid w:val="0"/>
        <w:spacing w:line="560" w:lineRule="atLeast"/>
        <w:ind w:firstLine="640" w:firstLineChars="200"/>
        <w:rPr>
          <w:rFonts w:ascii="彩虹粗仿宋" w:eastAsia="彩虹粗仿宋" w:hAnsiTheme="minorHAnsi" w:cstheme="minorBidi"/>
          <w:sz w:val="32"/>
        </w:rPr>
      </w:pPr>
      <w:r>
        <w:rPr>
          <w:rFonts w:hint="eastAsia" w:ascii="彩虹粗仿宋" w:eastAsia="彩虹粗仿宋" w:hAnsiTheme="minorHAnsi" w:cstheme="minorBidi"/>
          <w:sz w:val="32"/>
        </w:rPr>
        <w:t>（一）具有独立法人资格，能独立承担民事责任，具备有效的营业执照。</w:t>
      </w:r>
    </w:p>
    <w:p>
      <w:pPr>
        <w:adjustRightInd w:val="0"/>
        <w:snapToGrid w:val="0"/>
        <w:spacing w:line="560" w:lineRule="atLeast"/>
        <w:ind w:firstLine="640" w:firstLineChars="200"/>
        <w:rPr>
          <w:rFonts w:ascii="彩虹粗仿宋" w:hAnsi="微软雅黑" w:eastAsia="彩虹粗仿宋" w:cs="宋体"/>
          <w:b/>
          <w:kern w:val="0"/>
          <w:sz w:val="32"/>
          <w:szCs w:val="32"/>
        </w:rPr>
      </w:pPr>
      <w:r>
        <w:rPr>
          <w:rFonts w:hint="eastAsia" w:ascii="彩虹粗仿宋" w:eastAsia="彩虹粗仿宋" w:hAnsiTheme="minorHAnsi" w:cstheme="minorBidi"/>
          <w:sz w:val="32"/>
        </w:rPr>
        <w:t>（二）取得合法有效的</w:t>
      </w:r>
      <w:r>
        <w:rPr>
          <w:rFonts w:hint="eastAsia" w:ascii="彩虹粗仿宋" w:hAnsi="Times New Roman" w:eastAsia="彩虹粗仿宋"/>
          <w:kern w:val="0"/>
          <w:sz w:val="32"/>
          <w:szCs w:val="20"/>
        </w:rPr>
        <w:t>保安服务许可证</w:t>
      </w:r>
      <w:r>
        <w:rPr>
          <w:rFonts w:hint="eastAsia" w:ascii="彩虹粗仿宋" w:eastAsia="彩虹粗仿宋" w:hAnsiTheme="minorHAnsi" w:cstheme="minorBidi"/>
          <w:sz w:val="32"/>
        </w:rPr>
        <w:t>。</w:t>
      </w:r>
    </w:p>
    <w:p>
      <w:pPr>
        <w:adjustRightInd w:val="0"/>
        <w:snapToGrid w:val="0"/>
        <w:spacing w:line="560" w:lineRule="atLeast"/>
        <w:ind w:firstLine="640" w:firstLineChars="200"/>
        <w:rPr>
          <w:rFonts w:ascii="彩虹粗仿宋" w:eastAsia="彩虹粗仿宋" w:hAnsiTheme="minorHAnsi" w:cstheme="minorBidi"/>
          <w:sz w:val="32"/>
        </w:rPr>
      </w:pPr>
      <w:r>
        <w:rPr>
          <w:rFonts w:hint="eastAsia" w:ascii="彩虹粗仿宋" w:eastAsia="彩虹粗仿宋" w:hAnsiTheme="minorHAnsi" w:cstheme="minorBidi"/>
          <w:sz w:val="32"/>
        </w:rPr>
        <w:t>（三）财务状况良好，</w:t>
      </w:r>
      <w:r>
        <w:rPr>
          <w:rFonts w:hint="eastAsia" w:ascii="彩虹粗仿宋" w:eastAsia="彩虹粗仿宋" w:hAnsiTheme="minorHAnsi" w:cstheme="minorBidi"/>
          <w:sz w:val="32"/>
          <w:szCs w:val="32"/>
        </w:rPr>
        <w:t>提供近三年（</w:t>
      </w:r>
      <w:r>
        <w:rPr>
          <w:rFonts w:hint="eastAsia" w:ascii="彩虹粗仿宋" w:eastAsia="彩虹粗仿宋" w:cstheme="minorBidi"/>
          <w:sz w:val="32"/>
          <w:szCs w:val="32"/>
          <w:lang w:eastAsia="zh-CN"/>
        </w:rPr>
        <w:t>2020年-2022年</w:t>
      </w:r>
      <w:r>
        <w:rPr>
          <w:rFonts w:hint="eastAsia" w:ascii="彩虹粗仿宋" w:eastAsia="彩虹粗仿宋" w:hAnsiTheme="minorHAnsi" w:cstheme="minorBidi"/>
          <w:sz w:val="32"/>
          <w:szCs w:val="32"/>
        </w:rPr>
        <w:t>）的经审计的财务报告或财务报表（新成立企业从成立日计算）</w:t>
      </w:r>
      <w:r>
        <w:rPr>
          <w:rFonts w:hint="eastAsia" w:ascii="彩虹粗仿宋" w:eastAsia="彩虹粗仿宋" w:hAnsiTheme="minorHAnsi" w:cstheme="minorBidi"/>
          <w:sz w:val="32"/>
        </w:rPr>
        <w:t>；</w:t>
      </w:r>
    </w:p>
    <w:p>
      <w:pPr>
        <w:adjustRightInd w:val="0"/>
        <w:snapToGrid w:val="0"/>
        <w:spacing w:line="560" w:lineRule="atLeast"/>
        <w:ind w:firstLine="640" w:firstLineChars="200"/>
        <w:rPr>
          <w:rFonts w:ascii="彩虹粗仿宋" w:eastAsia="彩虹粗仿宋" w:hAnsiTheme="minorHAnsi" w:cstheme="minorBidi"/>
          <w:sz w:val="32"/>
        </w:rPr>
      </w:pPr>
      <w:r>
        <w:rPr>
          <w:rFonts w:hint="eastAsia" w:ascii="彩虹粗仿宋" w:eastAsia="彩虹粗仿宋" w:hAnsiTheme="minorHAnsi" w:cstheme="minorBidi"/>
          <w:sz w:val="32"/>
        </w:rPr>
        <w:t>（四）提供2021年1月1日以来</w:t>
      </w:r>
      <w:bookmarkStart w:id="1" w:name="_GoBack"/>
      <w:r>
        <w:rPr>
          <w:rFonts w:hint="eastAsia" w:ascii="彩虹粗仿宋" w:eastAsia="彩虹粗仿宋" w:hAnsiTheme="minorHAnsi" w:cstheme="minorBidi"/>
          <w:sz w:val="32"/>
        </w:rPr>
        <w:t>同类银行</w:t>
      </w:r>
      <w:r>
        <w:rPr>
          <w:rFonts w:hint="eastAsia" w:ascii="彩虹粗仿宋" w:eastAsia="彩虹粗仿宋" w:cstheme="minorBidi"/>
          <w:sz w:val="32"/>
          <w:lang w:eastAsia="zh-CN"/>
        </w:rPr>
        <w:t>自助设备巡查</w:t>
      </w:r>
      <w:r>
        <w:rPr>
          <w:rFonts w:hint="eastAsia" w:ascii="彩虹粗仿宋" w:eastAsia="彩虹粗仿宋" w:hAnsiTheme="minorHAnsi" w:cstheme="minorBidi"/>
          <w:sz w:val="32"/>
        </w:rPr>
        <w:t>服务项目业绩</w:t>
      </w:r>
      <w:bookmarkEnd w:id="1"/>
      <w:r>
        <w:rPr>
          <w:rFonts w:hint="eastAsia" w:ascii="彩虹粗仿宋" w:eastAsia="彩虹粗仿宋" w:hAnsiTheme="minorHAnsi" w:cstheme="minorBidi"/>
          <w:sz w:val="32"/>
        </w:rPr>
        <w:t>；</w:t>
      </w:r>
    </w:p>
    <w:p>
      <w:pPr>
        <w:adjustRightInd w:val="0"/>
        <w:snapToGrid w:val="0"/>
        <w:spacing w:line="560" w:lineRule="atLeast"/>
        <w:ind w:firstLine="640" w:firstLineChars="200"/>
        <w:rPr>
          <w:rFonts w:ascii="彩虹粗仿宋" w:eastAsia="彩虹粗仿宋" w:hAnsiTheme="minorHAnsi" w:cstheme="minorBidi"/>
          <w:sz w:val="32"/>
        </w:rPr>
      </w:pPr>
      <w:r>
        <w:rPr>
          <w:rFonts w:hint="eastAsia" w:ascii="彩虹粗仿宋" w:eastAsia="彩虹粗仿宋" w:hAnsiTheme="minorHAnsi" w:cstheme="minorBidi"/>
          <w:sz w:val="32"/>
        </w:rPr>
        <w:t>（五）供应商当前未被“信用中国”网站列入重大税收违法失信主体</w:t>
      </w:r>
    </w:p>
    <w:p>
      <w:pPr>
        <w:adjustRightInd w:val="0"/>
        <w:snapToGrid w:val="0"/>
        <w:spacing w:line="560" w:lineRule="atLeast"/>
        <w:ind w:firstLine="640" w:firstLineChars="200"/>
        <w:rPr>
          <w:rFonts w:ascii="彩虹粗仿宋" w:eastAsia="彩虹粗仿宋" w:hAnsiTheme="minorHAnsi" w:cstheme="minorBidi"/>
          <w:sz w:val="32"/>
        </w:rPr>
      </w:pPr>
      <w:r>
        <w:rPr>
          <w:rFonts w:hint="eastAsia" w:ascii="彩虹粗仿宋" w:eastAsia="彩虹粗仿宋" w:hAnsiTheme="minorHAnsi" w:cstheme="minorBidi"/>
          <w:sz w:val="32"/>
        </w:rPr>
        <w:t>（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atLeast"/>
        <w:ind w:firstLine="640" w:firstLineChars="200"/>
        <w:rPr>
          <w:rFonts w:ascii="彩虹粗仿宋" w:eastAsia="彩虹粗仿宋" w:hAnsiTheme="minorHAnsi" w:cstheme="minorBidi"/>
          <w:sz w:val="32"/>
        </w:rPr>
      </w:pPr>
      <w:r>
        <w:rPr>
          <w:rFonts w:hint="eastAsia" w:ascii="彩虹粗仿宋" w:eastAsia="彩虹粗仿宋" w:hAnsiTheme="minorHAnsi" w:cstheme="minorBidi"/>
          <w:sz w:val="32"/>
        </w:rPr>
        <w:t>（六）本项目不允许联合体投标，不允许分包或转包。</w:t>
      </w:r>
    </w:p>
    <w:p>
      <w:pPr>
        <w:adjustRightInd w:val="0"/>
        <w:snapToGrid w:val="0"/>
        <w:spacing w:line="560" w:lineRule="atLeast"/>
        <w:ind w:firstLine="640" w:firstLineChars="200"/>
        <w:rPr>
          <w:rFonts w:ascii="彩虹粗仿宋" w:eastAsia="彩虹粗仿宋" w:hAnsiTheme="minorHAnsi" w:cstheme="minorBidi"/>
          <w:sz w:val="32"/>
        </w:rPr>
      </w:pPr>
      <w:r>
        <w:rPr>
          <w:rFonts w:hint="eastAsia" w:ascii="彩虹粗仿宋" w:eastAsia="彩虹粗仿宋" w:hAnsiTheme="minorHAnsi" w:cstheme="minorBidi"/>
          <w:sz w:val="32"/>
        </w:rPr>
        <w:t>（七）外商独资、中外合资、中外合作的保安公司不得参与（根据保安服务管理条例第二十二条规定）。</w:t>
      </w:r>
    </w:p>
    <w:p>
      <w:pPr>
        <w:numPr>
          <w:ilvl w:val="0"/>
          <w:numId w:val="1"/>
        </w:numPr>
        <w:adjustRightInd w:val="0"/>
        <w:snapToGrid w:val="0"/>
        <w:spacing w:line="560" w:lineRule="exact"/>
        <w:ind w:left="1287"/>
        <w:outlineLvl w:val="0"/>
        <w:rPr>
          <w:rFonts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服务品类</w:t>
      </w:r>
    </w:p>
    <w:p>
      <w:pPr>
        <w:adjustRightInd w:val="0"/>
        <w:snapToGrid w:val="0"/>
        <w:spacing w:line="560" w:lineRule="exact"/>
        <w:ind w:firstLine="450" w:firstLineChars="150"/>
        <w:rPr>
          <w:rFonts w:ascii="彩虹粗仿宋" w:hAnsi="宋体" w:eastAsia="彩虹粗仿宋" w:cs="Times New Roman"/>
          <w:b/>
          <w:snapToGrid w:val="0"/>
          <w:kern w:val="0"/>
          <w:sz w:val="32"/>
          <w:szCs w:val="32"/>
        </w:rPr>
      </w:pPr>
      <w:r>
        <w:rPr>
          <w:rFonts w:hint="eastAsia" w:ascii="彩虹粗仿宋" w:eastAsia="彩虹粗仿宋"/>
          <w:sz w:val="30"/>
          <w:szCs w:val="30"/>
        </w:rPr>
        <w:t>自助设备巡查服务。</w:t>
      </w:r>
    </w:p>
    <w:p>
      <w:pPr>
        <w:numPr>
          <w:ilvl w:val="0"/>
          <w:numId w:val="1"/>
        </w:numPr>
        <w:adjustRightInd w:val="0"/>
        <w:snapToGrid w:val="0"/>
        <w:spacing w:line="560" w:lineRule="exact"/>
        <w:ind w:left="1287"/>
        <w:outlineLvl w:val="0"/>
        <w:rPr>
          <w:rFonts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服务内容</w:t>
      </w:r>
    </w:p>
    <w:p>
      <w:pPr>
        <w:widowControl/>
        <w:spacing w:line="560" w:lineRule="exact"/>
        <w:ind w:firstLine="600" w:firstLineChars="200"/>
        <w:rPr>
          <w:rFonts w:ascii="彩虹粗仿宋" w:eastAsia="彩虹粗仿宋"/>
          <w:color w:val="000000" w:themeColor="text1"/>
          <w:kern w:val="0"/>
          <w:sz w:val="30"/>
          <w:szCs w:val="30"/>
          <w14:textFill>
            <w14:solidFill>
              <w14:schemeClr w14:val="tx1"/>
            </w14:solidFill>
          </w14:textFill>
        </w:rPr>
      </w:pPr>
      <w:r>
        <w:rPr>
          <w:rFonts w:hint="eastAsia" w:ascii="彩虹粗仿宋" w:eastAsia="彩虹粗仿宋"/>
          <w:color w:val="000000" w:themeColor="text1"/>
          <w:kern w:val="0"/>
          <w:sz w:val="30"/>
          <w:szCs w:val="30"/>
          <w14:textFill>
            <w14:solidFill>
              <w14:schemeClr w14:val="tx1"/>
            </w14:solidFill>
          </w14:textFill>
        </w:rPr>
        <w:t>1、查看自助银行周围门、窗、墙体有无破坏及周围治安情况，自助银行服务区域是否有张贴非法广告、虚假提示、堵塞出钞口或安装有密码键盘、微型摄像机、读卡器、巴黎钩、窃听器等情况，如发现上述情况，应对非法张贴、安装的物品及时清理，作好记录，并通知建行监控中心（0373-3838237），于次日将清理物品上缴建行安全保卫中心；</w:t>
      </w:r>
    </w:p>
    <w:p>
      <w:pPr>
        <w:widowControl/>
        <w:spacing w:line="560" w:lineRule="exact"/>
        <w:ind w:firstLine="600" w:firstLineChars="200"/>
        <w:rPr>
          <w:rFonts w:ascii="彩虹粗仿宋" w:eastAsia="彩虹粗仿宋"/>
          <w:color w:val="000000" w:themeColor="text1"/>
          <w:kern w:val="0"/>
          <w:sz w:val="30"/>
          <w:szCs w:val="30"/>
          <w14:textFill>
            <w14:solidFill>
              <w14:schemeClr w14:val="tx1"/>
            </w14:solidFill>
          </w14:textFill>
        </w:rPr>
      </w:pPr>
      <w:r>
        <w:rPr>
          <w:rFonts w:hint="eastAsia" w:ascii="彩虹粗仿宋" w:eastAsia="彩虹粗仿宋"/>
          <w:color w:val="000000" w:themeColor="text1"/>
          <w:kern w:val="0"/>
          <w:sz w:val="30"/>
          <w:szCs w:val="30"/>
          <w14:textFill>
            <w14:solidFill>
              <w14:schemeClr w14:val="tx1"/>
            </w14:solidFill>
          </w14:textFill>
        </w:rPr>
        <w:t>2、巡查过程中，凡捡到有客户遗留的物品应主动及时通知建行监控中心（0373-3838237），于次日将遗留物品上缴建行安全保卫中心，并作好移交手续；</w:t>
      </w:r>
    </w:p>
    <w:p>
      <w:pPr>
        <w:widowControl/>
        <w:spacing w:line="560" w:lineRule="exact"/>
        <w:ind w:firstLine="600" w:firstLineChars="200"/>
        <w:rPr>
          <w:rFonts w:ascii="彩虹粗仿宋" w:eastAsia="彩虹粗仿宋"/>
          <w:color w:val="000000" w:themeColor="text1"/>
          <w:kern w:val="0"/>
          <w:sz w:val="30"/>
          <w:szCs w:val="30"/>
          <w14:textFill>
            <w14:solidFill>
              <w14:schemeClr w14:val="tx1"/>
            </w14:solidFill>
          </w14:textFill>
        </w:rPr>
      </w:pPr>
      <w:r>
        <w:rPr>
          <w:rFonts w:hint="eastAsia" w:ascii="彩虹粗仿宋" w:eastAsia="彩虹粗仿宋"/>
          <w:color w:val="000000" w:themeColor="text1"/>
          <w:kern w:val="0"/>
          <w:sz w:val="30"/>
          <w:szCs w:val="30"/>
          <w14:textFill>
            <w14:solidFill>
              <w14:schemeClr w14:val="tx1"/>
            </w14:solidFill>
          </w14:textFill>
        </w:rPr>
        <w:t>3、查看是否有撬盗、纵火、爆破等破坏自助设施的情况，如发现上述情况时，应立即制止上述行为，及时报警并通知建行安全保卫中心相关人员到现场处置；</w:t>
      </w:r>
    </w:p>
    <w:p>
      <w:pPr>
        <w:widowControl/>
        <w:spacing w:line="560" w:lineRule="exact"/>
        <w:ind w:firstLine="600" w:firstLineChars="200"/>
        <w:rPr>
          <w:rFonts w:ascii="彩虹粗仿宋" w:eastAsia="彩虹粗仿宋"/>
          <w:color w:val="000000" w:themeColor="text1"/>
          <w:kern w:val="0"/>
          <w:sz w:val="30"/>
          <w:szCs w:val="30"/>
          <w14:textFill>
            <w14:solidFill>
              <w14:schemeClr w14:val="tx1"/>
            </w14:solidFill>
          </w14:textFill>
        </w:rPr>
      </w:pPr>
      <w:r>
        <w:rPr>
          <w:rFonts w:hint="eastAsia" w:ascii="彩虹粗仿宋" w:eastAsia="彩虹粗仿宋"/>
          <w:color w:val="000000" w:themeColor="text1"/>
          <w:kern w:val="0"/>
          <w:sz w:val="30"/>
          <w:szCs w:val="30"/>
          <w14:textFill>
            <w14:solidFill>
              <w14:schemeClr w14:val="tx1"/>
            </w14:solidFill>
          </w14:textFill>
        </w:rPr>
        <w:t>4、发现有长时间滞留的闲杂人员时，应马上规劝清理闲杂人员离开自助区，不听劝阻时可请警方协助；</w:t>
      </w:r>
    </w:p>
    <w:p>
      <w:pPr>
        <w:widowControl/>
        <w:spacing w:line="560" w:lineRule="exact"/>
        <w:ind w:firstLine="600" w:firstLineChars="200"/>
        <w:rPr>
          <w:rFonts w:ascii="彩虹粗仿宋" w:eastAsia="彩虹粗仿宋"/>
          <w:color w:val="000000" w:themeColor="text1"/>
          <w:kern w:val="0"/>
          <w:sz w:val="30"/>
          <w:szCs w:val="30"/>
          <w14:textFill>
            <w14:solidFill>
              <w14:schemeClr w14:val="tx1"/>
            </w14:solidFill>
          </w14:textFill>
        </w:rPr>
      </w:pPr>
      <w:r>
        <w:rPr>
          <w:rFonts w:hint="eastAsia" w:ascii="彩虹粗仿宋" w:eastAsia="彩虹粗仿宋"/>
          <w:color w:val="000000" w:themeColor="text1"/>
          <w:kern w:val="0"/>
          <w:sz w:val="30"/>
          <w:szCs w:val="30"/>
          <w14:textFill>
            <w14:solidFill>
              <w14:schemeClr w14:val="tx1"/>
            </w14:solidFill>
          </w14:textFill>
        </w:rPr>
        <w:t>5、接到110报警中心或建行监控中心报警指令，某自助银行和营业网点发生紧急情况，十分钟之内先期到达现场进行处置，并配合相关人员现场处置完毕后方可离开；</w:t>
      </w:r>
    </w:p>
    <w:p>
      <w:pPr>
        <w:widowControl/>
        <w:spacing w:line="560" w:lineRule="exact"/>
        <w:ind w:firstLine="600" w:firstLineChars="200"/>
        <w:rPr>
          <w:rFonts w:ascii="彩虹粗仿宋" w:eastAsia="彩虹粗仿宋"/>
          <w:color w:val="000000" w:themeColor="text1"/>
          <w:kern w:val="0"/>
          <w:sz w:val="30"/>
          <w:szCs w:val="30"/>
          <w14:textFill>
            <w14:solidFill>
              <w14:schemeClr w14:val="tx1"/>
            </w14:solidFill>
          </w14:textFill>
        </w:rPr>
      </w:pPr>
      <w:r>
        <w:rPr>
          <w:rFonts w:hint="eastAsia" w:ascii="彩虹粗仿宋" w:eastAsia="彩虹粗仿宋"/>
          <w:color w:val="000000" w:themeColor="text1"/>
          <w:kern w:val="0"/>
          <w:sz w:val="30"/>
          <w:szCs w:val="30"/>
          <w14:textFill>
            <w14:solidFill>
              <w14:schemeClr w14:val="tx1"/>
            </w14:solidFill>
          </w14:textFill>
        </w:rPr>
        <w:t>6、自助银行门体（含通往营业厅卷帘门）、营业大厅门体、窗户是否完好；当发现自助银行门体（含通往营业厅卷帘门）、营业大厅门体、窗户情况异常时，应及时查明情况，通知建行安全保卫中心相关人员到现场进行处置，并做好记录；</w:t>
      </w:r>
    </w:p>
    <w:p>
      <w:pPr>
        <w:widowControl/>
        <w:spacing w:line="560" w:lineRule="exact"/>
        <w:ind w:firstLine="600" w:firstLineChars="200"/>
        <w:rPr>
          <w:rFonts w:ascii="彩虹粗仿宋" w:eastAsia="彩虹粗仿宋"/>
          <w:color w:val="000000" w:themeColor="text1"/>
          <w:kern w:val="0"/>
          <w:sz w:val="30"/>
          <w:szCs w:val="30"/>
          <w14:textFill>
            <w14:solidFill>
              <w14:schemeClr w14:val="tx1"/>
            </w14:solidFill>
          </w14:textFill>
        </w:rPr>
      </w:pPr>
      <w:r>
        <w:rPr>
          <w:rFonts w:hint="eastAsia" w:ascii="彩虹粗仿宋" w:eastAsia="彩虹粗仿宋"/>
          <w:color w:val="000000" w:themeColor="text1"/>
          <w:kern w:val="0"/>
          <w:sz w:val="30"/>
          <w:szCs w:val="30"/>
          <w14:textFill>
            <w14:solidFill>
              <w14:schemeClr w14:val="tx1"/>
            </w14:solidFill>
          </w14:textFill>
        </w:rPr>
        <w:t>7、每次巡查通过自助银行求助按钮并与我行远程监控中心对讲，测试求助对讲系统是否畅通及客户区监控设备是否正常，并作好巡查记录；发现求助对讲系统不畅通及客户区监控设备有异常情况时，应及时通知建行监控中心，并做好记录。</w:t>
      </w:r>
    </w:p>
    <w:p>
      <w:pPr>
        <w:widowControl/>
        <w:spacing w:line="560" w:lineRule="exact"/>
        <w:ind w:firstLine="600" w:firstLineChars="200"/>
        <w:rPr>
          <w:rFonts w:ascii="彩虹粗仿宋" w:eastAsia="彩虹粗仿宋"/>
          <w:color w:val="000000" w:themeColor="text1"/>
          <w:kern w:val="0"/>
          <w:sz w:val="30"/>
          <w:szCs w:val="30"/>
          <w14:textFill>
            <w14:solidFill>
              <w14:schemeClr w14:val="tx1"/>
            </w14:solidFill>
          </w14:textFill>
        </w:rPr>
      </w:pPr>
      <w:r>
        <w:rPr>
          <w:rFonts w:hint="eastAsia" w:ascii="彩虹粗仿宋" w:eastAsia="彩虹粗仿宋"/>
          <w:color w:val="000000" w:themeColor="text1"/>
          <w:kern w:val="0"/>
          <w:sz w:val="30"/>
          <w:szCs w:val="30"/>
          <w14:textFill>
            <w14:solidFill>
              <w14:schemeClr w14:val="tx1"/>
            </w14:solidFill>
          </w14:textFill>
        </w:rPr>
        <w:t>8、采购方委托巡查的其他事项。</w:t>
      </w:r>
    </w:p>
    <w:p>
      <w:pPr>
        <w:numPr>
          <w:ilvl w:val="0"/>
          <w:numId w:val="1"/>
        </w:numPr>
        <w:adjustRightInd w:val="0"/>
        <w:snapToGrid w:val="0"/>
        <w:spacing w:line="560" w:lineRule="exact"/>
        <w:ind w:left="1287"/>
        <w:outlineLvl w:val="0"/>
        <w:rPr>
          <w:rFonts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服务团队</w:t>
      </w:r>
    </w:p>
    <w:p>
      <w:pPr>
        <w:spacing w:line="560" w:lineRule="exact"/>
        <w:ind w:firstLine="750" w:firstLineChars="250"/>
        <w:rPr>
          <w:rFonts w:ascii="彩虹粗仿宋" w:eastAsia="彩虹粗仿宋"/>
          <w:color w:val="000000" w:themeColor="text1"/>
          <w:sz w:val="30"/>
          <w:szCs w:val="30"/>
          <w14:textFill>
            <w14:solidFill>
              <w14:schemeClr w14:val="tx1"/>
            </w14:solidFill>
          </w14:textFill>
        </w:rPr>
      </w:pPr>
      <w:r>
        <w:rPr>
          <w:rFonts w:hint="eastAsia" w:ascii="彩虹粗仿宋" w:eastAsia="彩虹粗仿宋"/>
          <w:sz w:val="30"/>
          <w:szCs w:val="30"/>
        </w:rPr>
        <w:t>1、</w:t>
      </w:r>
      <w:r>
        <w:rPr>
          <w:rFonts w:hint="eastAsia" w:ascii="彩虹粗仿宋" w:eastAsia="彩虹粗仿宋"/>
          <w:color w:val="000000" w:themeColor="text1"/>
          <w:sz w:val="30"/>
          <w:szCs w:val="30"/>
          <w14:textFill>
            <w14:solidFill>
              <w14:schemeClr w14:val="tx1"/>
            </w14:solidFill>
          </w14:textFill>
        </w:rPr>
        <w:t>各供应商提供的巡查人员应当按照国家有关规定，取得市公安局颁发的保安资格证书方可上岗；每日不低于2名人员进行巡查工作。</w:t>
      </w:r>
    </w:p>
    <w:p>
      <w:pPr>
        <w:spacing w:line="560" w:lineRule="exact"/>
        <w:ind w:firstLine="750" w:firstLineChars="250"/>
        <w:rPr>
          <w:rFonts w:ascii="彩虹粗仿宋" w:eastAsia="彩虹粗仿宋"/>
          <w:sz w:val="30"/>
          <w:szCs w:val="30"/>
        </w:rPr>
      </w:pPr>
      <w:r>
        <w:rPr>
          <w:rFonts w:hint="eastAsia" w:ascii="彩虹粗仿宋" w:eastAsia="彩虹粗仿宋"/>
          <w:sz w:val="30"/>
          <w:szCs w:val="30"/>
        </w:rPr>
        <w:t>2、各供应商应加强对所属人员的管理教育，保证其严格遵守国家的法律法规和建行的规章制度、劳动纪律，爱护建行财产、遵守职业道德，保质保量完成工作任务；</w:t>
      </w:r>
    </w:p>
    <w:p>
      <w:pPr>
        <w:spacing w:line="560" w:lineRule="exact"/>
        <w:ind w:firstLine="600" w:firstLineChars="200"/>
        <w:rPr>
          <w:rFonts w:ascii="彩虹粗仿宋" w:eastAsia="彩虹粗仿宋"/>
          <w:sz w:val="30"/>
          <w:szCs w:val="30"/>
        </w:rPr>
      </w:pPr>
      <w:r>
        <w:rPr>
          <w:rFonts w:hint="eastAsia" w:ascii="彩虹粗仿宋" w:eastAsia="彩虹粗仿宋"/>
          <w:sz w:val="30"/>
          <w:szCs w:val="30"/>
        </w:rPr>
        <w:t>3、各供应商</w:t>
      </w:r>
      <w:r>
        <w:rPr>
          <w:rFonts w:hint="eastAsia" w:ascii="彩虹粗仿宋" w:hAnsi="彩虹粗仿宋" w:eastAsia="彩虹粗仿宋" w:cs="彩虹粗仿宋"/>
          <w:w w:val="90"/>
          <w:sz w:val="30"/>
          <w:szCs w:val="30"/>
        </w:rPr>
        <w:t>应对录用人员应经过严格的政审，</w:t>
      </w:r>
      <w:r>
        <w:rPr>
          <w:rFonts w:hint="eastAsia" w:ascii="彩虹粗仿宋" w:hAnsi="彩虹粗仿宋" w:eastAsia="彩虹粗仿宋" w:cs="彩虹粗仿宋"/>
          <w:color w:val="000000"/>
          <w:w w:val="90"/>
          <w:sz w:val="30"/>
          <w:szCs w:val="30"/>
        </w:rPr>
        <w:t>录用</w:t>
      </w:r>
      <w:r>
        <w:rPr>
          <w:rFonts w:hint="eastAsia" w:ascii="彩虹粗仿宋" w:hAnsi="彩虹粗仿宋" w:eastAsia="彩虹粗仿宋" w:cs="彩虹粗仿宋"/>
          <w:w w:val="90"/>
          <w:sz w:val="30"/>
          <w:szCs w:val="30"/>
        </w:rPr>
        <w:t>政治素质好、工作责任心强、作风正派、身心健康的队员，</w:t>
      </w:r>
      <w:r>
        <w:rPr>
          <w:rFonts w:hint="eastAsia" w:ascii="彩虹粗仿宋" w:hAnsi="彩虹粗仿宋" w:eastAsia="彩虹粗仿宋" w:cs="彩虹粗仿宋"/>
          <w:color w:val="000000" w:themeColor="text1"/>
          <w:w w:val="90"/>
          <w:sz w:val="30"/>
          <w:szCs w:val="30"/>
          <w14:textFill>
            <w14:solidFill>
              <w14:schemeClr w14:val="tx1"/>
            </w14:solidFill>
          </w14:textFill>
        </w:rPr>
        <w:t>不得录用涉黑涉恶人员；无赌博、吸毒、盗窃和其他违法行为，</w:t>
      </w:r>
      <w:r>
        <w:rPr>
          <w:rFonts w:hint="eastAsia" w:ascii="彩虹粗仿宋" w:eastAsia="彩虹粗仿宋"/>
          <w:sz w:val="30"/>
          <w:szCs w:val="30"/>
        </w:rPr>
        <w:t xml:space="preserve">应要求其所属人员严格遵守劳动安全制度和工作规范，积极预防各种工伤事故发生，如供应商巡查人员在自助银行巡查期间发生工伤事故，一切后果均由供应商承担； </w:t>
      </w:r>
    </w:p>
    <w:p>
      <w:pPr>
        <w:spacing w:line="560" w:lineRule="exact"/>
        <w:ind w:firstLine="600" w:firstLineChars="200"/>
        <w:rPr>
          <w:rFonts w:ascii="彩虹粗仿宋" w:eastAsia="彩虹粗仿宋"/>
          <w:sz w:val="30"/>
          <w:szCs w:val="30"/>
        </w:rPr>
      </w:pPr>
      <w:r>
        <w:rPr>
          <w:rFonts w:hint="eastAsia" w:ascii="彩虹粗仿宋" w:eastAsia="彩虹粗仿宋"/>
          <w:sz w:val="30"/>
          <w:szCs w:val="30"/>
        </w:rPr>
        <w:t>4、根据有关法律、法规的规定，各供应商应于服务人员建立劳动关系，支付劳动报酬、缴纳各项社会保险；</w:t>
      </w:r>
    </w:p>
    <w:p>
      <w:pPr>
        <w:spacing w:line="560" w:lineRule="exact"/>
        <w:ind w:firstLine="600" w:firstLineChars="200"/>
        <w:rPr>
          <w:rFonts w:ascii="彩虹粗仿宋" w:eastAsia="彩虹粗仿宋"/>
          <w:sz w:val="30"/>
          <w:szCs w:val="30"/>
        </w:rPr>
      </w:pPr>
      <w:r>
        <w:rPr>
          <w:rFonts w:hint="eastAsia" w:ascii="彩虹粗仿宋" w:eastAsia="彩虹粗仿宋"/>
          <w:sz w:val="30"/>
          <w:szCs w:val="30"/>
        </w:rPr>
        <w:t>5、按照要求及时调换巡查工作中的不合格人员，保证巡查有关工作正常运转。</w:t>
      </w:r>
    </w:p>
    <w:p>
      <w:pPr>
        <w:numPr>
          <w:ilvl w:val="0"/>
          <w:numId w:val="1"/>
        </w:numPr>
        <w:adjustRightInd w:val="0"/>
        <w:snapToGrid w:val="0"/>
        <w:spacing w:line="560" w:lineRule="exact"/>
        <w:ind w:left="1287"/>
        <w:outlineLvl w:val="0"/>
        <w:rPr>
          <w:rFonts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服务质量要求</w:t>
      </w:r>
    </w:p>
    <w:p>
      <w:pPr>
        <w:widowControl/>
        <w:spacing w:line="240" w:lineRule="atLeast"/>
        <w:ind w:firstLine="600" w:firstLineChars="200"/>
        <w:rPr>
          <w:rFonts w:ascii="彩虹粗仿宋" w:hAnsi="彩虹粗仿宋" w:eastAsia="彩虹粗仿宋" w:cs="彩虹粗仿宋"/>
          <w:kern w:val="0"/>
          <w:sz w:val="30"/>
          <w:szCs w:val="30"/>
        </w:rPr>
      </w:pPr>
      <w:r>
        <w:rPr>
          <w:rFonts w:hint="eastAsia" w:ascii="彩虹粗仿宋" w:eastAsia="彩虹粗仿宋"/>
          <w:color w:val="000000" w:themeColor="text1"/>
          <w:kern w:val="0"/>
          <w:sz w:val="30"/>
          <w:szCs w:val="30"/>
          <w14:textFill>
            <w14:solidFill>
              <w14:schemeClr w14:val="tx1"/>
            </w14:solidFill>
          </w14:textFill>
        </w:rPr>
        <w:t>1、</w:t>
      </w:r>
      <w:r>
        <w:rPr>
          <w:rFonts w:hint="eastAsia" w:ascii="彩虹粗仿宋" w:hAnsi="彩虹粗仿宋" w:eastAsia="彩虹粗仿宋" w:cs="彩虹粗仿宋"/>
          <w:kern w:val="0"/>
          <w:sz w:val="30"/>
          <w:szCs w:val="30"/>
        </w:rPr>
        <w:t>各供应商应为巡查队员配备必要的交通、通信、自卫器材，统一着装上岗；</w:t>
      </w:r>
    </w:p>
    <w:p>
      <w:pPr>
        <w:widowControl/>
        <w:spacing w:line="560" w:lineRule="exact"/>
        <w:ind w:firstLine="600" w:firstLineChars="200"/>
        <w:rPr>
          <w:rFonts w:ascii="彩虹粗仿宋" w:eastAsia="彩虹粗仿宋"/>
          <w:color w:val="000000" w:themeColor="text1"/>
          <w:kern w:val="0"/>
          <w:sz w:val="30"/>
          <w:szCs w:val="30"/>
          <w14:textFill>
            <w14:solidFill>
              <w14:schemeClr w14:val="tx1"/>
            </w14:solidFill>
          </w14:textFill>
        </w:rPr>
      </w:pPr>
      <w:r>
        <w:rPr>
          <w:rFonts w:hint="eastAsia" w:ascii="彩虹粗仿宋" w:eastAsia="彩虹粗仿宋"/>
          <w:color w:val="000000" w:themeColor="text1"/>
          <w:kern w:val="0"/>
          <w:sz w:val="30"/>
          <w:szCs w:val="30"/>
          <w14:textFill>
            <w14:solidFill>
              <w14:schemeClr w14:val="tx1"/>
            </w14:solidFill>
          </w14:textFill>
        </w:rPr>
        <w:t>2、各供应商应制定各类突发事件应急处置预案，并定期做好预案演练工作；</w:t>
      </w:r>
    </w:p>
    <w:p>
      <w:pPr>
        <w:widowControl/>
        <w:spacing w:line="560" w:lineRule="exact"/>
        <w:ind w:firstLine="600" w:firstLineChars="200"/>
        <w:rPr>
          <w:rFonts w:ascii="彩虹粗仿宋" w:hAnsi="彩虹粗仿宋" w:eastAsia="彩虹粗仿宋" w:cs="彩虹粗仿宋"/>
          <w:kern w:val="0"/>
          <w:sz w:val="30"/>
          <w:szCs w:val="30"/>
        </w:rPr>
      </w:pPr>
      <w:r>
        <w:rPr>
          <w:rFonts w:hint="eastAsia" w:ascii="彩虹粗仿宋" w:hAnsi="彩虹粗仿宋" w:eastAsia="彩虹粗仿宋" w:cs="彩虹粗仿宋"/>
          <w:kern w:val="0"/>
          <w:sz w:val="30"/>
          <w:szCs w:val="30"/>
        </w:rPr>
        <w:t>3、各供应商巡查队员应熟知掌握建行自助银行及离行式自助银行的分布情况，认真履行安全巡查职责，及时有效处置各类突发事件，有效保护建行及客户的财产；</w:t>
      </w:r>
    </w:p>
    <w:p>
      <w:pPr>
        <w:widowControl/>
        <w:spacing w:line="560" w:lineRule="exact"/>
        <w:ind w:firstLine="600" w:firstLineChars="200"/>
        <w:rPr>
          <w:rFonts w:ascii="彩虹粗仿宋" w:eastAsia="彩虹粗仿宋"/>
          <w:color w:val="000000" w:themeColor="text1"/>
          <w:kern w:val="0"/>
          <w:sz w:val="30"/>
          <w:szCs w:val="30"/>
          <w14:textFill>
            <w14:solidFill>
              <w14:schemeClr w14:val="tx1"/>
            </w14:solidFill>
          </w14:textFill>
        </w:rPr>
      </w:pPr>
      <w:r>
        <w:rPr>
          <w:rFonts w:hint="eastAsia" w:ascii="彩虹粗仿宋" w:hAnsi="彩虹粗仿宋" w:eastAsia="彩虹粗仿宋" w:cs="彩虹粗仿宋"/>
          <w:kern w:val="0"/>
          <w:sz w:val="30"/>
          <w:szCs w:val="30"/>
        </w:rPr>
        <w:t>4、各供应商应安排专人作为建行巡查业务的工作联系人，负责与建行就巡查服务的监管、工作规划等进行协调、沟通，并根据实际情况召开工作联席会，互相通报巡查服务、监管情况，指定下一步工作计划；</w:t>
      </w:r>
    </w:p>
    <w:p>
      <w:pPr>
        <w:widowControl/>
        <w:spacing w:line="560" w:lineRule="exact"/>
        <w:ind w:firstLine="600" w:firstLineChars="200"/>
        <w:rPr>
          <w:rFonts w:ascii="彩虹粗仿宋" w:eastAsia="彩虹粗仿宋"/>
          <w:color w:val="000000" w:themeColor="text1"/>
          <w:kern w:val="0"/>
          <w:sz w:val="30"/>
          <w:szCs w:val="30"/>
          <w14:textFill>
            <w14:solidFill>
              <w14:schemeClr w14:val="tx1"/>
            </w14:solidFill>
          </w14:textFill>
        </w:rPr>
      </w:pPr>
      <w:r>
        <w:rPr>
          <w:rFonts w:hint="eastAsia" w:ascii="彩虹粗仿宋" w:eastAsia="彩虹粗仿宋"/>
          <w:color w:val="000000" w:themeColor="text1"/>
          <w:kern w:val="0"/>
          <w:sz w:val="30"/>
          <w:szCs w:val="30"/>
          <w14:textFill>
            <w14:solidFill>
              <w14:schemeClr w14:val="tx1"/>
            </w14:solidFill>
          </w14:textFill>
        </w:rPr>
        <w:t>5、</w:t>
      </w:r>
      <w:r>
        <w:rPr>
          <w:rFonts w:hint="eastAsia" w:ascii="彩虹粗仿宋" w:hAnsi="彩虹粗仿宋" w:eastAsia="彩虹粗仿宋" w:cs="彩虹粗仿宋"/>
          <w:kern w:val="0"/>
          <w:sz w:val="30"/>
          <w:szCs w:val="30"/>
        </w:rPr>
        <w:t>因供应商巡查队员工作失察，出现</w:t>
      </w:r>
      <w:r>
        <w:rPr>
          <w:rFonts w:hint="eastAsia" w:ascii="彩虹粗仿宋" w:eastAsia="彩虹粗仿宋"/>
          <w:color w:val="000000" w:themeColor="text1"/>
          <w:kern w:val="0"/>
          <w:sz w:val="30"/>
          <w:szCs w:val="30"/>
          <w14:textFill>
            <w14:solidFill>
              <w14:schemeClr w14:val="tx1"/>
            </w14:solidFill>
          </w14:textFill>
        </w:rPr>
        <w:t>张贴非法广告、虚假提示、堵塞出钞口或安装有密码键盘、微型摄像机、读卡器、巴黎钩、窃听器等情况</w:t>
      </w:r>
      <w:r>
        <w:rPr>
          <w:rFonts w:hint="eastAsia" w:ascii="彩虹粗仿宋" w:hAnsi="彩虹粗仿宋" w:eastAsia="彩虹粗仿宋" w:cs="彩虹粗仿宋"/>
          <w:kern w:val="0"/>
          <w:sz w:val="30"/>
          <w:szCs w:val="30"/>
        </w:rPr>
        <w:t>造成</w:t>
      </w:r>
      <w:r>
        <w:rPr>
          <w:rFonts w:hint="eastAsia" w:ascii="彩虹粗仿宋" w:eastAsia="彩虹粗仿宋"/>
          <w:color w:val="000000" w:themeColor="text1"/>
          <w:kern w:val="0"/>
          <w:sz w:val="30"/>
          <w:szCs w:val="30"/>
          <w14:textFill>
            <w14:solidFill>
              <w14:schemeClr w14:val="tx1"/>
            </w14:solidFill>
          </w14:textFill>
        </w:rPr>
        <w:t>的损失，由供应商负责；</w:t>
      </w:r>
    </w:p>
    <w:p>
      <w:pPr>
        <w:widowControl/>
        <w:spacing w:line="560" w:lineRule="exact"/>
        <w:ind w:firstLine="600" w:firstLineChars="200"/>
        <w:rPr>
          <w:rFonts w:ascii="彩虹粗仿宋" w:eastAsia="彩虹粗仿宋"/>
          <w:kern w:val="0"/>
          <w:sz w:val="30"/>
          <w:szCs w:val="30"/>
        </w:rPr>
      </w:pPr>
      <w:r>
        <w:rPr>
          <w:rFonts w:hint="eastAsia" w:ascii="彩虹粗仿宋" w:eastAsia="彩虹粗仿宋"/>
          <w:kern w:val="0"/>
          <w:sz w:val="30"/>
          <w:szCs w:val="30"/>
        </w:rPr>
        <w:t>6、建行安全保卫中心将通过监控录像不定期进行检查，对各供应商巡查人员达不到工作要求和标准、完不成巡查工作质量的，建行有权扣除当月服务费的10%；给建行造成重大损失或给建行造成负面舆情影响的，建行有权终止合同，并追究供应商的违约责任。</w:t>
      </w:r>
    </w:p>
    <w:p>
      <w:pPr>
        <w:widowControl/>
        <w:spacing w:line="560" w:lineRule="exact"/>
        <w:ind w:firstLine="600" w:firstLineChars="200"/>
        <w:rPr>
          <w:rFonts w:ascii="彩虹粗仿宋" w:eastAsia="彩虹粗仿宋"/>
          <w:kern w:val="0"/>
          <w:sz w:val="30"/>
          <w:szCs w:val="30"/>
        </w:rPr>
      </w:pPr>
      <w:r>
        <w:rPr>
          <w:rFonts w:hint="eastAsia" w:ascii="彩虹粗仿宋" w:eastAsia="彩虹粗仿宋"/>
          <w:kern w:val="0"/>
          <w:sz w:val="30"/>
          <w:szCs w:val="30"/>
        </w:rPr>
        <w:t>7、</w:t>
      </w:r>
      <w:r>
        <w:rPr>
          <w:rFonts w:hint="eastAsia" w:ascii="彩虹粗仿宋" w:hAnsi="彩虹粗仿宋" w:eastAsia="彩虹粗仿宋" w:cs="彩虹粗仿宋"/>
          <w:kern w:val="0"/>
          <w:sz w:val="30"/>
          <w:szCs w:val="30"/>
        </w:rPr>
        <w:t>各供应商应妥善保管好巡查内容以及相关资料，并进行保密，不得以任何形式擅自使用、复制、传播、散布、公布和向第三方披露，否则承担相应的法律责任；</w:t>
      </w:r>
    </w:p>
    <w:p>
      <w:pPr>
        <w:widowControl/>
        <w:spacing w:line="560" w:lineRule="exact"/>
        <w:ind w:firstLine="600" w:firstLineChars="200"/>
        <w:rPr>
          <w:rFonts w:ascii="彩虹粗仿宋" w:eastAsia="彩虹粗仿宋"/>
          <w:kern w:val="0"/>
          <w:sz w:val="30"/>
          <w:szCs w:val="30"/>
        </w:rPr>
      </w:pPr>
      <w:r>
        <w:rPr>
          <w:rFonts w:hint="eastAsia" w:ascii="彩虹粗仿宋" w:eastAsia="彩虹粗仿宋"/>
          <w:kern w:val="0"/>
          <w:sz w:val="30"/>
          <w:szCs w:val="30"/>
        </w:rPr>
        <w:t>8、因供应商或其工作人员的行为导致建行财产、人员安全受到损害的，应当依法承担相应的法律责任；</w:t>
      </w:r>
    </w:p>
    <w:p>
      <w:pPr>
        <w:widowControl/>
        <w:spacing w:line="560" w:lineRule="exact"/>
        <w:ind w:firstLine="600" w:firstLineChars="200"/>
        <w:rPr>
          <w:rFonts w:ascii="彩虹粗仿宋" w:eastAsia="彩虹粗仿宋"/>
          <w:kern w:val="0"/>
          <w:sz w:val="30"/>
          <w:szCs w:val="30"/>
        </w:rPr>
      </w:pPr>
      <w:r>
        <w:rPr>
          <w:rFonts w:hint="eastAsia" w:ascii="彩虹粗仿宋" w:eastAsia="彩虹粗仿宋"/>
          <w:kern w:val="0"/>
          <w:sz w:val="30"/>
          <w:szCs w:val="30"/>
        </w:rPr>
        <w:t>9、其他有关事项。</w:t>
      </w:r>
    </w:p>
    <w:p>
      <w:pPr>
        <w:numPr>
          <w:ilvl w:val="0"/>
          <w:numId w:val="1"/>
        </w:numPr>
        <w:adjustRightInd w:val="0"/>
        <w:snapToGrid w:val="0"/>
        <w:spacing w:line="560" w:lineRule="exact"/>
        <w:ind w:left="1287"/>
        <w:outlineLvl w:val="0"/>
        <w:rPr>
          <w:rFonts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服务数量要求</w:t>
      </w:r>
    </w:p>
    <w:p>
      <w:pPr>
        <w:adjustRightInd w:val="0"/>
        <w:snapToGrid w:val="0"/>
        <w:spacing w:line="560" w:lineRule="exact"/>
        <w:ind w:firstLine="600" w:firstLineChars="200"/>
        <w:rPr>
          <w:rFonts w:ascii="彩虹粗仿宋" w:eastAsia="彩虹粗仿宋"/>
          <w:sz w:val="30"/>
          <w:szCs w:val="30"/>
        </w:rPr>
      </w:pPr>
      <w:r>
        <w:rPr>
          <w:rFonts w:hint="eastAsia" w:ascii="彩虹粗仿宋" w:hAnsi="宋体" w:eastAsia="彩虹粗仿宋"/>
          <w:snapToGrid w:val="0"/>
          <w:color w:val="000000"/>
          <w:sz w:val="30"/>
          <w:szCs w:val="30"/>
          <w:shd w:val="clear" w:color="auto" w:fill="FFFFFF"/>
        </w:rPr>
        <w:t>本次采购的</w:t>
      </w:r>
      <w:r>
        <w:rPr>
          <w:rFonts w:hint="eastAsia" w:ascii="彩虹粗仿宋" w:eastAsia="彩虹粗仿宋"/>
          <w:sz w:val="30"/>
          <w:szCs w:val="30"/>
        </w:rPr>
        <w:t>城区及自助银行共计29个自助银行巡查点（其中在行式23个、离行式6个）。</w:t>
      </w:r>
    </w:p>
    <w:p>
      <w:pPr>
        <w:adjustRightInd w:val="0"/>
        <w:snapToGrid w:val="0"/>
        <w:spacing w:line="560" w:lineRule="exact"/>
        <w:rPr>
          <w:rFonts w:ascii="彩虹粗仿宋" w:eastAsia="彩虹粗仿宋"/>
          <w:sz w:val="30"/>
          <w:szCs w:val="30"/>
        </w:rPr>
      </w:pPr>
      <w:r>
        <w:rPr>
          <w:rFonts w:hint="eastAsia" w:ascii="彩虹粗仿宋" w:eastAsia="彩虹粗仿宋" w:hAnsiTheme="minorEastAsia"/>
          <w:snapToGrid w:val="0"/>
          <w:color w:val="000000"/>
          <w:kern w:val="0"/>
          <w:sz w:val="28"/>
          <w:szCs w:val="28"/>
        </w:rPr>
        <w:t>河南同盟保安服务有限公司巡查点：巡查20个点：172800元/年</w:t>
      </w:r>
    </w:p>
    <w:tbl>
      <w:tblPr>
        <w:tblStyle w:val="2"/>
        <w:tblW w:w="6960" w:type="dxa"/>
        <w:tblInd w:w="93" w:type="dxa"/>
        <w:tblLayout w:type="autofit"/>
        <w:tblCellMar>
          <w:top w:w="0" w:type="dxa"/>
          <w:left w:w="108" w:type="dxa"/>
          <w:bottom w:w="0" w:type="dxa"/>
          <w:right w:w="108" w:type="dxa"/>
        </w:tblCellMar>
      </w:tblPr>
      <w:tblGrid>
        <w:gridCol w:w="592"/>
        <w:gridCol w:w="2668"/>
        <w:gridCol w:w="3700"/>
      </w:tblGrid>
      <w:tr>
        <w:tblPrEx>
          <w:tblCellMar>
            <w:top w:w="0" w:type="dxa"/>
            <w:left w:w="108" w:type="dxa"/>
            <w:bottom w:w="0" w:type="dxa"/>
            <w:right w:w="108" w:type="dxa"/>
          </w:tblCellMar>
        </w:tblPrEx>
        <w:trPr>
          <w:trHeight w:val="312" w:hRule="atLeast"/>
        </w:trPr>
        <w:tc>
          <w:tcPr>
            <w:tcW w:w="5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序号</w:t>
            </w:r>
          </w:p>
        </w:tc>
        <w:tc>
          <w:tcPr>
            <w:tcW w:w="266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 xml:space="preserve">场所名称        </w:t>
            </w:r>
          </w:p>
        </w:tc>
        <w:tc>
          <w:tcPr>
            <w:tcW w:w="37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 xml:space="preserve">场所地址              </w:t>
            </w:r>
          </w:p>
        </w:tc>
      </w:tr>
      <w:tr>
        <w:tblPrEx>
          <w:tblCellMar>
            <w:top w:w="0" w:type="dxa"/>
            <w:left w:w="108" w:type="dxa"/>
            <w:bottom w:w="0" w:type="dxa"/>
            <w:right w:w="108" w:type="dxa"/>
          </w:tblCellMar>
        </w:tblPrEx>
        <w:trPr>
          <w:trHeight w:val="312" w:hRule="atLeast"/>
        </w:trPr>
        <w:tc>
          <w:tcPr>
            <w:tcW w:w="59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b/>
                <w:bCs/>
                <w:color w:val="000000"/>
                <w:kern w:val="0"/>
                <w:sz w:val="20"/>
                <w:szCs w:val="20"/>
              </w:rPr>
            </w:pPr>
          </w:p>
        </w:tc>
        <w:tc>
          <w:tcPr>
            <w:tcW w:w="266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b/>
                <w:bCs/>
                <w:color w:val="000000"/>
                <w:kern w:val="0"/>
                <w:sz w:val="20"/>
                <w:szCs w:val="20"/>
              </w:rPr>
            </w:pPr>
          </w:p>
        </w:tc>
        <w:tc>
          <w:tcPr>
            <w:tcW w:w="37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b/>
                <w:bCs/>
                <w:color w:val="000000"/>
                <w:kern w:val="0"/>
                <w:sz w:val="20"/>
                <w:szCs w:val="20"/>
              </w:rPr>
            </w:pPr>
          </w:p>
        </w:tc>
      </w:tr>
      <w:tr>
        <w:tblPrEx>
          <w:tblCellMar>
            <w:top w:w="0" w:type="dxa"/>
            <w:left w:w="108" w:type="dxa"/>
            <w:bottom w:w="0" w:type="dxa"/>
            <w:right w:w="108" w:type="dxa"/>
          </w:tblCellMar>
        </w:tblPrEx>
        <w:trPr>
          <w:trHeight w:val="299" w:hRule="atLeast"/>
        </w:trPr>
        <w:tc>
          <w:tcPr>
            <w:tcW w:w="5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2668"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洪门支行</w:t>
            </w:r>
          </w:p>
        </w:tc>
        <w:tc>
          <w:tcPr>
            <w:tcW w:w="370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新中大道与华兰大道交叉口南200米路</w:t>
            </w:r>
          </w:p>
        </w:tc>
      </w:tr>
      <w:tr>
        <w:tblPrEx>
          <w:tblCellMar>
            <w:top w:w="0" w:type="dxa"/>
            <w:left w:w="108" w:type="dxa"/>
            <w:bottom w:w="0" w:type="dxa"/>
            <w:right w:w="108" w:type="dxa"/>
          </w:tblCellMar>
        </w:tblPrEx>
        <w:trPr>
          <w:trHeight w:val="275" w:hRule="atLeast"/>
        </w:trPr>
        <w:tc>
          <w:tcPr>
            <w:tcW w:w="59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2</w:t>
            </w:r>
          </w:p>
        </w:tc>
        <w:tc>
          <w:tcPr>
            <w:tcW w:w="26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城南支行</w:t>
            </w:r>
          </w:p>
        </w:tc>
        <w:tc>
          <w:tcPr>
            <w:tcW w:w="37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新飞大道银基广场</w:t>
            </w:r>
          </w:p>
        </w:tc>
      </w:tr>
      <w:tr>
        <w:tblPrEx>
          <w:tblCellMar>
            <w:top w:w="0" w:type="dxa"/>
            <w:left w:w="108" w:type="dxa"/>
            <w:bottom w:w="0" w:type="dxa"/>
            <w:right w:w="108" w:type="dxa"/>
          </w:tblCellMar>
        </w:tblPrEx>
        <w:trPr>
          <w:trHeight w:val="265" w:hRule="atLeast"/>
        </w:trPr>
        <w:tc>
          <w:tcPr>
            <w:tcW w:w="59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3</w:t>
            </w:r>
          </w:p>
        </w:tc>
        <w:tc>
          <w:tcPr>
            <w:tcW w:w="26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平东支行</w:t>
            </w:r>
          </w:p>
        </w:tc>
        <w:tc>
          <w:tcPr>
            <w:tcW w:w="37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平原路与政府西路交叉口</w:t>
            </w:r>
          </w:p>
        </w:tc>
      </w:tr>
      <w:tr>
        <w:tblPrEx>
          <w:tblCellMar>
            <w:top w:w="0" w:type="dxa"/>
            <w:left w:w="108" w:type="dxa"/>
            <w:bottom w:w="0" w:type="dxa"/>
            <w:right w:w="108" w:type="dxa"/>
          </w:tblCellMar>
        </w:tblPrEx>
        <w:trPr>
          <w:trHeight w:val="282" w:hRule="atLeast"/>
        </w:trPr>
        <w:tc>
          <w:tcPr>
            <w:tcW w:w="59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4</w:t>
            </w:r>
          </w:p>
        </w:tc>
        <w:tc>
          <w:tcPr>
            <w:tcW w:w="26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金穗大道支行</w:t>
            </w:r>
          </w:p>
        </w:tc>
        <w:tc>
          <w:tcPr>
            <w:tcW w:w="37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新中大道与金穗大道口西</w:t>
            </w:r>
          </w:p>
        </w:tc>
      </w:tr>
      <w:tr>
        <w:tblPrEx>
          <w:tblCellMar>
            <w:top w:w="0" w:type="dxa"/>
            <w:left w:w="108" w:type="dxa"/>
            <w:bottom w:w="0" w:type="dxa"/>
            <w:right w:w="108" w:type="dxa"/>
          </w:tblCellMar>
        </w:tblPrEx>
        <w:trPr>
          <w:trHeight w:val="285" w:hRule="atLeast"/>
        </w:trPr>
        <w:tc>
          <w:tcPr>
            <w:tcW w:w="59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5</w:t>
            </w:r>
          </w:p>
        </w:tc>
        <w:tc>
          <w:tcPr>
            <w:tcW w:w="26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医学院离行式自助银行</w:t>
            </w:r>
          </w:p>
        </w:tc>
        <w:tc>
          <w:tcPr>
            <w:tcW w:w="37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医学院南门西邻一楼西南角</w:t>
            </w:r>
          </w:p>
        </w:tc>
      </w:tr>
      <w:tr>
        <w:tblPrEx>
          <w:tblCellMar>
            <w:top w:w="0" w:type="dxa"/>
            <w:left w:w="108" w:type="dxa"/>
            <w:bottom w:w="0" w:type="dxa"/>
            <w:right w:w="108" w:type="dxa"/>
          </w:tblCellMar>
        </w:tblPrEx>
        <w:trPr>
          <w:trHeight w:val="233" w:hRule="atLeast"/>
        </w:trPr>
        <w:tc>
          <w:tcPr>
            <w:tcW w:w="59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6</w:t>
            </w:r>
          </w:p>
        </w:tc>
        <w:tc>
          <w:tcPr>
            <w:tcW w:w="26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平原路东段离行式自助银行</w:t>
            </w:r>
          </w:p>
        </w:tc>
        <w:tc>
          <w:tcPr>
            <w:tcW w:w="37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平原路443号（建行楼下）</w:t>
            </w:r>
          </w:p>
        </w:tc>
      </w:tr>
      <w:tr>
        <w:tblPrEx>
          <w:tblCellMar>
            <w:top w:w="0" w:type="dxa"/>
            <w:left w:w="108" w:type="dxa"/>
            <w:bottom w:w="0" w:type="dxa"/>
            <w:right w:w="108" w:type="dxa"/>
          </w:tblCellMar>
        </w:tblPrEx>
        <w:trPr>
          <w:trHeight w:val="285" w:hRule="atLeast"/>
        </w:trPr>
        <w:tc>
          <w:tcPr>
            <w:tcW w:w="59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7</w:t>
            </w:r>
          </w:p>
        </w:tc>
        <w:tc>
          <w:tcPr>
            <w:tcW w:w="26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北干道支行</w:t>
            </w:r>
          </w:p>
        </w:tc>
        <w:tc>
          <w:tcPr>
            <w:tcW w:w="37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宏力大道529号</w:t>
            </w:r>
          </w:p>
        </w:tc>
      </w:tr>
      <w:tr>
        <w:tblPrEx>
          <w:tblCellMar>
            <w:top w:w="0" w:type="dxa"/>
            <w:left w:w="108" w:type="dxa"/>
            <w:bottom w:w="0" w:type="dxa"/>
            <w:right w:w="108" w:type="dxa"/>
          </w:tblCellMar>
        </w:tblPrEx>
        <w:trPr>
          <w:trHeight w:val="285" w:hRule="atLeast"/>
        </w:trPr>
        <w:tc>
          <w:tcPr>
            <w:tcW w:w="59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8</w:t>
            </w:r>
          </w:p>
        </w:tc>
        <w:tc>
          <w:tcPr>
            <w:tcW w:w="26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宏力大道离行式自助银行</w:t>
            </w:r>
          </w:p>
        </w:tc>
        <w:tc>
          <w:tcPr>
            <w:tcW w:w="37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宏力大道355号</w:t>
            </w:r>
          </w:p>
        </w:tc>
      </w:tr>
      <w:tr>
        <w:tblPrEx>
          <w:tblCellMar>
            <w:top w:w="0" w:type="dxa"/>
            <w:left w:w="108" w:type="dxa"/>
            <w:bottom w:w="0" w:type="dxa"/>
            <w:right w:w="108" w:type="dxa"/>
          </w:tblCellMar>
        </w:tblPrEx>
        <w:trPr>
          <w:trHeight w:val="285" w:hRule="atLeast"/>
        </w:trPr>
        <w:tc>
          <w:tcPr>
            <w:tcW w:w="59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9</w:t>
            </w:r>
          </w:p>
        </w:tc>
        <w:tc>
          <w:tcPr>
            <w:tcW w:w="26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八一路支行</w:t>
            </w:r>
          </w:p>
        </w:tc>
        <w:tc>
          <w:tcPr>
            <w:tcW w:w="37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西华大道333号</w:t>
            </w:r>
          </w:p>
        </w:tc>
      </w:tr>
      <w:tr>
        <w:tblPrEx>
          <w:tblCellMar>
            <w:top w:w="0" w:type="dxa"/>
            <w:left w:w="108" w:type="dxa"/>
            <w:bottom w:w="0" w:type="dxa"/>
            <w:right w:w="108" w:type="dxa"/>
          </w:tblCellMar>
        </w:tblPrEx>
        <w:trPr>
          <w:trHeight w:val="285" w:hRule="atLeast"/>
        </w:trPr>
        <w:tc>
          <w:tcPr>
            <w:tcW w:w="59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10</w:t>
            </w:r>
          </w:p>
        </w:tc>
        <w:tc>
          <w:tcPr>
            <w:tcW w:w="26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向阳路支行</w:t>
            </w:r>
          </w:p>
        </w:tc>
        <w:tc>
          <w:tcPr>
            <w:tcW w:w="37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向阳路中段（371家属院东临）</w:t>
            </w:r>
          </w:p>
        </w:tc>
      </w:tr>
      <w:tr>
        <w:tblPrEx>
          <w:tblCellMar>
            <w:top w:w="0" w:type="dxa"/>
            <w:left w:w="108" w:type="dxa"/>
            <w:bottom w:w="0" w:type="dxa"/>
            <w:right w:w="108" w:type="dxa"/>
          </w:tblCellMar>
        </w:tblPrEx>
        <w:trPr>
          <w:trHeight w:val="285" w:hRule="atLeast"/>
        </w:trPr>
        <w:tc>
          <w:tcPr>
            <w:tcW w:w="59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11</w:t>
            </w:r>
          </w:p>
        </w:tc>
        <w:tc>
          <w:tcPr>
            <w:tcW w:w="26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北站支行</w:t>
            </w:r>
          </w:p>
        </w:tc>
        <w:tc>
          <w:tcPr>
            <w:tcW w:w="37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凤泉区区府路中段宏铭广场</w:t>
            </w:r>
          </w:p>
        </w:tc>
      </w:tr>
      <w:tr>
        <w:tblPrEx>
          <w:tblCellMar>
            <w:top w:w="0" w:type="dxa"/>
            <w:left w:w="108" w:type="dxa"/>
            <w:bottom w:w="0" w:type="dxa"/>
            <w:right w:w="108" w:type="dxa"/>
          </w:tblCellMar>
        </w:tblPrEx>
        <w:trPr>
          <w:trHeight w:val="285" w:hRule="atLeast"/>
        </w:trPr>
        <w:tc>
          <w:tcPr>
            <w:tcW w:w="59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12</w:t>
            </w:r>
          </w:p>
        </w:tc>
        <w:tc>
          <w:tcPr>
            <w:tcW w:w="26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电厂离行式自助银行</w:t>
            </w:r>
          </w:p>
        </w:tc>
        <w:tc>
          <w:tcPr>
            <w:tcW w:w="37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凤泉区宝山路电厂家属院</w:t>
            </w:r>
          </w:p>
        </w:tc>
      </w:tr>
      <w:tr>
        <w:tblPrEx>
          <w:tblCellMar>
            <w:top w:w="0" w:type="dxa"/>
            <w:left w:w="108" w:type="dxa"/>
            <w:bottom w:w="0" w:type="dxa"/>
            <w:right w:w="108" w:type="dxa"/>
          </w:tblCellMar>
        </w:tblPrEx>
        <w:trPr>
          <w:trHeight w:val="285" w:hRule="atLeast"/>
        </w:trPr>
        <w:tc>
          <w:tcPr>
            <w:tcW w:w="59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13</w:t>
            </w:r>
          </w:p>
        </w:tc>
        <w:tc>
          <w:tcPr>
            <w:tcW w:w="26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经开区支行</w:t>
            </w:r>
          </w:p>
        </w:tc>
        <w:tc>
          <w:tcPr>
            <w:tcW w:w="37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经济开发区院内</w:t>
            </w:r>
          </w:p>
        </w:tc>
      </w:tr>
      <w:tr>
        <w:tblPrEx>
          <w:tblCellMar>
            <w:top w:w="0" w:type="dxa"/>
            <w:left w:w="108" w:type="dxa"/>
            <w:bottom w:w="0" w:type="dxa"/>
            <w:right w:w="108" w:type="dxa"/>
          </w:tblCellMar>
        </w:tblPrEx>
        <w:trPr>
          <w:trHeight w:val="285" w:hRule="atLeast"/>
        </w:trPr>
        <w:tc>
          <w:tcPr>
            <w:tcW w:w="59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14</w:t>
            </w:r>
          </w:p>
        </w:tc>
        <w:tc>
          <w:tcPr>
            <w:tcW w:w="26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高新区支行</w:t>
            </w:r>
          </w:p>
        </w:tc>
        <w:tc>
          <w:tcPr>
            <w:tcW w:w="37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道清路与新一街交叉口西南</w:t>
            </w:r>
          </w:p>
        </w:tc>
      </w:tr>
      <w:tr>
        <w:tblPrEx>
          <w:tblCellMar>
            <w:top w:w="0" w:type="dxa"/>
            <w:left w:w="108" w:type="dxa"/>
            <w:bottom w:w="0" w:type="dxa"/>
            <w:right w:w="108" w:type="dxa"/>
          </w:tblCellMar>
        </w:tblPrEx>
        <w:trPr>
          <w:trHeight w:val="285" w:hRule="atLeast"/>
        </w:trPr>
        <w:tc>
          <w:tcPr>
            <w:tcW w:w="59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15</w:t>
            </w:r>
          </w:p>
        </w:tc>
        <w:tc>
          <w:tcPr>
            <w:tcW w:w="26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新乡县支行</w:t>
            </w:r>
          </w:p>
        </w:tc>
        <w:tc>
          <w:tcPr>
            <w:tcW w:w="37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小冀镇中央大道和冀中路西南金鑫大厦</w:t>
            </w:r>
          </w:p>
        </w:tc>
      </w:tr>
      <w:tr>
        <w:tblPrEx>
          <w:tblCellMar>
            <w:top w:w="0" w:type="dxa"/>
            <w:left w:w="108" w:type="dxa"/>
            <w:bottom w:w="0" w:type="dxa"/>
            <w:right w:w="108" w:type="dxa"/>
          </w:tblCellMar>
        </w:tblPrEx>
        <w:trPr>
          <w:trHeight w:val="285" w:hRule="atLeast"/>
        </w:trPr>
        <w:tc>
          <w:tcPr>
            <w:tcW w:w="59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16</w:t>
            </w:r>
          </w:p>
        </w:tc>
        <w:tc>
          <w:tcPr>
            <w:tcW w:w="26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市区支行</w:t>
            </w:r>
          </w:p>
        </w:tc>
        <w:tc>
          <w:tcPr>
            <w:tcW w:w="3700" w:type="dxa"/>
            <w:tcBorders>
              <w:top w:val="nil"/>
              <w:left w:val="nil"/>
              <w:bottom w:val="single" w:color="auto" w:sz="4" w:space="0"/>
              <w:right w:val="single" w:color="auto" w:sz="4" w:space="0"/>
            </w:tcBorders>
            <w:shd w:val="clear" w:color="auto" w:fill="auto"/>
            <w:vAlign w:val="bottom"/>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人民路中段</w:t>
            </w:r>
            <w:r>
              <w:rPr>
                <w:rFonts w:ascii="Times New Roman" w:hAnsi="Times New Roman" w:eastAsia="宋体" w:cs="Times New Roman"/>
                <w:color w:val="000000"/>
                <w:kern w:val="0"/>
                <w:sz w:val="20"/>
                <w:szCs w:val="20"/>
              </w:rPr>
              <w:t>295</w:t>
            </w:r>
            <w:r>
              <w:rPr>
                <w:rFonts w:hint="eastAsia" w:ascii="宋体" w:hAnsi="宋体" w:eastAsia="宋体" w:cs="宋体"/>
                <w:color w:val="000000"/>
                <w:kern w:val="0"/>
                <w:sz w:val="20"/>
                <w:szCs w:val="20"/>
              </w:rPr>
              <w:t>号</w:t>
            </w:r>
          </w:p>
        </w:tc>
      </w:tr>
      <w:tr>
        <w:tblPrEx>
          <w:tblCellMar>
            <w:top w:w="0" w:type="dxa"/>
            <w:left w:w="108" w:type="dxa"/>
            <w:bottom w:w="0" w:type="dxa"/>
            <w:right w:w="108" w:type="dxa"/>
          </w:tblCellMar>
        </w:tblPrEx>
        <w:trPr>
          <w:trHeight w:val="285" w:hRule="atLeast"/>
        </w:trPr>
        <w:tc>
          <w:tcPr>
            <w:tcW w:w="59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17</w:t>
            </w:r>
          </w:p>
        </w:tc>
        <w:tc>
          <w:tcPr>
            <w:tcW w:w="26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平原路支行</w:t>
            </w:r>
          </w:p>
        </w:tc>
        <w:tc>
          <w:tcPr>
            <w:tcW w:w="37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平原路168号</w:t>
            </w:r>
          </w:p>
        </w:tc>
      </w:tr>
      <w:tr>
        <w:tblPrEx>
          <w:tblCellMar>
            <w:top w:w="0" w:type="dxa"/>
            <w:left w:w="108" w:type="dxa"/>
            <w:bottom w:w="0" w:type="dxa"/>
            <w:right w:w="108" w:type="dxa"/>
          </w:tblCellMar>
        </w:tblPrEx>
        <w:trPr>
          <w:trHeight w:val="285" w:hRule="atLeast"/>
        </w:trPr>
        <w:tc>
          <w:tcPr>
            <w:tcW w:w="59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18</w:t>
            </w:r>
          </w:p>
        </w:tc>
        <w:tc>
          <w:tcPr>
            <w:tcW w:w="26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牧野支行</w:t>
            </w:r>
          </w:p>
        </w:tc>
        <w:tc>
          <w:tcPr>
            <w:tcW w:w="37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平原路510号</w:t>
            </w:r>
          </w:p>
        </w:tc>
      </w:tr>
      <w:tr>
        <w:tblPrEx>
          <w:tblCellMar>
            <w:top w:w="0" w:type="dxa"/>
            <w:left w:w="108" w:type="dxa"/>
            <w:bottom w:w="0" w:type="dxa"/>
            <w:right w:w="108" w:type="dxa"/>
          </w:tblCellMar>
        </w:tblPrEx>
        <w:trPr>
          <w:trHeight w:val="285" w:hRule="atLeast"/>
        </w:trPr>
        <w:tc>
          <w:tcPr>
            <w:tcW w:w="59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19</w:t>
            </w:r>
          </w:p>
        </w:tc>
        <w:tc>
          <w:tcPr>
            <w:tcW w:w="26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健康路支行</w:t>
            </w:r>
          </w:p>
        </w:tc>
        <w:tc>
          <w:tcPr>
            <w:tcW w:w="37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健康路东段47号</w:t>
            </w:r>
          </w:p>
        </w:tc>
      </w:tr>
      <w:tr>
        <w:tblPrEx>
          <w:tblCellMar>
            <w:top w:w="0" w:type="dxa"/>
            <w:left w:w="108" w:type="dxa"/>
            <w:bottom w:w="0" w:type="dxa"/>
            <w:right w:w="108" w:type="dxa"/>
          </w:tblCellMar>
        </w:tblPrEx>
        <w:trPr>
          <w:trHeight w:val="285" w:hRule="atLeast"/>
        </w:trPr>
        <w:tc>
          <w:tcPr>
            <w:tcW w:w="59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20</w:t>
            </w:r>
          </w:p>
        </w:tc>
        <w:tc>
          <w:tcPr>
            <w:tcW w:w="26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北西支行</w:t>
            </w:r>
          </w:p>
        </w:tc>
        <w:tc>
          <w:tcPr>
            <w:tcW w:w="37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宏力大道西段601号</w:t>
            </w:r>
          </w:p>
        </w:tc>
      </w:tr>
    </w:tbl>
    <w:p>
      <w:pPr>
        <w:adjustRightInd w:val="0"/>
        <w:snapToGrid w:val="0"/>
        <w:spacing w:line="560" w:lineRule="exact"/>
        <w:rPr>
          <w:rFonts w:ascii="彩虹粗仿宋" w:hAnsi="宋体" w:eastAsia="彩虹粗仿宋"/>
          <w:snapToGrid w:val="0"/>
          <w:color w:val="000000"/>
          <w:kern w:val="0"/>
          <w:sz w:val="28"/>
          <w:szCs w:val="28"/>
        </w:rPr>
      </w:pPr>
    </w:p>
    <w:p>
      <w:pPr>
        <w:adjustRightInd w:val="0"/>
        <w:snapToGrid w:val="0"/>
        <w:spacing w:line="560" w:lineRule="exact"/>
        <w:rPr>
          <w:rFonts w:ascii="彩虹粗仿宋" w:hAnsi="宋体" w:eastAsia="彩虹粗仿宋"/>
          <w:snapToGrid w:val="0"/>
          <w:color w:val="000000"/>
          <w:kern w:val="0"/>
          <w:sz w:val="28"/>
          <w:szCs w:val="28"/>
        </w:rPr>
      </w:pPr>
      <w:r>
        <w:rPr>
          <w:rFonts w:hint="eastAsia" w:ascii="彩虹粗仿宋" w:hAnsi="宋体" w:eastAsia="彩虹粗仿宋"/>
          <w:snapToGrid w:val="0"/>
          <w:color w:val="000000"/>
          <w:kern w:val="0"/>
          <w:sz w:val="28"/>
          <w:szCs w:val="28"/>
        </w:rPr>
        <w:t>新乡市联达保安服务有限公司巡查点：巡查5个点：43200元/年</w:t>
      </w:r>
    </w:p>
    <w:tbl>
      <w:tblPr>
        <w:tblStyle w:val="2"/>
        <w:tblW w:w="7460" w:type="dxa"/>
        <w:tblInd w:w="93" w:type="dxa"/>
        <w:tblLayout w:type="autofit"/>
        <w:tblCellMar>
          <w:top w:w="0" w:type="dxa"/>
          <w:left w:w="108" w:type="dxa"/>
          <w:bottom w:w="0" w:type="dxa"/>
          <w:right w:w="108" w:type="dxa"/>
        </w:tblCellMar>
      </w:tblPr>
      <w:tblGrid>
        <w:gridCol w:w="580"/>
        <w:gridCol w:w="2696"/>
        <w:gridCol w:w="4184"/>
      </w:tblGrid>
      <w:tr>
        <w:tblPrEx>
          <w:tblCellMar>
            <w:top w:w="0" w:type="dxa"/>
            <w:left w:w="108" w:type="dxa"/>
            <w:bottom w:w="0" w:type="dxa"/>
            <w:right w:w="108" w:type="dxa"/>
          </w:tblCellMar>
        </w:tblPrEx>
        <w:trPr>
          <w:trHeight w:val="312" w:hRule="atLeast"/>
        </w:trPr>
        <w:tc>
          <w:tcPr>
            <w:tcW w:w="5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序号</w:t>
            </w:r>
          </w:p>
        </w:tc>
        <w:tc>
          <w:tcPr>
            <w:tcW w:w="26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 xml:space="preserve">场所名称        </w:t>
            </w:r>
          </w:p>
        </w:tc>
        <w:tc>
          <w:tcPr>
            <w:tcW w:w="418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 xml:space="preserve">场所地址              </w:t>
            </w:r>
          </w:p>
        </w:tc>
      </w:tr>
      <w:tr>
        <w:tblPrEx>
          <w:tblCellMar>
            <w:top w:w="0" w:type="dxa"/>
            <w:left w:w="108" w:type="dxa"/>
            <w:bottom w:w="0" w:type="dxa"/>
            <w:right w:w="108" w:type="dxa"/>
          </w:tblCellMar>
        </w:tblPrEx>
        <w:trPr>
          <w:trHeight w:val="312" w:hRule="atLeast"/>
        </w:trPr>
        <w:tc>
          <w:tcPr>
            <w:tcW w:w="5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b/>
                <w:bCs/>
                <w:color w:val="000000"/>
                <w:kern w:val="0"/>
                <w:sz w:val="20"/>
                <w:szCs w:val="20"/>
              </w:rPr>
            </w:pPr>
          </w:p>
        </w:tc>
        <w:tc>
          <w:tcPr>
            <w:tcW w:w="269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b/>
                <w:bCs/>
                <w:color w:val="000000"/>
                <w:kern w:val="0"/>
                <w:sz w:val="20"/>
                <w:szCs w:val="20"/>
              </w:rPr>
            </w:pPr>
          </w:p>
        </w:tc>
        <w:tc>
          <w:tcPr>
            <w:tcW w:w="41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b/>
                <w:bCs/>
                <w:color w:val="000000"/>
                <w:kern w:val="0"/>
                <w:sz w:val="20"/>
                <w:szCs w:val="20"/>
              </w:rPr>
            </w:pPr>
          </w:p>
        </w:tc>
      </w:tr>
      <w:tr>
        <w:tblPrEx>
          <w:tblCellMar>
            <w:top w:w="0" w:type="dxa"/>
            <w:left w:w="108" w:type="dxa"/>
            <w:bottom w:w="0" w:type="dxa"/>
            <w:right w:w="108" w:type="dxa"/>
          </w:tblCellMar>
        </w:tblPrEx>
        <w:trPr>
          <w:trHeight w:val="28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2696"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河师大支行</w:t>
            </w:r>
          </w:p>
        </w:tc>
        <w:tc>
          <w:tcPr>
            <w:tcW w:w="4184"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建设路148号</w:t>
            </w:r>
          </w:p>
        </w:tc>
      </w:tr>
      <w:tr>
        <w:tblPrEx>
          <w:tblCellMar>
            <w:top w:w="0" w:type="dxa"/>
            <w:left w:w="108" w:type="dxa"/>
            <w:bottom w:w="0" w:type="dxa"/>
            <w:right w:w="108" w:type="dxa"/>
          </w:tblCellMar>
        </w:tblPrEx>
        <w:trPr>
          <w:trHeight w:val="285" w:hRule="atLeast"/>
        </w:trPr>
        <w:tc>
          <w:tcPr>
            <w:tcW w:w="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2</w:t>
            </w:r>
          </w:p>
        </w:tc>
        <w:tc>
          <w:tcPr>
            <w:tcW w:w="26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河师大离行式自助银行</w:t>
            </w:r>
          </w:p>
        </w:tc>
        <w:tc>
          <w:tcPr>
            <w:tcW w:w="41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河师大办公楼西100米</w:t>
            </w:r>
          </w:p>
        </w:tc>
      </w:tr>
      <w:tr>
        <w:tblPrEx>
          <w:tblCellMar>
            <w:top w:w="0" w:type="dxa"/>
            <w:left w:w="108" w:type="dxa"/>
            <w:bottom w:w="0" w:type="dxa"/>
            <w:right w:w="108" w:type="dxa"/>
          </w:tblCellMar>
        </w:tblPrEx>
        <w:trPr>
          <w:trHeight w:val="285" w:hRule="atLeast"/>
        </w:trPr>
        <w:tc>
          <w:tcPr>
            <w:tcW w:w="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3</w:t>
            </w:r>
          </w:p>
        </w:tc>
        <w:tc>
          <w:tcPr>
            <w:tcW w:w="26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新中大道支行</w:t>
            </w:r>
          </w:p>
        </w:tc>
        <w:tc>
          <w:tcPr>
            <w:tcW w:w="41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新中大道与荣校路口</w:t>
            </w:r>
          </w:p>
        </w:tc>
      </w:tr>
      <w:tr>
        <w:tblPrEx>
          <w:tblCellMar>
            <w:top w:w="0" w:type="dxa"/>
            <w:left w:w="108" w:type="dxa"/>
            <w:bottom w:w="0" w:type="dxa"/>
            <w:right w:w="108" w:type="dxa"/>
          </w:tblCellMar>
        </w:tblPrEx>
        <w:trPr>
          <w:trHeight w:val="285" w:hRule="atLeast"/>
        </w:trPr>
        <w:tc>
          <w:tcPr>
            <w:tcW w:w="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4</w:t>
            </w:r>
          </w:p>
        </w:tc>
        <w:tc>
          <w:tcPr>
            <w:tcW w:w="26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河师大东校区离行式自助银行</w:t>
            </w:r>
          </w:p>
        </w:tc>
        <w:tc>
          <w:tcPr>
            <w:tcW w:w="41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河师大东校区</w:t>
            </w:r>
          </w:p>
        </w:tc>
      </w:tr>
      <w:tr>
        <w:tblPrEx>
          <w:tblCellMar>
            <w:top w:w="0" w:type="dxa"/>
            <w:left w:w="108" w:type="dxa"/>
            <w:bottom w:w="0" w:type="dxa"/>
            <w:right w:w="108" w:type="dxa"/>
          </w:tblCellMar>
        </w:tblPrEx>
        <w:trPr>
          <w:trHeight w:val="285" w:hRule="atLeast"/>
        </w:trPr>
        <w:tc>
          <w:tcPr>
            <w:tcW w:w="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5</w:t>
            </w:r>
          </w:p>
        </w:tc>
        <w:tc>
          <w:tcPr>
            <w:tcW w:w="26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建设路分理处</w:t>
            </w:r>
          </w:p>
        </w:tc>
        <w:tc>
          <w:tcPr>
            <w:tcW w:w="41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劳动路与建设路交叉口</w:t>
            </w:r>
          </w:p>
        </w:tc>
      </w:tr>
    </w:tbl>
    <w:p>
      <w:pPr>
        <w:adjustRightInd w:val="0"/>
        <w:snapToGrid w:val="0"/>
        <w:spacing w:line="560" w:lineRule="exact"/>
        <w:rPr>
          <w:rFonts w:ascii="彩虹粗仿宋" w:hAnsi="宋体" w:eastAsia="彩虹粗仿宋"/>
          <w:snapToGrid w:val="0"/>
          <w:color w:val="000000"/>
          <w:kern w:val="0"/>
          <w:sz w:val="28"/>
          <w:szCs w:val="28"/>
        </w:rPr>
      </w:pPr>
      <w:r>
        <w:rPr>
          <w:rFonts w:hint="eastAsia" w:ascii="彩虹粗仿宋" w:hAnsi="宋体" w:eastAsia="彩虹粗仿宋"/>
          <w:snapToGrid w:val="0"/>
          <w:color w:val="000000"/>
          <w:kern w:val="0"/>
          <w:sz w:val="28"/>
          <w:szCs w:val="28"/>
        </w:rPr>
        <w:t>新乡市震远保安服务有限公司巡查点：巡查4个点：34320元/年</w:t>
      </w:r>
    </w:p>
    <w:tbl>
      <w:tblPr>
        <w:tblStyle w:val="2"/>
        <w:tblW w:w="7528" w:type="dxa"/>
        <w:tblInd w:w="93" w:type="dxa"/>
        <w:tblLayout w:type="autofit"/>
        <w:tblCellMar>
          <w:top w:w="0" w:type="dxa"/>
          <w:left w:w="108" w:type="dxa"/>
          <w:bottom w:w="0" w:type="dxa"/>
          <w:right w:w="108" w:type="dxa"/>
        </w:tblCellMar>
      </w:tblPr>
      <w:tblGrid>
        <w:gridCol w:w="582"/>
        <w:gridCol w:w="2694"/>
        <w:gridCol w:w="4252"/>
      </w:tblGrid>
      <w:tr>
        <w:tblPrEx>
          <w:tblCellMar>
            <w:top w:w="0" w:type="dxa"/>
            <w:left w:w="108" w:type="dxa"/>
            <w:bottom w:w="0" w:type="dxa"/>
            <w:right w:w="108" w:type="dxa"/>
          </w:tblCellMar>
        </w:tblPrEx>
        <w:trPr>
          <w:trHeight w:val="312" w:hRule="atLeast"/>
        </w:trPr>
        <w:tc>
          <w:tcPr>
            <w:tcW w:w="58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序号</w:t>
            </w:r>
          </w:p>
        </w:tc>
        <w:tc>
          <w:tcPr>
            <w:tcW w:w="269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 xml:space="preserve">场所名称        </w:t>
            </w:r>
          </w:p>
        </w:tc>
        <w:tc>
          <w:tcPr>
            <w:tcW w:w="425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 xml:space="preserve">场所地址              </w:t>
            </w:r>
          </w:p>
        </w:tc>
      </w:tr>
      <w:tr>
        <w:tblPrEx>
          <w:tblCellMar>
            <w:top w:w="0" w:type="dxa"/>
            <w:left w:w="108" w:type="dxa"/>
            <w:bottom w:w="0" w:type="dxa"/>
            <w:right w:w="108" w:type="dxa"/>
          </w:tblCellMar>
        </w:tblPrEx>
        <w:trPr>
          <w:trHeight w:val="312" w:hRule="atLeast"/>
        </w:trPr>
        <w:tc>
          <w:tcPr>
            <w:tcW w:w="582"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eastAsia="宋体" w:cs="宋体"/>
                <w:b/>
                <w:bCs/>
                <w:color w:val="000000"/>
                <w:kern w:val="0"/>
                <w:sz w:val="20"/>
                <w:szCs w:val="20"/>
              </w:rPr>
            </w:pPr>
          </w:p>
        </w:tc>
        <w:tc>
          <w:tcPr>
            <w:tcW w:w="2694"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eastAsia="宋体" w:cs="宋体"/>
                <w:b/>
                <w:bCs/>
                <w:color w:val="000000"/>
                <w:kern w:val="0"/>
                <w:sz w:val="20"/>
                <w:szCs w:val="20"/>
              </w:rPr>
            </w:pPr>
          </w:p>
        </w:tc>
        <w:tc>
          <w:tcPr>
            <w:tcW w:w="4252"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eastAsia="宋体" w:cs="宋体"/>
                <w:b/>
                <w:bCs/>
                <w:color w:val="000000"/>
                <w:kern w:val="0"/>
                <w:sz w:val="20"/>
                <w:szCs w:val="20"/>
              </w:rPr>
            </w:pPr>
          </w:p>
        </w:tc>
      </w:tr>
      <w:tr>
        <w:tblPrEx>
          <w:tblCellMar>
            <w:top w:w="0" w:type="dxa"/>
            <w:left w:w="108" w:type="dxa"/>
            <w:bottom w:w="0" w:type="dxa"/>
            <w:right w:w="108" w:type="dxa"/>
          </w:tblCellMar>
        </w:tblPrEx>
        <w:trPr>
          <w:trHeight w:val="312" w:hRule="atLeast"/>
        </w:trPr>
        <w:tc>
          <w:tcPr>
            <w:tcW w:w="582"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eastAsia="宋体" w:cs="宋体"/>
                <w:b/>
                <w:bCs/>
                <w:color w:val="000000"/>
                <w:kern w:val="0"/>
                <w:sz w:val="20"/>
                <w:szCs w:val="20"/>
              </w:rPr>
            </w:pPr>
          </w:p>
        </w:tc>
        <w:tc>
          <w:tcPr>
            <w:tcW w:w="2694"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eastAsia="宋体" w:cs="宋体"/>
                <w:b/>
                <w:bCs/>
                <w:color w:val="000000"/>
                <w:kern w:val="0"/>
                <w:sz w:val="20"/>
                <w:szCs w:val="20"/>
              </w:rPr>
            </w:pPr>
          </w:p>
        </w:tc>
        <w:tc>
          <w:tcPr>
            <w:tcW w:w="4252"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eastAsia="宋体" w:cs="宋体"/>
                <w:b/>
                <w:bCs/>
                <w:color w:val="000000"/>
                <w:kern w:val="0"/>
                <w:sz w:val="20"/>
                <w:szCs w:val="20"/>
              </w:rPr>
            </w:pPr>
          </w:p>
        </w:tc>
      </w:tr>
      <w:tr>
        <w:tblPrEx>
          <w:tblCellMar>
            <w:top w:w="0" w:type="dxa"/>
            <w:left w:w="108" w:type="dxa"/>
            <w:bottom w:w="0" w:type="dxa"/>
            <w:right w:w="108" w:type="dxa"/>
          </w:tblCellMar>
        </w:tblPrEx>
        <w:trPr>
          <w:trHeight w:val="285"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b/>
                <w:bCs/>
                <w:color w:val="000000"/>
                <w:kern w:val="0"/>
                <w:sz w:val="20"/>
                <w:szCs w:val="20"/>
              </w:rPr>
            </w:pPr>
            <w:r>
              <w:rPr>
                <w:rFonts w:ascii="Times New Roman" w:hAnsi="Times New Roman" w:eastAsia="宋体" w:cs="Times New Roman"/>
                <w:b/>
                <w:bCs/>
                <w:color w:val="000000"/>
                <w:kern w:val="0"/>
                <w:sz w:val="20"/>
                <w:szCs w:val="20"/>
              </w:rPr>
              <w:t>1</w:t>
            </w:r>
          </w:p>
        </w:tc>
        <w:tc>
          <w:tcPr>
            <w:tcW w:w="26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胜南支行</w:t>
            </w:r>
          </w:p>
        </w:tc>
        <w:tc>
          <w:tcPr>
            <w:tcW w:w="42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化工路与胜利路东南美丽星城</w:t>
            </w:r>
          </w:p>
        </w:tc>
      </w:tr>
      <w:tr>
        <w:tblPrEx>
          <w:tblCellMar>
            <w:top w:w="0" w:type="dxa"/>
            <w:left w:w="108" w:type="dxa"/>
            <w:bottom w:w="0" w:type="dxa"/>
            <w:right w:w="108" w:type="dxa"/>
          </w:tblCellMar>
        </w:tblPrEx>
        <w:trPr>
          <w:trHeight w:val="285"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2</w:t>
            </w:r>
          </w:p>
        </w:tc>
        <w:tc>
          <w:tcPr>
            <w:tcW w:w="26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锦绣支行</w:t>
            </w:r>
          </w:p>
        </w:tc>
        <w:tc>
          <w:tcPr>
            <w:tcW w:w="42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金穗大道39号</w:t>
            </w:r>
          </w:p>
        </w:tc>
      </w:tr>
      <w:tr>
        <w:tblPrEx>
          <w:tblCellMar>
            <w:top w:w="0" w:type="dxa"/>
            <w:left w:w="108" w:type="dxa"/>
            <w:bottom w:w="0" w:type="dxa"/>
            <w:right w:w="108" w:type="dxa"/>
          </w:tblCellMar>
        </w:tblPrEx>
        <w:trPr>
          <w:trHeight w:val="285"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b/>
                <w:bCs/>
                <w:color w:val="000000"/>
                <w:kern w:val="0"/>
                <w:sz w:val="20"/>
                <w:szCs w:val="20"/>
              </w:rPr>
            </w:pPr>
            <w:r>
              <w:rPr>
                <w:rFonts w:ascii="Times New Roman" w:hAnsi="Times New Roman" w:eastAsia="宋体" w:cs="Times New Roman"/>
                <w:b/>
                <w:bCs/>
                <w:color w:val="000000"/>
                <w:kern w:val="0"/>
                <w:sz w:val="20"/>
                <w:szCs w:val="20"/>
              </w:rPr>
              <w:t>3</w:t>
            </w:r>
          </w:p>
        </w:tc>
        <w:tc>
          <w:tcPr>
            <w:tcW w:w="26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华兰支行</w:t>
            </w:r>
          </w:p>
        </w:tc>
        <w:tc>
          <w:tcPr>
            <w:tcW w:w="4252" w:type="dxa"/>
            <w:tcBorders>
              <w:top w:val="nil"/>
              <w:left w:val="nil"/>
              <w:bottom w:val="single" w:color="auto" w:sz="4" w:space="0"/>
              <w:right w:val="single" w:color="auto" w:sz="4" w:space="0"/>
            </w:tcBorders>
            <w:shd w:val="clear" w:color="auto" w:fill="auto"/>
            <w:vAlign w:val="center"/>
          </w:tcPr>
          <w:p>
            <w:pPr>
              <w:widowControl/>
              <w:jc w:val="left"/>
              <w:rPr>
                <w:rFonts w:cs="宋体" w:asciiTheme="minorEastAsia" w:hAnsiTheme="minorEastAsia"/>
                <w:kern w:val="0"/>
                <w:sz w:val="20"/>
                <w:szCs w:val="20"/>
              </w:rPr>
            </w:pPr>
            <w:r>
              <w:rPr>
                <w:rFonts w:hint="eastAsia" w:asciiTheme="minorEastAsia" w:hAnsiTheme="minorEastAsia"/>
                <w:sz w:val="20"/>
                <w:szCs w:val="20"/>
              </w:rPr>
              <w:t>振中街307号</w:t>
            </w:r>
          </w:p>
        </w:tc>
      </w:tr>
      <w:tr>
        <w:tblPrEx>
          <w:tblCellMar>
            <w:top w:w="0" w:type="dxa"/>
            <w:left w:w="108" w:type="dxa"/>
            <w:bottom w:w="0" w:type="dxa"/>
            <w:right w:w="108" w:type="dxa"/>
          </w:tblCellMar>
        </w:tblPrEx>
        <w:trPr>
          <w:trHeight w:val="285"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4</w:t>
            </w:r>
          </w:p>
        </w:tc>
        <w:tc>
          <w:tcPr>
            <w:tcW w:w="26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新飞大道支行</w:t>
            </w:r>
          </w:p>
        </w:tc>
        <w:tc>
          <w:tcPr>
            <w:tcW w:w="42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新飞大道与南环路交叉口西南角师大嘉苑8号楼商铺</w:t>
            </w:r>
          </w:p>
        </w:tc>
      </w:tr>
    </w:tbl>
    <w:p>
      <w:pPr>
        <w:adjustRightInd w:val="0"/>
        <w:snapToGrid w:val="0"/>
        <w:spacing w:line="560" w:lineRule="exact"/>
        <w:rPr>
          <w:rFonts w:ascii="彩虹粗仿宋" w:hAnsi="宋体" w:eastAsia="彩虹粗仿宋"/>
          <w:snapToGrid w:val="0"/>
          <w:color w:val="000000"/>
          <w:kern w:val="0"/>
          <w:sz w:val="32"/>
          <w:szCs w:val="32"/>
        </w:rPr>
      </w:pPr>
    </w:p>
    <w:p>
      <w:pPr>
        <w:pStyle w:val="4"/>
        <w:numPr>
          <w:ilvl w:val="0"/>
          <w:numId w:val="2"/>
        </w:numPr>
        <w:adjustRightInd w:val="0"/>
        <w:snapToGrid w:val="0"/>
        <w:spacing w:line="560" w:lineRule="exact"/>
        <w:ind w:firstLineChars="0"/>
        <w:outlineLvl w:val="0"/>
        <w:rPr>
          <w:rFonts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服务供应安排</w:t>
      </w:r>
    </w:p>
    <w:p>
      <w:pPr>
        <w:widowControl/>
        <w:spacing w:line="560" w:lineRule="exact"/>
        <w:ind w:firstLine="600" w:firstLineChars="200"/>
        <w:rPr>
          <w:rFonts w:ascii="彩虹粗仿宋" w:eastAsia="彩虹粗仿宋"/>
          <w:color w:val="000000" w:themeColor="text1"/>
          <w:kern w:val="0"/>
          <w:sz w:val="30"/>
          <w:szCs w:val="30"/>
          <w14:textFill>
            <w14:solidFill>
              <w14:schemeClr w14:val="tx1"/>
            </w14:solidFill>
          </w14:textFill>
        </w:rPr>
      </w:pPr>
      <w:r>
        <w:rPr>
          <w:rFonts w:hint="eastAsia" w:ascii="彩虹粗仿宋" w:eastAsia="彩虹粗仿宋"/>
          <w:color w:val="000000" w:themeColor="text1"/>
          <w:kern w:val="0"/>
          <w:sz w:val="30"/>
          <w:szCs w:val="30"/>
          <w14:textFill>
            <w14:solidFill>
              <w14:schemeClr w14:val="tx1"/>
            </w14:solidFill>
          </w14:textFill>
        </w:rPr>
        <w:t>各供应商应于每天20:00时至次日08:00时，对涉及建行巡查区域进行不少于4次巡查，并作好记录。</w:t>
      </w:r>
    </w:p>
    <w:p>
      <w:pPr>
        <w:pStyle w:val="4"/>
        <w:widowControl/>
        <w:numPr>
          <w:ilvl w:val="0"/>
          <w:numId w:val="2"/>
        </w:numPr>
        <w:spacing w:line="560" w:lineRule="exact"/>
        <w:ind w:firstLineChars="0"/>
        <w:outlineLvl w:val="0"/>
        <w:rPr>
          <w:rFonts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款项支付要求</w:t>
      </w:r>
    </w:p>
    <w:p>
      <w:pPr>
        <w:adjustRightInd w:val="0"/>
        <w:snapToGrid w:val="0"/>
        <w:spacing w:line="560" w:lineRule="exact"/>
        <w:ind w:firstLine="600" w:firstLineChars="200"/>
        <w:rPr>
          <w:rFonts w:ascii="彩虹粗仿宋" w:eastAsia="彩虹粗仿宋"/>
          <w:sz w:val="30"/>
          <w:szCs w:val="30"/>
        </w:rPr>
      </w:pPr>
      <w:r>
        <w:rPr>
          <w:rFonts w:hint="eastAsia" w:ascii="彩虹粗仿宋" w:eastAsia="彩虹粗仿宋"/>
          <w:sz w:val="30"/>
          <w:szCs w:val="30"/>
        </w:rPr>
        <w:t>服务费按月结算，实行先服务后付费方式。各供应商每月履行标准服务后，</w:t>
      </w:r>
      <w:r>
        <w:rPr>
          <w:rFonts w:hint="eastAsia" w:ascii="彩虹粗仿宋" w:hAnsi="宋体" w:eastAsia="彩虹粗仿宋" w:cs="Times New Roman"/>
          <w:snapToGrid w:val="0"/>
          <w:kern w:val="0"/>
          <w:sz w:val="30"/>
          <w:szCs w:val="30"/>
        </w:rPr>
        <w:t>根据巡查网点的增减情况，据实结算。</w:t>
      </w:r>
    </w:p>
    <w:p>
      <w:pPr>
        <w:adjustRightInd w:val="0"/>
        <w:snapToGrid w:val="0"/>
        <w:spacing w:line="560" w:lineRule="exact"/>
        <w:ind w:firstLine="602" w:firstLineChars="200"/>
        <w:outlineLvl w:val="0"/>
        <w:rPr>
          <w:rFonts w:ascii="彩虹粗仿宋" w:hAnsi="宋体" w:eastAsia="彩虹粗仿宋" w:cs="Times New Roman"/>
          <w:b/>
          <w:snapToGrid w:val="0"/>
          <w:kern w:val="0"/>
          <w:sz w:val="32"/>
          <w:szCs w:val="32"/>
        </w:rPr>
      </w:pPr>
      <w:r>
        <w:rPr>
          <w:rFonts w:hint="eastAsia" w:ascii="彩虹粗仿宋" w:eastAsia="彩虹粗仿宋"/>
          <w:b/>
          <w:sz w:val="30"/>
          <w:szCs w:val="30"/>
        </w:rPr>
        <w:t>九、</w:t>
      </w:r>
      <w:r>
        <w:rPr>
          <w:rFonts w:hint="eastAsia" w:ascii="彩虹粗仿宋" w:hAnsi="宋体" w:eastAsia="彩虹粗仿宋" w:cs="Times New Roman"/>
          <w:b/>
          <w:snapToGrid w:val="0"/>
          <w:kern w:val="0"/>
          <w:sz w:val="32"/>
          <w:szCs w:val="32"/>
        </w:rPr>
        <w:t>售后服务要求</w:t>
      </w:r>
    </w:p>
    <w:p>
      <w:pPr>
        <w:ind w:firstLine="600" w:firstLineChars="200"/>
        <w:jc w:val="left"/>
        <w:rPr>
          <w:rFonts w:ascii="彩虹粗仿宋" w:hAnsi="彩虹粗仿宋" w:eastAsia="彩虹粗仿宋" w:cs="彩虹粗仿宋"/>
          <w:bCs/>
          <w:color w:val="000000"/>
          <w:kern w:val="0"/>
          <w:sz w:val="30"/>
          <w:szCs w:val="30"/>
        </w:rPr>
      </w:pPr>
      <w:r>
        <w:rPr>
          <w:rFonts w:hint="eastAsia" w:ascii="彩虹粗仿宋" w:hAnsi="彩虹粗仿宋" w:eastAsia="彩虹粗仿宋" w:cs="彩虹粗仿宋"/>
          <w:bCs/>
          <w:color w:val="000000"/>
          <w:kern w:val="0"/>
          <w:sz w:val="30"/>
          <w:szCs w:val="30"/>
        </w:rPr>
        <w:t>1、每月底通报巡查服务的有关事项；</w:t>
      </w:r>
    </w:p>
    <w:p>
      <w:pPr>
        <w:ind w:firstLine="600" w:firstLineChars="200"/>
        <w:jc w:val="left"/>
        <w:rPr>
          <w:rFonts w:ascii="彩虹粗仿宋" w:hAnsi="彩虹粗仿宋" w:eastAsia="彩虹粗仿宋" w:cs="彩虹粗仿宋"/>
          <w:bCs/>
          <w:color w:val="000000"/>
          <w:kern w:val="0"/>
          <w:sz w:val="30"/>
          <w:szCs w:val="30"/>
        </w:rPr>
      </w:pPr>
      <w:r>
        <w:rPr>
          <w:rFonts w:hint="eastAsia" w:ascii="彩虹粗仿宋" w:hAnsi="彩虹粗仿宋" w:eastAsia="彩虹粗仿宋" w:cs="彩虹粗仿宋"/>
          <w:bCs/>
          <w:color w:val="000000"/>
          <w:kern w:val="0"/>
          <w:sz w:val="30"/>
          <w:szCs w:val="30"/>
        </w:rPr>
        <w:t>2、及时通报巡查服务的突发性事件；</w:t>
      </w:r>
    </w:p>
    <w:p>
      <w:pPr>
        <w:ind w:firstLine="600" w:firstLineChars="200"/>
        <w:jc w:val="left"/>
        <w:rPr>
          <w:rFonts w:ascii="彩虹粗仿宋" w:hAnsi="彩虹粗仿宋" w:eastAsia="彩虹粗仿宋" w:cs="彩虹粗仿宋"/>
          <w:bCs/>
          <w:color w:val="000000"/>
          <w:kern w:val="0"/>
          <w:sz w:val="30"/>
          <w:szCs w:val="30"/>
        </w:rPr>
      </w:pPr>
      <w:r>
        <w:rPr>
          <w:rFonts w:hint="eastAsia" w:ascii="彩虹粗仿宋" w:hAnsi="彩虹粗仿宋" w:eastAsia="彩虹粗仿宋" w:cs="彩虹粗仿宋"/>
          <w:bCs/>
          <w:color w:val="000000"/>
          <w:kern w:val="0"/>
          <w:sz w:val="30"/>
          <w:szCs w:val="30"/>
        </w:rPr>
        <w:t>3、配合我行接受银行业监督管理机构的检查；</w:t>
      </w:r>
    </w:p>
    <w:p>
      <w:pPr>
        <w:ind w:firstLine="600" w:firstLineChars="200"/>
        <w:jc w:val="left"/>
        <w:rPr>
          <w:rFonts w:ascii="彩虹粗仿宋" w:hAnsi="彩虹粗仿宋" w:eastAsia="彩虹粗仿宋" w:cs="彩虹粗仿宋"/>
          <w:bCs/>
          <w:color w:val="000000"/>
          <w:kern w:val="0"/>
          <w:sz w:val="30"/>
          <w:szCs w:val="30"/>
        </w:rPr>
      </w:pPr>
      <w:r>
        <w:rPr>
          <w:rFonts w:hint="eastAsia" w:ascii="彩虹粗仿宋" w:hAnsi="彩虹粗仿宋" w:eastAsia="彩虹粗仿宋" w:cs="彩虹粗仿宋"/>
          <w:bCs/>
          <w:color w:val="000000"/>
          <w:kern w:val="0"/>
          <w:sz w:val="30"/>
          <w:szCs w:val="30"/>
        </w:rPr>
        <w:t>4、不得以建行的名义开展任何活动;</w:t>
      </w:r>
    </w:p>
    <w:p>
      <w:pPr>
        <w:ind w:firstLine="600" w:firstLineChars="200"/>
        <w:jc w:val="left"/>
        <w:rPr>
          <w:rFonts w:ascii="Calibri" w:hAnsi="Calibri" w:eastAsia="宋体" w:cs="Times New Roman"/>
          <w:sz w:val="30"/>
          <w:szCs w:val="30"/>
        </w:rPr>
      </w:pPr>
      <w:r>
        <w:rPr>
          <w:rFonts w:hint="eastAsia" w:ascii="彩虹粗仿宋" w:hAnsi="Calibri" w:eastAsia="彩虹粗仿宋" w:cs="Times New Roman"/>
          <w:color w:val="000000"/>
          <w:kern w:val="0"/>
          <w:sz w:val="30"/>
          <w:szCs w:val="30"/>
        </w:rPr>
        <w:t>5、保障客户信息的安全性，当客户信息不安全或客户权利受到影响时，我行有权随时终止</w:t>
      </w:r>
      <w:r>
        <w:rPr>
          <w:rFonts w:hint="eastAsia" w:ascii="彩虹粗仿宋" w:hAnsi="彩虹粗仿宋" w:eastAsia="彩虹粗仿宋" w:cs="彩虹粗仿宋"/>
          <w:bCs/>
          <w:color w:val="000000"/>
          <w:kern w:val="0"/>
          <w:sz w:val="30"/>
          <w:szCs w:val="30"/>
        </w:rPr>
        <w:t>巡查服务</w:t>
      </w:r>
      <w:r>
        <w:rPr>
          <w:rFonts w:hint="eastAsia" w:ascii="彩虹粗仿宋" w:hAnsi="Calibri" w:eastAsia="彩虹粗仿宋" w:cs="Times New Roman"/>
          <w:color w:val="000000"/>
          <w:kern w:val="0"/>
          <w:sz w:val="30"/>
          <w:szCs w:val="30"/>
        </w:rPr>
        <w:t>协议。</w:t>
      </w:r>
    </w:p>
    <w:p>
      <w:pPr>
        <w:adjustRightInd w:val="0"/>
        <w:snapToGrid w:val="0"/>
        <w:spacing w:line="560" w:lineRule="exact"/>
        <w:ind w:firstLine="643" w:firstLineChars="200"/>
        <w:outlineLvl w:val="0"/>
        <w:rPr>
          <w:rFonts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十、报价要求。</w:t>
      </w:r>
    </w:p>
    <w:p>
      <w:pPr>
        <w:adjustRightInd w:val="0"/>
        <w:snapToGrid w:val="0"/>
        <w:spacing w:line="560" w:lineRule="exact"/>
        <w:ind w:firstLine="600" w:firstLineChars="200"/>
        <w:rPr>
          <w:rFonts w:ascii="彩虹粗仿宋" w:hAnsi="宋体" w:eastAsia="彩虹粗仿宋" w:cs="Times New Roman"/>
          <w:snapToGrid w:val="0"/>
          <w:kern w:val="0"/>
          <w:sz w:val="30"/>
          <w:szCs w:val="30"/>
        </w:rPr>
      </w:pPr>
      <w:r>
        <w:rPr>
          <w:rFonts w:hint="eastAsia" w:ascii="彩虹粗仿宋" w:hAnsi="宋体" w:eastAsia="彩虹粗仿宋" w:cs="Times New Roman"/>
          <w:snapToGrid w:val="0"/>
          <w:kern w:val="0"/>
          <w:sz w:val="30"/>
          <w:szCs w:val="30"/>
        </w:rPr>
        <w:t>本次采购预算价为同盟</w:t>
      </w:r>
      <w:r>
        <w:rPr>
          <w:rFonts w:hint="eastAsia" w:ascii="彩虹粗仿宋" w:hAnsi="宋体" w:eastAsia="彩虹粗仿宋" w:cs="Times New Roman"/>
          <w:snapToGrid w:val="0"/>
          <w:kern w:val="0"/>
          <w:sz w:val="30"/>
          <w:szCs w:val="30"/>
          <w:lang w:eastAsia="zh-CN"/>
        </w:rPr>
        <w:t>巡查</w:t>
      </w:r>
      <w:r>
        <w:rPr>
          <w:rFonts w:hint="eastAsia" w:ascii="彩虹粗仿宋" w:hAnsi="宋体" w:eastAsia="彩虹粗仿宋" w:cs="Times New Roman"/>
          <w:snapToGrid w:val="0"/>
          <w:kern w:val="0"/>
          <w:sz w:val="30"/>
          <w:szCs w:val="30"/>
        </w:rPr>
        <w:t>20个点，每个巡查点720元/月，联达公司</w:t>
      </w:r>
      <w:r>
        <w:rPr>
          <w:rFonts w:hint="eastAsia" w:ascii="彩虹粗仿宋" w:hAnsi="宋体" w:eastAsia="彩虹粗仿宋" w:cs="Times New Roman"/>
          <w:snapToGrid w:val="0"/>
          <w:kern w:val="0"/>
          <w:sz w:val="30"/>
          <w:szCs w:val="30"/>
          <w:lang w:eastAsia="zh-CN"/>
        </w:rPr>
        <w:t>巡查</w:t>
      </w:r>
      <w:r>
        <w:rPr>
          <w:rFonts w:hint="eastAsia" w:ascii="彩虹粗仿宋" w:hAnsi="宋体" w:eastAsia="彩虹粗仿宋" w:cs="Times New Roman"/>
          <w:snapToGrid w:val="0"/>
          <w:kern w:val="0"/>
          <w:sz w:val="30"/>
          <w:szCs w:val="30"/>
          <w:lang w:val="en-US" w:eastAsia="zh-CN"/>
        </w:rPr>
        <w:t>5</w:t>
      </w:r>
      <w:r>
        <w:rPr>
          <w:rFonts w:hint="eastAsia" w:ascii="彩虹粗仿宋" w:hAnsi="宋体" w:eastAsia="彩虹粗仿宋" w:cs="Times New Roman"/>
          <w:snapToGrid w:val="0"/>
          <w:kern w:val="0"/>
          <w:sz w:val="30"/>
          <w:szCs w:val="30"/>
        </w:rPr>
        <w:t>个点，每个巡查点720元/月</w:t>
      </w:r>
      <w:r>
        <w:rPr>
          <w:rFonts w:hint="eastAsia" w:ascii="彩虹粗仿宋" w:hAnsi="宋体" w:eastAsia="彩虹粗仿宋" w:cs="Times New Roman"/>
          <w:snapToGrid w:val="0"/>
          <w:kern w:val="0"/>
          <w:sz w:val="30"/>
          <w:szCs w:val="30"/>
          <w:lang w:eastAsia="zh-CN"/>
        </w:rPr>
        <w:t>，</w:t>
      </w:r>
      <w:r>
        <w:rPr>
          <w:rFonts w:hint="eastAsia" w:ascii="彩虹粗仿宋" w:hAnsi="宋体" w:eastAsia="彩虹粗仿宋" w:cs="Times New Roman"/>
          <w:snapToGrid w:val="0"/>
          <w:kern w:val="0"/>
          <w:sz w:val="30"/>
          <w:szCs w:val="30"/>
        </w:rPr>
        <w:t>震远公司4个点，每个巡查点715元/月，总价为250320元/年（含税），各供应商按巡查点</w:t>
      </w:r>
      <w:r>
        <w:rPr>
          <w:rFonts w:hint="eastAsia" w:ascii="彩虹粗仿宋" w:hAnsi="宋体" w:eastAsia="彩虹粗仿宋" w:cs="Times New Roman"/>
          <w:snapToGrid w:val="0"/>
          <w:kern w:val="0"/>
          <w:sz w:val="30"/>
          <w:szCs w:val="30"/>
          <w:lang w:eastAsia="zh-CN"/>
        </w:rPr>
        <w:t>含税单价和</w:t>
      </w:r>
      <w:r>
        <w:rPr>
          <w:rFonts w:hint="eastAsia" w:ascii="彩虹粗仿宋" w:hAnsi="宋体" w:eastAsia="彩虹粗仿宋" w:cs="Times New Roman"/>
          <w:snapToGrid w:val="0"/>
          <w:kern w:val="0"/>
          <w:sz w:val="30"/>
          <w:szCs w:val="30"/>
        </w:rPr>
        <w:t>年合计价进行报价，报价高于预算价，视为无效报价。</w:t>
      </w:r>
    </w:p>
    <w:p>
      <w:pPr>
        <w:adjustRightInd w:val="0"/>
        <w:snapToGrid w:val="0"/>
        <w:spacing w:line="560" w:lineRule="exact"/>
        <w:ind w:firstLine="643" w:firstLineChars="200"/>
        <w:outlineLvl w:val="0"/>
        <w:rPr>
          <w:rFonts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十一、其他要求。</w:t>
      </w:r>
    </w:p>
    <w:p>
      <w:pPr>
        <w:ind w:firstLine="600" w:firstLineChars="200"/>
        <w:jc w:val="left"/>
        <w:rPr>
          <w:rFonts w:ascii="彩虹粗仿宋" w:hAnsi="彩虹粗仿宋" w:eastAsia="彩虹粗仿宋" w:cs="彩虹粗仿宋"/>
          <w:sz w:val="30"/>
          <w:szCs w:val="30"/>
        </w:rPr>
      </w:pPr>
      <w:r>
        <w:rPr>
          <w:rFonts w:hint="eastAsia" w:ascii="彩虹粗仿宋" w:hAnsi="彩虹粗仿宋" w:eastAsia="彩虹粗仿宋" w:cs="彩虹粗仿宋"/>
          <w:sz w:val="30"/>
          <w:szCs w:val="30"/>
        </w:rPr>
        <w:t>1、供应商及其工作人员在对建行服务期间获悉的信息（包括但不限于防护设施、操作程序、安保设施等）均负有保密义务，未经建行书面许可，不得向任何人泄露，否则供应商承担一切责任；</w:t>
      </w:r>
    </w:p>
    <w:p>
      <w:pPr>
        <w:widowControl/>
        <w:spacing w:line="240" w:lineRule="atLeast"/>
        <w:ind w:firstLine="600" w:firstLineChars="200"/>
        <w:rPr>
          <w:rFonts w:ascii="彩虹粗仿宋" w:hAnsi="彩虹粗仿宋" w:eastAsia="彩虹粗仿宋" w:cs="彩虹粗仿宋"/>
          <w:kern w:val="0"/>
          <w:sz w:val="30"/>
          <w:szCs w:val="30"/>
        </w:rPr>
      </w:pPr>
      <w:r>
        <w:rPr>
          <w:rFonts w:hint="eastAsia"/>
          <w:sz w:val="30"/>
          <w:szCs w:val="30"/>
        </w:rPr>
        <w:t xml:space="preserve"> </w:t>
      </w:r>
      <w:r>
        <w:rPr>
          <w:rFonts w:hint="eastAsia" w:ascii="彩虹粗仿宋" w:eastAsia="彩虹粗仿宋"/>
          <w:sz w:val="30"/>
          <w:szCs w:val="30"/>
        </w:rPr>
        <w:t>2、</w:t>
      </w:r>
      <w:r>
        <w:rPr>
          <w:rFonts w:hint="eastAsia" w:ascii="彩虹粗仿宋" w:hAnsi="彩虹粗仿宋" w:eastAsia="彩虹粗仿宋" w:cs="彩虹粗仿宋"/>
          <w:kern w:val="0"/>
          <w:sz w:val="30"/>
          <w:szCs w:val="30"/>
        </w:rPr>
        <w:t>各供应商应聘用思想品德好、政治上可靠、责任心强的人员组成巡查队，巡查人员应相对固定；</w:t>
      </w:r>
    </w:p>
    <w:p>
      <w:pPr>
        <w:widowControl/>
        <w:spacing w:line="240" w:lineRule="atLeast"/>
        <w:ind w:firstLine="600" w:firstLineChars="200"/>
        <w:rPr>
          <w:rFonts w:ascii="彩虹粗仿宋" w:hAnsi="彩虹粗仿宋" w:eastAsia="彩虹粗仿宋" w:cs="彩虹粗仿宋"/>
          <w:kern w:val="0"/>
          <w:sz w:val="30"/>
          <w:szCs w:val="30"/>
        </w:rPr>
      </w:pPr>
      <w:r>
        <w:rPr>
          <w:rFonts w:hint="eastAsia" w:ascii="彩虹粗仿宋" w:hAnsi="彩虹粗仿宋" w:eastAsia="彩虹粗仿宋" w:cs="彩虹粗仿宋"/>
          <w:kern w:val="0"/>
          <w:sz w:val="30"/>
          <w:szCs w:val="30"/>
        </w:rPr>
        <w:t>3、各供应商应为巡查队员配备必要的交通、通信、自卫器材，统一着装上岗；</w:t>
      </w:r>
    </w:p>
    <w:p>
      <w:pPr>
        <w:widowControl/>
        <w:spacing w:line="240" w:lineRule="atLeast"/>
        <w:ind w:firstLine="570"/>
        <w:rPr>
          <w:rFonts w:ascii="彩虹粗仿宋" w:hAnsi="彩虹粗仿宋" w:eastAsia="彩虹粗仿宋" w:cs="彩虹粗仿宋"/>
          <w:kern w:val="0"/>
          <w:sz w:val="30"/>
          <w:szCs w:val="30"/>
        </w:rPr>
      </w:pPr>
      <w:r>
        <w:rPr>
          <w:rFonts w:hint="eastAsia" w:ascii="彩虹粗仿宋" w:hAnsi="彩虹粗仿宋" w:eastAsia="彩虹粗仿宋" w:cs="彩虹粗仿宋"/>
          <w:kern w:val="0"/>
          <w:sz w:val="30"/>
          <w:szCs w:val="30"/>
        </w:rPr>
        <w:t>4、巡查队员在巡查工作中发生的交通事故或者人身意外伤害及由此造成的人身、财产等损失的，均由供应商承担；</w:t>
      </w:r>
    </w:p>
    <w:p>
      <w:pPr>
        <w:widowControl/>
        <w:spacing w:line="240" w:lineRule="atLeast"/>
        <w:ind w:firstLine="570"/>
      </w:pPr>
      <w:r>
        <w:rPr>
          <w:rFonts w:hint="eastAsia" w:ascii="彩虹粗仿宋" w:hAnsi="彩虹粗仿宋" w:eastAsia="彩虹粗仿宋" w:cs="彩虹粗仿宋"/>
          <w:kern w:val="0"/>
          <w:sz w:val="30"/>
          <w:szCs w:val="30"/>
        </w:rPr>
        <w:t>5、各供应商应制定突发事件应急处置预案，并做好预案演练工作。</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auto"/>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95219D"/>
    <w:multiLevelType w:val="multilevel"/>
    <w:tmpl w:val="0695219D"/>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1">
    <w:nsid w:val="66923E8A"/>
    <w:multiLevelType w:val="multilevel"/>
    <w:tmpl w:val="66923E8A"/>
    <w:lvl w:ilvl="0" w:tentative="0">
      <w:start w:val="7"/>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3AB73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2024-05-23T00:41:56Z</dcterms:created>
  <dc:creator>haccb</dc:creator>
  <cp:lastModifiedBy>haccb</cp:lastModifiedBy>
  <dcterms:modified xsi:type="dcterms:W3CDTF">2024-05-23T00:43:10Z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0765A841A0E046D2871BE1493C3B6B8F_12</vt:lpwstr>
  </property>
</Properties>
</file>