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新乡辉县支行安保及报警联网服务需求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320" w:firstLineChars="1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kern w:val="0"/>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（三）财务状况良好，提供近三年（</w:t>
      </w:r>
      <w:r>
        <w:rPr>
          <w:rFonts w:hint="eastAsia" w:ascii="彩虹粗仿宋" w:eastAsia="彩虹粗仿宋"/>
          <w:sz w:val="32"/>
          <w:lang w:eastAsia="zh-CN"/>
        </w:rPr>
        <w:t>2020年-2022年</w:t>
      </w:r>
      <w:r>
        <w:rPr>
          <w:rFonts w:hint="eastAsia" w:ascii="彩虹粗仿宋" w:eastAsia="彩虹粗仿宋"/>
          <w:sz w:val="32"/>
        </w:rPr>
        <w:t>）的经审计的财务报告或财务报表（新成立企业从成立日计算）.</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（五）2021年1月1日以来具有银行保安同类业绩。</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utoSpaceDE w:val="0"/>
        <w:autoSpaceDN w:val="0"/>
        <w:adjustRightInd w:val="0"/>
        <w:snapToGrid w:val="0"/>
        <w:spacing w:line="560" w:lineRule="exact"/>
        <w:ind w:firstLine="480" w:firstLineChars="150"/>
        <w:outlineLvl w:val="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（一）安保值守服务</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000000"/>
          <w:kern w:val="0"/>
          <w:sz w:val="32"/>
          <w:szCs w:val="32"/>
        </w:rPr>
        <w:t>本次安保值守服务内容是辉县支行本部和学院路支行2个营业网点的安保服务。</w:t>
      </w:r>
    </w:p>
    <w:p>
      <w:pPr>
        <w:autoSpaceDE w:val="0"/>
        <w:autoSpaceDN w:val="0"/>
        <w:adjustRightInd w:val="0"/>
        <w:snapToGrid w:val="0"/>
        <w:spacing w:line="560" w:lineRule="exact"/>
        <w:ind w:firstLine="480" w:firstLineChars="150"/>
        <w:outlineLvl w:val="1"/>
        <w:rPr>
          <w:rFonts w:ascii="彩虹楷体" w:hAnsi="黑体" w:eastAsia="彩虹楷体" w:cs="Courier New"/>
          <w:sz w:val="32"/>
          <w:szCs w:val="32"/>
        </w:rPr>
      </w:pPr>
      <w:r>
        <w:rPr>
          <w:rFonts w:hint="eastAsia" w:ascii="彩虹粗仿宋" w:hAnsi="Times New Roman" w:eastAsia="彩虹粗仿宋" w:cs="Times New Roman"/>
          <w:sz w:val="32"/>
          <w:szCs w:val="32"/>
        </w:rPr>
        <w:t>（二）</w:t>
      </w:r>
      <w:r>
        <w:rPr>
          <w:rFonts w:hint="eastAsia" w:ascii="彩虹楷体" w:hAnsi="黑体" w:eastAsia="彩虹楷体" w:cs="Courier New"/>
          <w:sz w:val="32"/>
          <w:szCs w:val="32"/>
        </w:rPr>
        <w:t>自助设备巡查服务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自助设备巡查服务内容是对辉县支行2个附行式自助银行每天从晚8:00至次日6:0</w:t>
      </w:r>
      <w:r>
        <w:rPr>
          <w:rFonts w:ascii="彩虹粗仿宋" w:hAnsi="黑体" w:eastAsia="彩虹粗仿宋" w:cs="Times New Roman"/>
          <w:sz w:val="32"/>
          <w:szCs w:val="32"/>
        </w:rPr>
        <w:t>0</w:t>
      </w:r>
      <w:r>
        <w:rPr>
          <w:rFonts w:hint="eastAsia" w:ascii="彩虹粗仿宋" w:hAnsi="黑体" w:eastAsia="彩虹粗仿宋" w:cs="Times New Roman"/>
          <w:sz w:val="32"/>
          <w:szCs w:val="32"/>
        </w:rPr>
        <w:t>进行巡查服务。</w:t>
      </w:r>
    </w:p>
    <w:p>
      <w:pPr>
        <w:autoSpaceDE w:val="0"/>
        <w:autoSpaceDN w:val="0"/>
        <w:adjustRightInd w:val="0"/>
        <w:snapToGrid w:val="0"/>
        <w:spacing w:line="560" w:lineRule="exact"/>
        <w:ind w:firstLine="480" w:firstLineChars="150"/>
        <w:outlineLvl w:val="1"/>
        <w:rPr>
          <w:rFonts w:ascii="彩虹粗仿宋" w:hAnsi="黑体" w:eastAsia="彩虹粗仿宋" w:cs="Times New Roman"/>
          <w:sz w:val="32"/>
          <w:szCs w:val="32"/>
        </w:rPr>
      </w:pPr>
      <w:r>
        <w:rPr>
          <w:rFonts w:hint="eastAsia" w:ascii="彩虹粗仿宋" w:hAnsi="黑体" w:eastAsia="彩虹粗仿宋" w:cs="Times New Roman"/>
          <w:sz w:val="32"/>
          <w:szCs w:val="32"/>
        </w:rPr>
        <w:t>（三）110报警联网服务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110报警联网服务内容是对辉县支行4个网点、8条线路24小时公安110报警联网服务。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（一）人员政治上可靠，遵守国家法律、法规，无不良行为记录、身体健康、统一着装。</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（二）具备一定的专业技能，能正确处理服务中出现的突发情况并进行有效处置。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（三）外包人员按国家规定持证上岗，认真执行国家有关规定及要求。如由于所派人员违反规定，造成财产损失和人员伤亡的，外包服务公司负全部责任。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（四）供应商安排1名团队负责人做日常对接，且具有110联网报警服务经验2年以上；</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（五）服务团队为我行服务人员提供营运期间的支持保障及应急工作</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（六）团队人员具备一定的专业技能，能正确处理服务中出现的各种情况并进行有效处置。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（七）具有满足服务需要的器械和车辆等。</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（一）计划安排要求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项目推进根据前期工作安排，按照我行采购流程进行，积极与采购部门对接，安排专人配合采购部门及时解决采购事项所涉及到的内容、费用、问题等，圆满完成本次采购项目。</w:t>
      </w:r>
    </w:p>
    <w:p>
      <w:pPr>
        <w:adjustRightInd w:val="0"/>
        <w:snapToGrid w:val="0"/>
        <w:spacing w:line="560" w:lineRule="exact"/>
        <w:ind w:firstLine="480" w:firstLineChars="150"/>
        <w:outlineLvl w:val="1"/>
        <w:rPr>
          <w:rFonts w:ascii="彩虹粗仿宋" w:hAnsi="宋体" w:eastAsia="彩虹粗仿宋" w:cs="Courier New"/>
          <w:color w:val="000000"/>
          <w:sz w:val="32"/>
          <w:szCs w:val="32"/>
        </w:rPr>
      </w:pPr>
      <w:r>
        <w:rPr>
          <w:rFonts w:hint="eastAsia" w:ascii="彩虹粗仿宋" w:eastAsia="彩虹粗仿宋"/>
          <w:bCs/>
          <w:sz w:val="32"/>
          <w:szCs w:val="32"/>
        </w:rPr>
        <w:t>（二）服务质量标准</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宋体" w:eastAsia="彩虹粗仿宋" w:cs="Courier New"/>
          <w:color w:val="000000"/>
          <w:sz w:val="32"/>
          <w:szCs w:val="32"/>
        </w:rPr>
        <w:t>1、</w:t>
      </w:r>
      <w:r>
        <w:rPr>
          <w:rFonts w:hint="eastAsia" w:ascii="彩虹粗仿宋" w:hAnsi="Times New Roman" w:eastAsia="彩虹粗仿宋" w:cs="Times New Roman"/>
          <w:sz w:val="32"/>
          <w:szCs w:val="32"/>
        </w:rPr>
        <w:t>外包服务公司承诺按照协议约定的服务内容向我行提供合格的服务，接受我行对其工作的指导和监督。</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2、严格遵守我行的制度和规定，按照我行的服务需求，配备和提供外包人员。不得泄漏因服务而取得的任何我行的业务信息。</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5、外包服务公司应对派驻我行的人员进行业务知识培训，并达到国家承认的上岗资格，做到持证上岗。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Times New Roman" w:eastAsia="彩虹粗仿宋" w:cs="Times New Roman"/>
          <w:sz w:val="32"/>
          <w:szCs w:val="32"/>
        </w:rPr>
        <w:t>6</w:t>
      </w: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color w:val="000000"/>
          <w:sz w:val="32"/>
          <w:szCs w:val="32"/>
        </w:rPr>
        <w:t>（三）风险控制要求</w:t>
      </w:r>
    </w:p>
    <w:p>
      <w:pPr>
        <w:adjustRightInd w:val="0"/>
        <w:snapToGrid w:val="0"/>
        <w:spacing w:line="560" w:lineRule="exact"/>
        <w:ind w:firstLine="640" w:firstLineChars="200"/>
        <w:rPr>
          <w:rFonts w:ascii="彩虹粗仿宋" w:hAnsi="宋体" w:eastAsia="彩虹粗仿宋" w:cs="Times New Roman"/>
          <w:color w:val="000000"/>
          <w:sz w:val="32"/>
          <w:szCs w:val="32"/>
        </w:rPr>
      </w:pPr>
      <w:r>
        <w:rPr>
          <w:rFonts w:hint="eastAsia" w:ascii="彩虹粗仿宋" w:hAnsi="Times New Roman" w:eastAsia="彩虹粗仿宋" w:cs="Times New Roman"/>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在安保服务过程中均涉及外包人员的使用和管理，我行具体负责外包人员的业务培训和规范操作，指导、监督外包人员按章办事，在安保服务过程中协助做好办公、营业场所经营秩序的同时，维护员工、客户的人身和财产安全，不得从事岗位职责以外的工作。</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（2）按照我行的要求，双方约定每季度召开一次联席会，至少开展一次外包服务检查，并形成检查报告，对检查中发现的问题及时通报外包服务公司，限期整改和落实，每年度结束后形成年度评估报告。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Times New Roman" w:eastAsia="彩虹粗仿宋" w:cs="Times New Roman"/>
          <w:sz w:val="32"/>
          <w:szCs w:val="32"/>
        </w:rPr>
      </w:pPr>
      <w:r>
        <w:rPr>
          <w:rFonts w:hint="eastAsia" w:ascii="彩虹粗仿宋" w:hAnsi="彩虹粗仿宋" w:eastAsia="彩虹粗仿宋" w:cs="彩虹粗仿宋"/>
          <w:snapToGrid w:val="0"/>
          <w:kern w:val="0"/>
          <w:sz w:val="32"/>
          <w:szCs w:val="32"/>
        </w:rPr>
        <w:t>（4）建立健全安全责任制，完善沟通协作机制。根据110报警联网维护服务不同工作性质，明确人员岗位职责，规范流程，不断提升服务人员的业务素质和技能，为我行提供更加安全的110报警服务。</w:t>
      </w:r>
    </w:p>
    <w:p>
      <w:pPr>
        <w:tabs>
          <w:tab w:val="left" w:pos="720"/>
        </w:tabs>
        <w:adjustRightInd w:val="0"/>
        <w:snapToGrid w:val="0"/>
        <w:spacing w:line="560" w:lineRule="exact"/>
        <w:ind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双方按照约定明确双方责任，建立健全安全责任制，完善双方沟通协作机制。提供安保服务的外包服务公司应根据不同工作性质，明确人员岗位职责、规范流程，不断提升外包人员的业务素质和技能，为我行提供更加安全的安保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有关规定，对业务外包合同履行期间的监督管理实行“对事不对人”，明确外包人员招聘、管理、考核、薪酬发放等均由外包服务公司负责，我行负责监督检查外包服务公司提供服务的数量、质量和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（3）外包服务公司通过工作合同、规章对外包服务人员的行为做出约束，并与外包服务人员一一签订《保密协议》，防范客户信息泄露的风险，严格防范操作风险、声誉风险及其它风险。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（四）保密要求</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1、外包服务人员只能掌握了解工作需要的相关信息，不得将我行信息资料以任何方式透露给其他任何机构或个人。</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2、外包服务人员不得利用工作之便窃取、收买或者非法提供他人申请信息资料进行各种非法活动。</w:t>
      </w:r>
    </w:p>
    <w:p>
      <w:pPr>
        <w:tabs>
          <w:tab w:val="left" w:pos="720"/>
        </w:tabs>
        <w:adjustRightInd w:val="0"/>
        <w:snapToGrid w:val="0"/>
        <w:spacing w:line="560" w:lineRule="exact"/>
        <w:ind w:firstLine="480" w:firstLineChars="150"/>
        <w:outlineLvl w:val="0"/>
        <w:rPr>
          <w:rFonts w:ascii="彩虹粗仿宋" w:hAnsi="宋体" w:eastAsia="彩虹粗仿宋"/>
          <w:snapToGrid w:val="0"/>
          <w:sz w:val="32"/>
          <w:szCs w:val="32"/>
        </w:rPr>
      </w:pPr>
      <w:r>
        <w:rPr>
          <w:rFonts w:hint="eastAsia" w:ascii="彩虹粗仿宋" w:hAnsi="Times New Roman" w:eastAsia="彩虹粗仿宋" w:cs="Times New Roman"/>
          <w:sz w:val="32"/>
          <w:szCs w:val="32"/>
        </w:rPr>
        <w:t>3、由于</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原因导致我行及客户信息泄漏的，按照双方合同约定追究相关责任。</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snapToGrid w:val="0"/>
          <w:kern w:val="0"/>
          <w:sz w:val="32"/>
          <w:szCs w:val="32"/>
        </w:rPr>
        <w:t>（五）</w:t>
      </w:r>
      <w:r>
        <w:rPr>
          <w:rFonts w:hint="eastAsia" w:ascii="彩虹粗仿宋" w:hAnsi="宋体" w:eastAsia="彩虹粗仿宋" w:cs="Times New Roman"/>
          <w:color w:val="000000"/>
          <w:sz w:val="32"/>
          <w:szCs w:val="32"/>
        </w:rPr>
        <w:t>应急措施要求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1、外包服务公司应制定相关应急预案，预案场景设置、预案分工、预案演练、预案评估，并明确应急处置流程。</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2、因外包服务人员原因造成我行及客户信息泄露、客户投诉等风险，外包服务公司应立即向我行报告，同时启动应急预案，沟通协商解决办法，防止事态扩大。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3、营业网点如遇挤兑、抢劫、被盗等情形，外包服务人员应及时报告我行和上级部门以及外包服务公司，启动应急预案并报警。</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4、由于外包服务公司原因（如：外包服务中断）引起突发事件的，我行应立即启动相应应急预案，妥善处置问题，积极争取恢复生产。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6、在处理事（案）件过程中要时刻向我行报告进展情况，待风险解除后，形成书面报告报送我行，我行综合评估后确定是否继续开展外包事项。</w:t>
      </w:r>
    </w:p>
    <w:p>
      <w:pPr>
        <w:adjustRightInd w:val="0"/>
        <w:snapToGrid w:val="0"/>
        <w:spacing w:line="560" w:lineRule="exact"/>
        <w:ind w:firstLine="160" w:firstLineChars="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（六）外包争端的解决</w:t>
      </w:r>
    </w:p>
    <w:p>
      <w:pPr>
        <w:adjustRightInd w:val="0"/>
        <w:snapToGrid w:val="0"/>
        <w:spacing w:line="560" w:lineRule="exact"/>
        <w:ind w:firstLine="480" w:firstLineChars="150"/>
        <w:rPr>
          <w:rFonts w:ascii="彩虹粗仿宋" w:eastAsia="彩虹粗仿宋"/>
          <w:sz w:val="32"/>
          <w:szCs w:val="32"/>
        </w:rPr>
      </w:pPr>
      <w:r>
        <w:rPr>
          <w:rFonts w:hint="eastAsia" w:ascii="彩虹粗仿宋" w:eastAsia="彩虹粗仿宋"/>
          <w:sz w:val="32"/>
          <w:szCs w:val="32"/>
        </w:rPr>
        <w:t>外包协议有效期内若发生争议，应本着友好协商的态度加以妥善解决。协商不成的，向所在地人民法院起诉。诉讼期间，外包协议不涉及争议的条款，双方仍需继续履行。</w:t>
      </w:r>
    </w:p>
    <w:p>
      <w:pPr>
        <w:numPr>
          <w:ilvl w:val="0"/>
          <w:numId w:val="1"/>
        </w:numPr>
        <w:adjustRightInd w:val="0"/>
        <w:snapToGrid w:val="0"/>
        <w:spacing w:line="560" w:lineRule="exact"/>
        <w:ind w:firstLine="320" w:firstLineChars="100"/>
        <w:rPr>
          <w:rFonts w:ascii="彩虹粗仿宋" w:eastAsia="彩虹粗仿宋"/>
          <w:sz w:val="32"/>
          <w:szCs w:val="32"/>
        </w:rPr>
      </w:pPr>
      <w:r>
        <w:rPr>
          <w:rFonts w:hint="eastAsia" w:ascii="彩虹粗仿宋" w:eastAsia="彩虹粗仿宋"/>
          <w:sz w:val="32"/>
          <w:szCs w:val="32"/>
        </w:rPr>
        <w:t>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黑体" w:eastAsia="彩虹粗仿宋" w:cs="Times New Roman"/>
          <w:sz w:val="32"/>
          <w:szCs w:val="32"/>
        </w:rPr>
        <w:t>1、</w:t>
      </w:r>
      <w:r>
        <w:rPr>
          <w:rFonts w:hint="eastAsia" w:ascii="彩虹粗仿宋" w:hAnsi="彩虹粗仿宋" w:eastAsia="彩虹粗仿宋" w:cs="彩虹粗仿宋"/>
          <w:snapToGrid w:val="0"/>
          <w:kern w:val="0"/>
          <w:sz w:val="32"/>
          <w:szCs w:val="32"/>
        </w:rPr>
        <w:t>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eastAsia="彩虹粗仿宋"/>
          <w:sz w:val="32"/>
          <w:szCs w:val="32"/>
        </w:rPr>
      </w:pPr>
      <w:r>
        <w:rPr>
          <w:rFonts w:hint="eastAsia" w:ascii="彩虹粗仿宋" w:hAnsi="Times New Roman" w:eastAsia="彩虹粗仿宋" w:cs="Times New Roman"/>
          <w:sz w:val="32"/>
          <w:szCs w:val="32"/>
        </w:rPr>
        <w:t>2、</w:t>
      </w:r>
      <w:r>
        <w:rPr>
          <w:rFonts w:hint="eastAsia" w:ascii="彩虹粗仿宋" w:hAnsi="彩虹粗仿宋" w:eastAsia="彩虹粗仿宋" w:cs="彩虹粗仿宋"/>
          <w:snapToGrid w:val="0"/>
          <w:kern w:val="0"/>
          <w:sz w:val="32"/>
          <w:szCs w:val="32"/>
        </w:rPr>
        <w:t xml:space="preserve">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黑体" w:eastAsia="彩虹粗仿宋" w:cs="Times New Roman"/>
          <w:sz w:val="32"/>
          <w:szCs w:val="32"/>
        </w:rPr>
      </w:pPr>
      <w:r>
        <w:rPr>
          <w:rFonts w:hint="eastAsia" w:ascii="彩虹粗仿宋" w:hAnsi="Times New Roman" w:eastAsia="彩虹粗仿宋" w:cs="Times New Roman"/>
          <w:sz w:val="32"/>
          <w:szCs w:val="32"/>
        </w:rPr>
        <w:t>3、</w:t>
      </w:r>
      <w:r>
        <w:rPr>
          <w:rFonts w:hint="eastAsia" w:ascii="彩虹粗仿宋" w:hAnsi="黑体" w:eastAsia="彩虹粗仿宋" w:cs="Times New Roman"/>
          <w:sz w:val="32"/>
          <w:szCs w:val="32"/>
        </w:rPr>
        <w:t>根据《中国建设银行营业办公场所保安值勤操作规程》有关规定，依据《XX月营业网点保安服务测评表》（见附件），每月由我行按照“合格”、“基本合格”、“不合格”进行测评考核。</w:t>
      </w:r>
    </w:p>
    <w:p>
      <w:pPr>
        <w:adjustRightInd w:val="0"/>
        <w:snapToGrid w:val="0"/>
        <w:spacing w:line="560" w:lineRule="exact"/>
        <w:ind w:firstLine="640" w:firstLineChars="200"/>
        <w:rPr>
          <w:rFonts w:ascii="彩虹粗仿宋" w:hAnsi="宋体" w:eastAsia="彩虹粗仿宋" w:cs="Times New Roman"/>
          <w:color w:val="FF0000"/>
          <w:sz w:val="32"/>
          <w:szCs w:val="32"/>
        </w:rPr>
      </w:pPr>
      <w:r>
        <w:rPr>
          <w:rFonts w:hint="eastAsia" w:ascii="彩虹粗仿宋" w:hAnsi="Times New Roman" w:eastAsia="彩虹粗仿宋" w:cs="Times New Roman"/>
          <w:sz w:val="32"/>
          <w:szCs w:val="32"/>
        </w:rPr>
        <w:t>4、每月由服务单位按“合格”、“基本合格”、“不合格”进行测评考核，</w:t>
      </w:r>
      <w:r>
        <w:rPr>
          <w:rFonts w:hint="eastAsia" w:ascii="彩虹粗仿宋" w:hAnsi="宋体" w:eastAsia="彩虹粗仿宋" w:cs="Times New Roman"/>
          <w:sz w:val="32"/>
          <w:szCs w:val="32"/>
        </w:rPr>
        <w:t>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outlineLvl w:val="0"/>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outlineLvl w:val="1"/>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1"/>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1、负责为辉县支行营业部和3个网点提供安保值守服务。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2、辉县支行网点保安人员执勤的工作时间与网点营业时间保持一致，每人每周工作时间符合国家法定工作时间。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（二）自助设备巡查服务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hint="eastAsia" w:ascii="彩虹粗仿宋" w:hAnsi="Times New Roman" w:eastAsia="彩虹粗仿宋" w:cs="Times New Roman"/>
          <w:sz w:val="32"/>
          <w:szCs w:val="32"/>
        </w:rPr>
        <w:t>外包服务公司</w:t>
      </w:r>
      <w:r>
        <w:rPr>
          <w:rFonts w:hint="eastAsia" w:ascii="彩虹粗仿宋" w:hAnsi="宋体" w:eastAsia="彩虹粗仿宋" w:cs="Times New Roman"/>
          <w:snapToGrid w:val="0"/>
          <w:kern w:val="0"/>
          <w:sz w:val="32"/>
          <w:szCs w:val="32"/>
        </w:rPr>
        <w:t>应该按照我行的要求，为辉县支行4个营业网点和1个离行式（自助）银行提供夜间巡查服务。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2、巡查人员工作时间为每晚8点至第二日早6点，每晚巡查次数不少于3次，每次巡查间隔不少于2小时，每人每周工作时间符合国家法定工作时间。</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320" w:firstLineChars="100"/>
        <w:outlineLvl w:val="1"/>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1、安保服务：辉县支行营业部及所辖百泉路、文昌路、孟庄支行4个营业机构。</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2、自助（设备）银行巡查服务：辉县支行所辖4处附行式自助银行和1处离行式自助银行。</w:t>
      </w:r>
    </w:p>
    <w:p>
      <w:pPr>
        <w:spacing w:line="560" w:lineRule="exact"/>
        <w:ind w:firstLine="320" w:firstLineChars="100"/>
        <w:outlineLvl w:val="1"/>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（二）岗位数量</w:t>
      </w:r>
    </w:p>
    <w:p>
      <w:pPr>
        <w:spacing w:line="560" w:lineRule="exact"/>
        <w:ind w:firstLine="480" w:firstLineChars="150"/>
        <w:rPr>
          <w:rFonts w:ascii="彩虹粗仿宋" w:hAnsi="Times New Roman" w:eastAsia="彩虹粗仿宋" w:cs="Times New Roman"/>
          <w:sz w:val="32"/>
          <w:szCs w:val="32"/>
        </w:rPr>
      </w:pPr>
      <w:r>
        <w:rPr>
          <w:rFonts w:ascii="彩虹粗仿宋" w:hAnsi="黑体" w:eastAsia="彩虹粗仿宋" w:cs="Times New Roman"/>
          <w:color w:val="000000" w:themeColor="text1"/>
          <w:sz w:val="32"/>
          <w:szCs w:val="32"/>
          <w14:textFill>
            <w14:solidFill>
              <w14:schemeClr w14:val="tx1"/>
            </w14:solidFill>
          </w14:textFill>
        </w:rPr>
        <w:t>1</w:t>
      </w:r>
      <w:r>
        <w:rPr>
          <w:rFonts w:hint="eastAsia" w:ascii="彩虹粗仿宋" w:hAnsi="黑体" w:eastAsia="彩虹粗仿宋" w:cs="Times New Roman"/>
          <w:color w:val="000000" w:themeColor="text1"/>
          <w:sz w:val="32"/>
          <w:szCs w:val="32"/>
          <w14:textFill>
            <w14:solidFill>
              <w14:schemeClr w14:val="tx1"/>
            </w14:solidFill>
          </w14:textFill>
        </w:rPr>
        <w:t>、辉县支行营业部配备2</w:t>
      </w:r>
      <w:r>
        <w:rPr>
          <w:rFonts w:hint="eastAsia" w:ascii="彩虹粗仿宋" w:hAnsi="Times New Roman" w:eastAsia="彩虹粗仿宋" w:cs="Times New Roman"/>
          <w:sz w:val="32"/>
          <w:szCs w:val="32"/>
        </w:rPr>
        <w:t>个岗位</w:t>
      </w:r>
      <w:r>
        <w:rPr>
          <w:rFonts w:hint="eastAsia" w:ascii="彩虹粗仿宋" w:hAnsi="黑体" w:eastAsia="彩虹粗仿宋" w:cs="Times New Roman"/>
          <w:color w:val="000000" w:themeColor="text1"/>
          <w:sz w:val="32"/>
          <w:szCs w:val="32"/>
          <w14:textFill>
            <w14:solidFill>
              <w14:schemeClr w14:val="tx1"/>
            </w14:solidFill>
          </w14:textFill>
        </w:rPr>
        <w:t>；百泉路支行</w:t>
      </w:r>
      <w:r>
        <w:rPr>
          <w:rFonts w:hint="eastAsia" w:ascii="彩虹粗仿宋" w:hAnsi="Times New Roman" w:eastAsia="彩虹粗仿宋" w:cs="Times New Roman"/>
          <w:sz w:val="32"/>
          <w:szCs w:val="32"/>
        </w:rPr>
        <w:t>配备2个岗位，</w:t>
      </w:r>
      <w:r>
        <w:rPr>
          <w:rFonts w:hint="eastAsia" w:ascii="彩虹粗仿宋" w:hAnsi="黑体" w:eastAsia="彩虹粗仿宋" w:cs="Times New Roman"/>
          <w:color w:val="000000" w:themeColor="text1"/>
          <w:sz w:val="32"/>
          <w:szCs w:val="32"/>
          <w14:textFill>
            <w14:solidFill>
              <w14:schemeClr w14:val="tx1"/>
            </w14:solidFill>
          </w14:textFill>
        </w:rPr>
        <w:t>文昌路支行</w:t>
      </w:r>
      <w:r>
        <w:rPr>
          <w:rFonts w:hint="eastAsia" w:ascii="彩虹粗仿宋" w:hAnsi="Times New Roman" w:eastAsia="彩虹粗仿宋" w:cs="Times New Roman"/>
          <w:sz w:val="32"/>
          <w:szCs w:val="32"/>
        </w:rPr>
        <w:t>配备2个岗位、</w:t>
      </w:r>
      <w:r>
        <w:rPr>
          <w:rFonts w:hint="eastAsia" w:ascii="彩虹粗仿宋" w:hAnsi="黑体" w:eastAsia="彩虹粗仿宋" w:cs="Times New Roman"/>
          <w:color w:val="000000" w:themeColor="text1"/>
          <w:sz w:val="32"/>
          <w:szCs w:val="32"/>
          <w14:textFill>
            <w14:solidFill>
              <w14:schemeClr w14:val="tx1"/>
            </w14:solidFill>
          </w14:textFill>
        </w:rPr>
        <w:t>孟庄支行</w:t>
      </w:r>
      <w:r>
        <w:rPr>
          <w:rFonts w:hint="eastAsia" w:ascii="彩虹粗仿宋" w:hAnsi="Times New Roman" w:eastAsia="彩虹粗仿宋" w:cs="Times New Roman"/>
          <w:sz w:val="32"/>
          <w:szCs w:val="32"/>
        </w:rPr>
        <w:t>配备1个岗位，共需7个岗位。</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sz w:val="32"/>
          <w:szCs w:val="32"/>
        </w:rPr>
        <w:t>2、</w:t>
      </w:r>
      <w:r>
        <w:rPr>
          <w:rFonts w:hint="eastAsia" w:ascii="彩虹粗仿宋" w:hAnsi="黑体" w:eastAsia="彩虹粗仿宋" w:cs="Times New Roman"/>
          <w:color w:val="000000" w:themeColor="text1"/>
          <w:sz w:val="32"/>
          <w:szCs w:val="32"/>
          <w14:textFill>
            <w14:solidFill>
              <w14:schemeClr w14:val="tx1"/>
            </w14:solidFill>
          </w14:textFill>
        </w:rPr>
        <w:t>自助（设备）银行巡查服务，每天从晚8点至次日</w:t>
      </w:r>
      <w:r>
        <w:rPr>
          <w:rFonts w:ascii="彩虹粗仿宋" w:hAnsi="黑体" w:eastAsia="彩虹粗仿宋" w:cs="Times New Roman"/>
          <w:color w:val="000000" w:themeColor="text1"/>
          <w:sz w:val="32"/>
          <w:szCs w:val="32"/>
          <w14:textFill>
            <w14:solidFill>
              <w14:schemeClr w14:val="tx1"/>
            </w14:solidFill>
          </w14:textFill>
        </w:rPr>
        <w:t>6</w:t>
      </w:r>
      <w:r>
        <w:rPr>
          <w:rFonts w:hint="eastAsia" w:ascii="彩虹粗仿宋" w:hAnsi="黑体" w:eastAsia="彩虹粗仿宋" w:cs="Times New Roman"/>
          <w:color w:val="000000" w:themeColor="text1"/>
          <w:sz w:val="32"/>
          <w:szCs w:val="32"/>
          <w14:textFill>
            <w14:solidFill>
              <w14:schemeClr w14:val="tx1"/>
            </w14:solidFill>
          </w14:textFill>
        </w:rPr>
        <w:t>点，保安公司为我行的4处附行式和1处离行式自助（设备）银行进行安全巡查，共5处。</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按月根据保安岗位实际增减情况据实支付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w:t>
      </w:r>
      <w:r>
        <w:rPr>
          <w:rFonts w:hint="eastAsia" w:ascii="彩虹粗仿宋" w:hAnsi="黑体" w:eastAsia="彩虹粗仿宋" w:cs="Times New Roman"/>
          <w:sz w:val="32"/>
          <w:szCs w:val="32"/>
        </w:rPr>
        <w:t>新乡辉县支行营业部及百泉路支行、文昌路支行、孟庄支行（轻型网点）配备7个岗位， 每年服务费用预算</w:t>
      </w:r>
      <w:r>
        <w:rPr>
          <w:rFonts w:hint="eastAsia" w:ascii="彩虹粗仿宋" w:hAnsi="Calibri" w:eastAsia="彩虹粗仿宋" w:cs="Times New Roman"/>
          <w:sz w:val="32"/>
          <w:szCs w:val="32"/>
        </w:rPr>
        <w:t>159600</w:t>
      </w:r>
      <w:r>
        <w:rPr>
          <w:rFonts w:hint="eastAsia" w:ascii="彩虹粗仿宋" w:hAnsi="黑体" w:eastAsia="彩虹粗仿宋" w:cs="Times New Roman"/>
          <w:sz w:val="32"/>
          <w:szCs w:val="32"/>
        </w:rPr>
        <w:t>元（含税价），</w:t>
      </w:r>
      <w:r>
        <w:rPr>
          <w:rFonts w:hint="eastAsia" w:ascii="彩虹粗仿宋" w:hAnsi="黑体" w:eastAsia="彩虹粗仿宋" w:cs="Times New Roman"/>
          <w:sz w:val="32"/>
          <w:szCs w:val="32"/>
          <w:lang w:eastAsia="zh-CN"/>
        </w:rPr>
        <w:t>每岗</w:t>
      </w:r>
      <w:r>
        <w:rPr>
          <w:rFonts w:hint="eastAsia" w:ascii="彩虹粗仿宋" w:hAnsi="黑体" w:eastAsia="彩虹粗仿宋" w:cs="Times New Roman"/>
          <w:sz w:val="32"/>
          <w:szCs w:val="32"/>
        </w:rPr>
        <w:t>每月</w:t>
      </w:r>
      <w:r>
        <w:rPr>
          <w:rFonts w:hint="eastAsia" w:ascii="彩虹粗仿宋" w:hAnsi="Calibri" w:eastAsia="彩虹粗仿宋" w:cs="Times New Roman"/>
          <w:sz w:val="32"/>
          <w:szCs w:val="32"/>
        </w:rPr>
        <w:t>1</w:t>
      </w:r>
      <w:r>
        <w:rPr>
          <w:rFonts w:hint="eastAsia" w:ascii="彩虹粗仿宋" w:hAnsi="Calibri" w:eastAsia="彩虹粗仿宋" w:cs="Times New Roman"/>
          <w:sz w:val="32"/>
          <w:szCs w:val="32"/>
          <w:lang w:val="en-US" w:eastAsia="zh-CN"/>
        </w:rPr>
        <w:t>90</w:t>
      </w:r>
      <w:r>
        <w:rPr>
          <w:rFonts w:hint="eastAsia" w:ascii="彩虹粗仿宋" w:hAnsi="Calibri" w:eastAsia="彩虹粗仿宋" w:cs="Times New Roman"/>
          <w:sz w:val="32"/>
          <w:szCs w:val="32"/>
        </w:rPr>
        <w:t>0</w:t>
      </w:r>
      <w:r>
        <w:rPr>
          <w:rFonts w:hint="eastAsia" w:ascii="彩虹粗仿宋" w:hAnsi="黑体" w:eastAsia="彩虹粗仿宋" w:cs="Times New Roman"/>
          <w:sz w:val="32"/>
          <w:szCs w:val="32"/>
        </w:rPr>
        <w:t>元。</w:t>
      </w:r>
      <w:r>
        <w:rPr>
          <w:rFonts w:hint="eastAsia" w:ascii="彩虹粗仿宋" w:hAnsi="宋体" w:eastAsia="彩虹粗仿宋" w:cs="Times New Roman"/>
          <w:snapToGrid w:val="0"/>
          <w:kern w:val="0"/>
          <w:sz w:val="32"/>
          <w:szCs w:val="32"/>
        </w:rPr>
        <w:t>按元/月/岗进行单价和含税总价报价，超过预算为无效报价。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w:t>
      </w:r>
      <w:r>
        <w:rPr>
          <w:rFonts w:hint="eastAsia" w:ascii="彩虹粗仿宋" w:hAnsi="黑体" w:eastAsia="彩虹粗仿宋" w:cs="Times New Roman"/>
          <w:sz w:val="32"/>
          <w:szCs w:val="32"/>
        </w:rPr>
        <w:t>新乡辉县支行自助（设备）银行5处需夜间巡查，每年巡查费用</w:t>
      </w:r>
      <w:r>
        <w:rPr>
          <w:rFonts w:hint="eastAsia" w:ascii="彩虹粗仿宋" w:hAnsi="Times New Roman" w:eastAsia="彩虹粗仿宋" w:cs="Times New Roman"/>
          <w:color w:val="000000"/>
          <w:sz w:val="32"/>
          <w:szCs w:val="32"/>
        </w:rPr>
        <w:t>72900</w:t>
      </w:r>
      <w:r>
        <w:rPr>
          <w:rFonts w:hint="eastAsia" w:ascii="彩虹粗仿宋" w:hAnsi="黑体" w:eastAsia="彩虹粗仿宋" w:cs="Times New Roman"/>
          <w:sz w:val="32"/>
          <w:szCs w:val="32"/>
        </w:rPr>
        <w:t>元（含税价），每月</w:t>
      </w:r>
      <w:r>
        <w:rPr>
          <w:rFonts w:hint="eastAsia" w:ascii="彩虹粗仿宋" w:hAnsi="黑体" w:eastAsia="彩虹粗仿宋" w:cs="Times New Roman"/>
          <w:sz w:val="32"/>
          <w:szCs w:val="32"/>
          <w:lang w:eastAsia="zh-CN"/>
        </w:rPr>
        <w:t>每点</w:t>
      </w:r>
      <w:r>
        <w:rPr>
          <w:rFonts w:hint="eastAsia" w:ascii="彩虹粗仿宋" w:hAnsi="Times New Roman" w:eastAsia="彩虹粗仿宋" w:cs="Times New Roman"/>
          <w:color w:val="000000"/>
          <w:sz w:val="32"/>
          <w:szCs w:val="32"/>
          <w:lang w:val="en-US" w:eastAsia="zh-CN"/>
        </w:rPr>
        <w:t>1215</w:t>
      </w:r>
      <w:r>
        <w:rPr>
          <w:rFonts w:hint="eastAsia" w:ascii="彩虹粗仿宋" w:hAnsi="黑体" w:eastAsia="彩虹粗仿宋" w:cs="Times New Roman"/>
          <w:sz w:val="32"/>
          <w:szCs w:val="32"/>
        </w:rPr>
        <w:t>元。</w:t>
      </w:r>
      <w:r>
        <w:rPr>
          <w:rFonts w:hint="eastAsia" w:ascii="彩虹粗仿宋" w:hAnsi="宋体" w:eastAsia="彩虹粗仿宋" w:cs="Times New Roman"/>
          <w:snapToGrid w:val="0"/>
          <w:kern w:val="0"/>
          <w:sz w:val="32"/>
          <w:szCs w:val="32"/>
        </w:rPr>
        <w:t>按元/月/点报单价和含税总价进行报价，超过预算为无效报价。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（三）新乡</w:t>
      </w:r>
      <w:r>
        <w:rPr>
          <w:rFonts w:hint="eastAsia" w:ascii="彩虹粗仿宋" w:hAnsi="黑体" w:eastAsia="彩虹粗仿宋" w:cs="Times New Roman"/>
          <w:color w:val="000000"/>
          <w:sz w:val="32"/>
          <w:szCs w:val="32"/>
        </w:rPr>
        <w:t>辉县支行</w:t>
      </w:r>
      <w:r>
        <w:rPr>
          <w:rFonts w:hint="eastAsia" w:ascii="彩虹粗仿宋" w:hAnsi="宋体" w:eastAsia="彩虹粗仿宋"/>
          <w:snapToGrid w:val="0"/>
          <w:sz w:val="32"/>
          <w:szCs w:val="32"/>
        </w:rPr>
        <w:t>公安110联网报警服务，合计8台主机，</w:t>
      </w:r>
      <w:r>
        <w:rPr>
          <w:rFonts w:hint="eastAsia" w:ascii="彩虹粗仿宋" w:hAnsi="Times New Roman" w:eastAsia="彩虹粗仿宋" w:cs="Times New Roman"/>
          <w:color w:val="000000"/>
          <w:sz w:val="32"/>
          <w:szCs w:val="32"/>
        </w:rPr>
        <w:t>全年共需费用17280元</w:t>
      </w:r>
      <w:r>
        <w:rPr>
          <w:rFonts w:hint="eastAsia" w:ascii="彩虹粗仿宋" w:hAnsi="宋体" w:eastAsia="彩虹粗仿宋"/>
          <w:snapToGrid w:val="0"/>
          <w:sz w:val="32"/>
          <w:szCs w:val="32"/>
        </w:rPr>
        <w:t>，每台主机180元/月，每月</w:t>
      </w:r>
      <w:r>
        <w:rPr>
          <w:rFonts w:hint="eastAsia" w:ascii="彩虹粗仿宋" w:hAnsi="Times New Roman" w:eastAsia="彩虹粗仿宋" w:cs="Times New Roman"/>
          <w:color w:val="000000"/>
          <w:sz w:val="32"/>
          <w:szCs w:val="32"/>
        </w:rPr>
        <w:t>需费用1440元。</w:t>
      </w:r>
      <w:r>
        <w:rPr>
          <w:rFonts w:hint="eastAsia" w:ascii="彩虹粗仿宋" w:hAnsi="宋体" w:eastAsia="彩虹粗仿宋" w:cs="Times New Roman"/>
          <w:snapToGrid w:val="0"/>
          <w:kern w:val="0"/>
          <w:sz w:val="32"/>
          <w:szCs w:val="32"/>
        </w:rPr>
        <w:t>按元/月/台报单价和含税总价进行报价，超过预算为无效报价。</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482" w:firstLineChars="150"/>
        <w:rPr>
          <w:rFonts w:ascii="彩虹粗仿宋" w:hAnsi="黑体" w:eastAsia="彩虹粗仿宋" w:cs="Times New Roman"/>
          <w:b/>
          <w:snapToGrid w:val="0"/>
          <w:sz w:val="32"/>
          <w:szCs w:val="32"/>
          <w:shd w:val="clear" w:color="auto" w:fill="FFFFFF"/>
        </w:rPr>
      </w:pP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widowControl/>
        <w:jc w:val="left"/>
      </w:pPr>
    </w:p>
    <w:p>
      <w:pPr>
        <w:widowControl/>
        <w:jc w:val="left"/>
        <w:rPr>
          <w:rFonts w:ascii="彩虹小标宋" w:hAnsi="宋体" w:eastAsia="彩虹小标宋" w:cs="Times New Roman"/>
          <w:bCs/>
          <w:snapToGrid w:val="0"/>
          <w:kern w:val="0"/>
          <w:sz w:val="44"/>
          <w:szCs w:val="4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D8CD58"/>
    <w:multiLevelType w:val="singleLevel"/>
    <w:tmpl w:val="ACD8CD58"/>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A21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2024-05-23T01:05:09Z</dcterms:created>
  <dc:creator>haccb</dc:creator>
  <cp:lastModifiedBy>haccb</cp:lastModifiedBy>
  <dcterms:modified xsi:type="dcterms:W3CDTF">2024-05-23T01:05:53Z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125ADDA7B29143C2B9F3A5FF12FC4FE7_12</vt:lpwstr>
  </property>
</Properties>
</file>