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napToGrid w:val="0"/>
          <w:sz w:val="44"/>
          <w:szCs w:val="44"/>
        </w:rPr>
      </w:pPr>
      <w:r>
        <w:rPr>
          <w:rFonts w:hint="eastAsia" w:ascii="彩虹小标宋" w:eastAsia="彩虹小标宋"/>
          <w:snapToGrid w:val="0"/>
          <w:sz w:val="44"/>
          <w:szCs w:val="44"/>
        </w:rPr>
        <w:t>采购需求</w:t>
      </w:r>
    </w:p>
    <w:p>
      <w:pPr>
        <w:rPr>
          <w:sz w:val="30"/>
          <w:szCs w:val="30"/>
        </w:rPr>
      </w:pPr>
      <w:r>
        <w:rPr>
          <w:sz w:val="30"/>
          <w:szCs w:val="30"/>
        </w:rPr>
        <w:t>项目具体材料需求</w:t>
      </w:r>
      <w:r>
        <w:rPr>
          <w:rFonts w:hint="eastAsia"/>
          <w:sz w:val="30"/>
          <w:szCs w:val="30"/>
        </w:rPr>
        <w:t>。</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一、消防报警系统主要功能</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消防报警系统主要功能是通过实时监测环境参数自动探测火情，发生声光报警并定位火源位置，同时联动启动消防设备以控制火势发展。该系统利用先进的传感过滤器、控制器和网络通信技术等设备，实时监测火灾发生的各种信号，并将监测到的火灾各种信号及时、准确地传达给消防管理人员和场所工作人员，以便及时采取紧急救援措施，控制和扑灭火灾，最大限度的减少因火灾危害造成的生命和财产的损失等作用。</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二、服务工作的内容、期限</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（一）对中国建设银行韶关市分行辖属营业网点（含附行式自助银行）装修项目进行消防报警系统工程施工（提供设备和安装）与设计等相关服务。</w:t>
      </w:r>
    </w:p>
    <w:p>
      <w:pPr>
        <w:widowControl/>
        <w:ind w:firstLine="600" w:firstLineChars="200"/>
        <w:jc w:val="left"/>
        <w:rPr>
          <w:rFonts w:hint="eastAsia" w:ascii="彩虹粗仿宋" w:hAnsi="宋体" w:eastAsia="彩虹粗仿宋"/>
          <w:sz w:val="30"/>
          <w:szCs w:val="30"/>
        </w:rPr>
      </w:pPr>
      <w:r>
        <w:rPr>
          <w:rFonts w:hint="eastAsia" w:ascii="彩虹粗仿宋" w:hAnsi="宋体" w:eastAsia="彩虹粗仿宋"/>
          <w:sz w:val="30"/>
          <w:szCs w:val="30"/>
        </w:rPr>
        <w:t>（二）服务期限</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服务期限为二年。。</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三、项目服务质量相关要求</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（一）提供消防产品必须符合国家行业要求和产品检验合格证书及产品3C认证证书。</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消防工程要以《自动喷水灭火系统施工及验收规范GB50261-2017》、《消防给水及消火栓系统技术规范GB50874-2014》、《火灾自动报警系统施工及验收标准GB50166-2019》、《消防应急照明和疏散指示系统技术标准GB51309-2018》和《建筑防烟排烟系统技术标准GB51251-2017》等国家制定的施工及验收规范为标准，达到合格要求。</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四、服务相关要求</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（一）入选供应商在每项消防装修工程施工期间要制定安全管理制度。</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（二）入选供应商负责采购方消防报警系统工程施工项目前期的审图（费用由乙方承担）和报建等工作，项目施工按国家行业标准进行规范施工，工程完工后按行业标准和要求进行消防项目验收工作。</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（三）供应商在装修工期内要保证按照采购方的装修进度完成项目的消防设计、审图、消防报建及验收工作，并取得项目相应的消防验收证件（建筑工程消防验收备案凭证等）。</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四）保修服务期限为壹年，起算时间以取得验收合格文件的日期为准。在保修服务期内，对由于材料设备的设计、工艺或材料的缺陷而造成的任何缺陷或故障负责，供应商免费负责修理或更换有缺陷的零部件或设备。</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五、保密要求、验收标准</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（一）保密要求</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1.供应商在施工过程中，不得以任何工作理由复制、拷贝、记录采购方电脑中存储的资料，并对其知悉的采购方资料承担保密责任。</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2. 供应商在施工过程中，不得泄露采购方秘密事件。</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（二）验收标准</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供应商在消防报警系统工程施工项目完工后，需通过系统测试达到正常运行状态，经当地住房和城乡建设管理部门验收并取得相应的验收证件（建筑工程消防验收备案凭证等）。</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六、付款方式</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（一）消防施工项目工程完工，须经消防主管部门验收合格后，由供应商提供工程款发票和设备款发票进行结账。采购方在收到供应商提供的票据后15个工作日内将工程款支付到供应商指定的账户。</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（二）消防施工项目工程量据实结算。</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七、报价要求</w:t>
      </w:r>
    </w:p>
    <w:tbl>
      <w:tblPr>
        <w:tblStyle w:val="6"/>
        <w:tblW w:w="8415" w:type="dxa"/>
        <w:tblInd w:w="108" w:type="dxa"/>
        <w:tblLayout w:type="autofit"/>
        <w:tblCellMar>
          <w:top w:w="0" w:type="dxa"/>
          <w:left w:w="108" w:type="dxa"/>
          <w:bottom w:w="0" w:type="dxa"/>
          <w:right w:w="108" w:type="dxa"/>
        </w:tblCellMar>
      </w:tblPr>
      <w:tblGrid>
        <w:gridCol w:w="894"/>
        <w:gridCol w:w="2367"/>
        <w:gridCol w:w="5154"/>
      </w:tblGrid>
      <w:tr>
        <w:trPr>
          <w:trHeight w:val="627" w:hRule="atLeast"/>
        </w:trPr>
        <w:tc>
          <w:tcPr>
            <w:tcW w:w="8415" w:type="dxa"/>
            <w:gridSpan w:val="3"/>
            <w:tcBorders>
              <w:top w:val="nil"/>
              <w:left w:val="nil"/>
              <w:bottom w:val="single" w:color="auto" w:sz="4" w:space="0"/>
              <w:right w:val="nil"/>
            </w:tcBorders>
            <w:noWrap/>
            <w:vAlign w:val="center"/>
          </w:tcPr>
          <w:p>
            <w:pPr>
              <w:widowControl/>
              <w:ind w:firstLine="450" w:firstLineChars="150"/>
              <w:rPr>
                <w:rFonts w:hint="eastAsia" w:ascii="彩虹粗仿宋" w:hAnsi="宋体" w:eastAsia="彩虹粗仿宋" w:cs="宋体"/>
                <w:color w:val="000000"/>
                <w:kern w:val="0"/>
                <w:sz w:val="30"/>
                <w:szCs w:val="30"/>
              </w:rPr>
            </w:pPr>
            <w:r>
              <w:rPr>
                <w:rFonts w:hint="eastAsia" w:ascii="彩虹粗仿宋" w:hAnsi="宋体" w:eastAsia="彩虹粗仿宋" w:cs="宋体"/>
                <w:color w:val="000000"/>
                <w:kern w:val="0"/>
                <w:sz w:val="30"/>
                <w:szCs w:val="30"/>
              </w:rPr>
              <w:t>（一）韶关市分行消防报警系统工程施工项目报价表</w:t>
            </w:r>
          </w:p>
        </w:tc>
      </w:tr>
      <w:tr>
        <w:tblPrEx>
          <w:tblCellMar>
            <w:top w:w="0" w:type="dxa"/>
            <w:left w:w="108" w:type="dxa"/>
            <w:bottom w:w="0" w:type="dxa"/>
            <w:right w:w="108" w:type="dxa"/>
          </w:tblCellMar>
        </w:tblPrEx>
        <w:trPr>
          <w:trHeight w:val="961" w:hRule="atLeast"/>
        </w:trPr>
        <w:tc>
          <w:tcPr>
            <w:tcW w:w="8415" w:type="dxa"/>
            <w:gridSpan w:val="3"/>
            <w:tcBorders>
              <w:top w:val="single" w:color="auto" w:sz="4" w:space="0"/>
              <w:left w:val="single" w:color="auto" w:sz="4" w:space="0"/>
              <w:bottom w:val="single" w:color="auto" w:sz="4" w:space="0"/>
              <w:right w:val="single" w:color="auto" w:sz="4" w:space="0"/>
            </w:tcBorders>
          </w:tcPr>
          <w:p>
            <w:pPr>
              <w:widowControl/>
              <w:jc w:val="left"/>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对消防报警系统工程施工造价折扣率进行报价。例如折扣率9.5折，则在“折扣率（%）”栏填列“95”即可，不要误填为“0.95”。</w:t>
            </w:r>
          </w:p>
        </w:tc>
      </w:tr>
      <w:tr>
        <w:tblPrEx>
          <w:tblCellMar>
            <w:top w:w="0" w:type="dxa"/>
            <w:left w:w="108" w:type="dxa"/>
            <w:bottom w:w="0" w:type="dxa"/>
            <w:right w:w="108" w:type="dxa"/>
          </w:tblCellMar>
        </w:tblPrEx>
        <w:trPr>
          <w:trHeight w:val="422" w:hRule="atLeast"/>
        </w:trPr>
        <w:tc>
          <w:tcPr>
            <w:tcW w:w="894" w:type="dxa"/>
            <w:tcBorders>
              <w:top w:val="nil"/>
              <w:left w:val="single" w:color="auto" w:sz="4" w:space="0"/>
              <w:bottom w:val="single" w:color="auto" w:sz="4" w:space="0"/>
              <w:right w:val="single" w:color="auto" w:sz="4" w:space="0"/>
            </w:tcBorders>
            <w:noWrap/>
            <w:vAlign w:val="center"/>
          </w:tcPr>
          <w:p>
            <w:pPr>
              <w:widowControl/>
              <w:jc w:val="center"/>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序号</w:t>
            </w:r>
          </w:p>
        </w:tc>
        <w:tc>
          <w:tcPr>
            <w:tcW w:w="2367" w:type="dxa"/>
            <w:tcBorders>
              <w:top w:val="nil"/>
              <w:left w:val="nil"/>
              <w:bottom w:val="single" w:color="auto" w:sz="4" w:space="0"/>
              <w:right w:val="single" w:color="auto" w:sz="4" w:space="0"/>
            </w:tcBorders>
            <w:noWrap/>
            <w:vAlign w:val="center"/>
          </w:tcPr>
          <w:p>
            <w:pPr>
              <w:widowControl/>
              <w:jc w:val="center"/>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商品名称</w:t>
            </w:r>
          </w:p>
        </w:tc>
        <w:tc>
          <w:tcPr>
            <w:tcW w:w="5154" w:type="dxa"/>
            <w:tcBorders>
              <w:top w:val="nil"/>
              <w:left w:val="nil"/>
              <w:bottom w:val="single" w:color="auto" w:sz="4" w:space="0"/>
              <w:right w:val="single" w:color="auto" w:sz="4" w:space="0"/>
            </w:tcBorders>
            <w:noWrap/>
            <w:vAlign w:val="center"/>
          </w:tcPr>
          <w:p>
            <w:pPr>
              <w:widowControl/>
              <w:jc w:val="center"/>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工程造价折扣率(%）</w:t>
            </w:r>
          </w:p>
        </w:tc>
      </w:tr>
      <w:tr>
        <w:tblPrEx>
          <w:tblCellMar>
            <w:top w:w="0" w:type="dxa"/>
            <w:left w:w="108" w:type="dxa"/>
            <w:bottom w:w="0" w:type="dxa"/>
            <w:right w:w="108" w:type="dxa"/>
          </w:tblCellMar>
        </w:tblPrEx>
        <w:trPr>
          <w:trHeight w:val="422" w:hRule="atLeast"/>
        </w:trPr>
        <w:tc>
          <w:tcPr>
            <w:tcW w:w="894" w:type="dxa"/>
            <w:tcBorders>
              <w:top w:val="nil"/>
              <w:left w:val="single" w:color="auto" w:sz="4" w:space="0"/>
              <w:bottom w:val="single" w:color="auto" w:sz="4" w:space="0"/>
              <w:right w:val="single" w:color="auto" w:sz="4" w:space="0"/>
            </w:tcBorders>
            <w:noWrap/>
            <w:vAlign w:val="center"/>
          </w:tcPr>
          <w:p>
            <w:pPr>
              <w:widowControl/>
              <w:jc w:val="center"/>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1</w:t>
            </w:r>
          </w:p>
        </w:tc>
        <w:tc>
          <w:tcPr>
            <w:tcW w:w="2367" w:type="dxa"/>
            <w:tcBorders>
              <w:top w:val="nil"/>
              <w:left w:val="nil"/>
              <w:bottom w:val="single" w:color="auto" w:sz="4" w:space="0"/>
              <w:right w:val="single" w:color="auto" w:sz="4" w:space="0"/>
            </w:tcBorders>
            <w:noWrap/>
            <w:vAlign w:val="center"/>
          </w:tcPr>
          <w:p>
            <w:pPr>
              <w:widowControl/>
              <w:jc w:val="left"/>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消防报警系统工程施工造价折扣率</w:t>
            </w:r>
          </w:p>
        </w:tc>
        <w:tc>
          <w:tcPr>
            <w:tcW w:w="5154" w:type="dxa"/>
            <w:tcBorders>
              <w:top w:val="nil"/>
              <w:left w:val="nil"/>
              <w:bottom w:val="single" w:color="auto" w:sz="4" w:space="0"/>
              <w:right w:val="single" w:color="auto" w:sz="4" w:space="0"/>
            </w:tcBorders>
            <w:noWrap/>
            <w:vAlign w:val="center"/>
          </w:tcPr>
          <w:p>
            <w:pPr>
              <w:widowControl/>
              <w:jc w:val="left"/>
              <w:rPr>
                <w:rFonts w:hint="eastAsia" w:ascii="彩虹粗仿宋" w:hAnsi="宋体" w:eastAsia="彩虹粗仿宋" w:cs="宋体"/>
                <w:color w:val="000000"/>
                <w:kern w:val="0"/>
                <w:sz w:val="28"/>
                <w:szCs w:val="28"/>
              </w:rPr>
            </w:pPr>
            <w:r>
              <w:rPr>
                <w:rFonts w:hint="eastAsia" w:ascii="彩虹粗仿宋" w:hAnsi="宋体" w:eastAsia="彩虹粗仿宋" w:cs="宋体"/>
                <w:color w:val="000000"/>
                <w:kern w:val="0"/>
                <w:sz w:val="28"/>
                <w:szCs w:val="28"/>
              </w:rPr>
              <w:t>　</w:t>
            </w:r>
          </w:p>
        </w:tc>
      </w:tr>
    </w:tbl>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（二）对火灾报警控制器、轴流式消防排烟风机和消防广播主机等设备进行报价。</w:t>
      </w:r>
    </w:p>
    <w:tbl>
      <w:tblPr>
        <w:tblStyle w:val="6"/>
        <w:tblW w:w="8596" w:type="dxa"/>
        <w:tblInd w:w="-10" w:type="dxa"/>
        <w:tblLayout w:type="autofit"/>
        <w:tblCellMar>
          <w:top w:w="0" w:type="dxa"/>
          <w:left w:w="108" w:type="dxa"/>
          <w:bottom w:w="0" w:type="dxa"/>
          <w:right w:w="108" w:type="dxa"/>
        </w:tblCellMar>
      </w:tblPr>
      <w:tblGrid>
        <w:gridCol w:w="457"/>
        <w:gridCol w:w="1528"/>
        <w:gridCol w:w="773"/>
        <w:gridCol w:w="786"/>
        <w:gridCol w:w="714"/>
        <w:gridCol w:w="941"/>
        <w:gridCol w:w="699"/>
        <w:gridCol w:w="939"/>
        <w:gridCol w:w="939"/>
        <w:gridCol w:w="820"/>
      </w:tblGrid>
      <w:tr>
        <w:tblPrEx>
          <w:tblCellMar>
            <w:top w:w="0" w:type="dxa"/>
            <w:left w:w="108" w:type="dxa"/>
            <w:bottom w:w="0" w:type="dxa"/>
            <w:right w:w="108" w:type="dxa"/>
          </w:tblCellMar>
        </w:tblPrEx>
        <w:trPr>
          <w:trHeight w:val="1007" w:hRule="atLeast"/>
        </w:trPr>
        <w:tc>
          <w:tcPr>
            <w:tcW w:w="457" w:type="dxa"/>
            <w:tcBorders>
              <w:top w:val="single" w:color="auto" w:sz="8" w:space="0"/>
              <w:left w:val="single" w:color="auto" w:sz="8" w:space="0"/>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序号</w:t>
            </w:r>
          </w:p>
        </w:tc>
        <w:tc>
          <w:tcPr>
            <w:tcW w:w="1528"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名称</w:t>
            </w:r>
          </w:p>
        </w:tc>
        <w:tc>
          <w:tcPr>
            <w:tcW w:w="773"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品牌/型号</w:t>
            </w:r>
          </w:p>
        </w:tc>
        <w:tc>
          <w:tcPr>
            <w:tcW w:w="786"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计量单位</w:t>
            </w:r>
          </w:p>
        </w:tc>
        <w:tc>
          <w:tcPr>
            <w:tcW w:w="714"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预估数量</w:t>
            </w:r>
          </w:p>
        </w:tc>
        <w:tc>
          <w:tcPr>
            <w:tcW w:w="941"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不含税单价(元）</w:t>
            </w:r>
          </w:p>
        </w:tc>
        <w:tc>
          <w:tcPr>
            <w:tcW w:w="699"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含税单价(元)</w:t>
            </w:r>
          </w:p>
        </w:tc>
        <w:tc>
          <w:tcPr>
            <w:tcW w:w="939"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不含税总价（元）</w:t>
            </w:r>
          </w:p>
        </w:tc>
        <w:tc>
          <w:tcPr>
            <w:tcW w:w="939"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含税总价（元）</w:t>
            </w:r>
          </w:p>
        </w:tc>
        <w:tc>
          <w:tcPr>
            <w:tcW w:w="820" w:type="dxa"/>
            <w:tcBorders>
              <w:top w:val="single" w:color="auto" w:sz="8" w:space="0"/>
              <w:left w:val="nil"/>
              <w:bottom w:val="single" w:color="auto" w:sz="8" w:space="0"/>
              <w:right w:val="single" w:color="auto" w:sz="8" w:space="0"/>
            </w:tcBorders>
            <w:vAlign w:val="center"/>
          </w:tcPr>
          <w:p>
            <w:pPr>
              <w:widowControl/>
              <w:jc w:val="center"/>
              <w:rPr>
                <w:rFonts w:hint="eastAsia" w:ascii="彩虹粗仿宋" w:hAnsi="宋体" w:eastAsia="彩虹粗仿宋" w:cs="宋体"/>
                <w:b/>
                <w:bCs/>
                <w:color w:val="000000"/>
                <w:kern w:val="0"/>
                <w:sz w:val="24"/>
                <w:szCs w:val="24"/>
              </w:rPr>
            </w:pPr>
            <w:r>
              <w:rPr>
                <w:rFonts w:hint="eastAsia" w:ascii="彩虹粗仿宋" w:hAnsi="宋体" w:eastAsia="彩虹粗仿宋" w:cs="宋体"/>
                <w:b/>
                <w:bCs/>
                <w:color w:val="000000"/>
                <w:kern w:val="0"/>
                <w:sz w:val="24"/>
                <w:szCs w:val="24"/>
              </w:rPr>
              <w:t>增值税税率(%)</w:t>
            </w:r>
          </w:p>
        </w:tc>
      </w:tr>
      <w:tr>
        <w:tblPrEx>
          <w:tblCellMar>
            <w:top w:w="0" w:type="dxa"/>
            <w:left w:w="108" w:type="dxa"/>
            <w:bottom w:w="0" w:type="dxa"/>
            <w:right w:w="108" w:type="dxa"/>
          </w:tblCellMar>
        </w:tblPrEx>
        <w:trPr>
          <w:trHeight w:val="1007" w:hRule="atLeast"/>
        </w:trPr>
        <w:tc>
          <w:tcPr>
            <w:tcW w:w="457" w:type="dxa"/>
            <w:tcBorders>
              <w:top w:val="nil"/>
              <w:left w:val="single" w:color="auto" w:sz="8" w:space="0"/>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1</w:t>
            </w:r>
          </w:p>
        </w:tc>
        <w:tc>
          <w:tcPr>
            <w:tcW w:w="1528"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火灾报警控制器（96-100点位）</w:t>
            </w:r>
          </w:p>
        </w:tc>
        <w:tc>
          <w:tcPr>
            <w:tcW w:w="773" w:type="dxa"/>
            <w:tcBorders>
              <w:top w:val="nil"/>
              <w:left w:val="nil"/>
              <w:bottom w:val="single" w:color="auto" w:sz="8" w:space="0"/>
              <w:right w:val="single" w:color="auto" w:sz="8" w:space="0"/>
            </w:tcBorders>
            <w:vAlign w:val="center"/>
          </w:tcPr>
          <w:p>
            <w:pPr>
              <w:rPr>
                <w:rFonts w:hint="eastAsia" w:ascii="彩虹粗仿宋" w:hAnsi="宋体" w:eastAsia="彩虹粗仿宋" w:cs="宋体"/>
                <w:color w:val="000000"/>
                <w:kern w:val="0"/>
                <w:sz w:val="24"/>
                <w:szCs w:val="24"/>
              </w:rPr>
            </w:pPr>
          </w:p>
        </w:tc>
        <w:tc>
          <w:tcPr>
            <w:tcW w:w="786"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台</w:t>
            </w:r>
          </w:p>
        </w:tc>
        <w:tc>
          <w:tcPr>
            <w:tcW w:w="714"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8</w:t>
            </w:r>
          </w:p>
        </w:tc>
        <w:tc>
          <w:tcPr>
            <w:tcW w:w="941"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699"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FF0000"/>
                <w:kern w:val="0"/>
                <w:sz w:val="24"/>
                <w:szCs w:val="24"/>
              </w:rPr>
            </w:pPr>
            <w:r>
              <w:rPr>
                <w:rFonts w:hint="eastAsia" w:ascii="彩虹粗仿宋" w:hAnsi="宋体" w:eastAsia="彩虹粗仿宋" w:cs="宋体"/>
                <w:color w:val="FF0000"/>
                <w:kern w:val="0"/>
                <w:sz w:val="24"/>
                <w:szCs w:val="24"/>
              </w:rPr>
              <w:t>　</w:t>
            </w:r>
          </w:p>
        </w:tc>
        <w:tc>
          <w:tcPr>
            <w:tcW w:w="939" w:type="dxa"/>
            <w:tcBorders>
              <w:top w:val="nil"/>
              <w:left w:val="nil"/>
              <w:bottom w:val="single" w:color="auto" w:sz="8" w:space="0"/>
              <w:right w:val="single" w:color="auto" w:sz="8" w:space="0"/>
            </w:tcBorders>
            <w:vAlign w:val="center"/>
          </w:tcPr>
          <w:p>
            <w:pPr>
              <w:widowControl/>
              <w:jc w:val="left"/>
              <w:rPr>
                <w:rFonts w:hint="eastAsia" w:ascii="彩虹粗仿宋" w:hAnsi="宋体" w:eastAsia="彩虹粗仿宋" w:cs="宋体"/>
                <w:color w:val="FF0000"/>
                <w:kern w:val="0"/>
                <w:sz w:val="24"/>
                <w:szCs w:val="24"/>
              </w:rPr>
            </w:pPr>
            <w:r>
              <w:rPr>
                <w:rFonts w:hint="eastAsia" w:ascii="彩虹粗仿宋" w:hAnsi="宋体" w:eastAsia="彩虹粗仿宋" w:cs="宋体"/>
                <w:color w:val="FF0000"/>
                <w:kern w:val="0"/>
                <w:sz w:val="24"/>
                <w:szCs w:val="24"/>
              </w:rPr>
              <w:t>　</w:t>
            </w:r>
          </w:p>
        </w:tc>
        <w:tc>
          <w:tcPr>
            <w:tcW w:w="939" w:type="dxa"/>
            <w:tcBorders>
              <w:top w:val="nil"/>
              <w:left w:val="nil"/>
              <w:bottom w:val="single" w:color="auto" w:sz="8" w:space="0"/>
              <w:right w:val="single" w:color="auto" w:sz="8" w:space="0"/>
            </w:tcBorders>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820" w:type="dxa"/>
            <w:tcBorders>
              <w:top w:val="nil"/>
              <w:left w:val="nil"/>
              <w:bottom w:val="single" w:color="auto" w:sz="8" w:space="0"/>
              <w:right w:val="single" w:color="auto" w:sz="8" w:space="0"/>
            </w:tcBorders>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r>
      <w:tr>
        <w:tblPrEx>
          <w:tblCellMar>
            <w:top w:w="0" w:type="dxa"/>
            <w:left w:w="108" w:type="dxa"/>
            <w:bottom w:w="0" w:type="dxa"/>
            <w:right w:w="108" w:type="dxa"/>
          </w:tblCellMar>
        </w:tblPrEx>
        <w:trPr>
          <w:trHeight w:val="1007" w:hRule="atLeast"/>
        </w:trPr>
        <w:tc>
          <w:tcPr>
            <w:tcW w:w="457" w:type="dxa"/>
            <w:tcBorders>
              <w:top w:val="nil"/>
              <w:left w:val="single" w:color="auto" w:sz="8" w:space="0"/>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2</w:t>
            </w:r>
          </w:p>
        </w:tc>
        <w:tc>
          <w:tcPr>
            <w:tcW w:w="1528"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火灾报警控制器（50-64点位）</w:t>
            </w:r>
          </w:p>
        </w:tc>
        <w:tc>
          <w:tcPr>
            <w:tcW w:w="773" w:type="dxa"/>
            <w:tcBorders>
              <w:top w:val="nil"/>
              <w:left w:val="nil"/>
              <w:bottom w:val="single" w:color="auto" w:sz="8" w:space="0"/>
              <w:right w:val="single" w:color="auto" w:sz="8" w:space="0"/>
            </w:tcBorders>
            <w:vAlign w:val="center"/>
          </w:tcPr>
          <w:p>
            <w:pPr>
              <w:rPr>
                <w:rFonts w:hint="eastAsia" w:ascii="彩虹粗仿宋" w:hAnsi="宋体" w:eastAsia="彩虹粗仿宋" w:cs="宋体"/>
                <w:color w:val="000000"/>
                <w:kern w:val="0"/>
                <w:sz w:val="24"/>
                <w:szCs w:val="24"/>
              </w:rPr>
            </w:pPr>
          </w:p>
        </w:tc>
        <w:tc>
          <w:tcPr>
            <w:tcW w:w="786"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台</w:t>
            </w:r>
          </w:p>
        </w:tc>
        <w:tc>
          <w:tcPr>
            <w:tcW w:w="714"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2</w:t>
            </w:r>
          </w:p>
        </w:tc>
        <w:tc>
          <w:tcPr>
            <w:tcW w:w="941"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699"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820"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r>
      <w:tr>
        <w:tblPrEx>
          <w:tblCellMar>
            <w:top w:w="0" w:type="dxa"/>
            <w:left w:w="108" w:type="dxa"/>
            <w:bottom w:w="0" w:type="dxa"/>
            <w:right w:w="108" w:type="dxa"/>
          </w:tblCellMar>
        </w:tblPrEx>
        <w:trPr>
          <w:trHeight w:val="2003" w:hRule="atLeast"/>
        </w:trPr>
        <w:tc>
          <w:tcPr>
            <w:tcW w:w="457" w:type="dxa"/>
            <w:tcBorders>
              <w:top w:val="nil"/>
              <w:left w:val="single" w:color="auto" w:sz="8" w:space="0"/>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3</w:t>
            </w:r>
          </w:p>
        </w:tc>
        <w:tc>
          <w:tcPr>
            <w:tcW w:w="1528"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轴流式消防排烟风机（风量：28000，全压600pa，功率：7.5kw）</w:t>
            </w:r>
          </w:p>
        </w:tc>
        <w:tc>
          <w:tcPr>
            <w:tcW w:w="773" w:type="dxa"/>
            <w:tcBorders>
              <w:top w:val="nil"/>
              <w:left w:val="nil"/>
              <w:bottom w:val="single" w:color="auto" w:sz="8" w:space="0"/>
              <w:right w:val="single" w:color="auto" w:sz="8" w:space="0"/>
            </w:tcBorders>
            <w:vAlign w:val="center"/>
          </w:tcPr>
          <w:p>
            <w:pPr>
              <w:rPr>
                <w:rFonts w:hint="eastAsia" w:ascii="彩虹粗仿宋" w:hAnsi="宋体" w:eastAsia="彩虹粗仿宋" w:cs="宋体"/>
                <w:color w:val="000000"/>
                <w:kern w:val="0"/>
                <w:sz w:val="24"/>
                <w:szCs w:val="24"/>
              </w:rPr>
            </w:pPr>
          </w:p>
        </w:tc>
        <w:tc>
          <w:tcPr>
            <w:tcW w:w="786"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台</w:t>
            </w:r>
          </w:p>
        </w:tc>
        <w:tc>
          <w:tcPr>
            <w:tcW w:w="714"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2</w:t>
            </w:r>
          </w:p>
        </w:tc>
        <w:tc>
          <w:tcPr>
            <w:tcW w:w="941"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699"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820"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r>
      <w:tr>
        <w:tblPrEx>
          <w:tblCellMar>
            <w:top w:w="0" w:type="dxa"/>
            <w:left w:w="108" w:type="dxa"/>
            <w:bottom w:w="0" w:type="dxa"/>
            <w:right w:w="108" w:type="dxa"/>
          </w:tblCellMar>
        </w:tblPrEx>
        <w:trPr>
          <w:trHeight w:val="1671" w:hRule="atLeast"/>
        </w:trPr>
        <w:tc>
          <w:tcPr>
            <w:tcW w:w="457" w:type="dxa"/>
            <w:tcBorders>
              <w:top w:val="nil"/>
              <w:left w:val="single" w:color="auto" w:sz="8" w:space="0"/>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4</w:t>
            </w:r>
          </w:p>
        </w:tc>
        <w:tc>
          <w:tcPr>
            <w:tcW w:w="1528"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轴流式消防排烟风机（风量：35000，全压650pa，功率：11kw）</w:t>
            </w:r>
          </w:p>
        </w:tc>
        <w:tc>
          <w:tcPr>
            <w:tcW w:w="773" w:type="dxa"/>
            <w:tcBorders>
              <w:top w:val="nil"/>
              <w:left w:val="nil"/>
              <w:bottom w:val="single" w:color="auto" w:sz="8" w:space="0"/>
              <w:right w:val="single" w:color="auto" w:sz="8" w:space="0"/>
            </w:tcBorders>
            <w:vAlign w:val="center"/>
          </w:tcPr>
          <w:p>
            <w:pPr>
              <w:rPr>
                <w:rFonts w:hint="eastAsia" w:ascii="彩虹粗仿宋" w:hAnsi="宋体" w:eastAsia="彩虹粗仿宋" w:cs="宋体"/>
                <w:color w:val="000000"/>
                <w:kern w:val="0"/>
                <w:sz w:val="24"/>
                <w:szCs w:val="24"/>
              </w:rPr>
            </w:pPr>
          </w:p>
        </w:tc>
        <w:tc>
          <w:tcPr>
            <w:tcW w:w="786"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台</w:t>
            </w:r>
          </w:p>
        </w:tc>
        <w:tc>
          <w:tcPr>
            <w:tcW w:w="714"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8</w:t>
            </w:r>
          </w:p>
        </w:tc>
        <w:tc>
          <w:tcPr>
            <w:tcW w:w="941"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699"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820"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r>
      <w:tr>
        <w:tblPrEx>
          <w:tblCellMar>
            <w:top w:w="0" w:type="dxa"/>
            <w:left w:w="108" w:type="dxa"/>
            <w:bottom w:w="0" w:type="dxa"/>
            <w:right w:w="108" w:type="dxa"/>
          </w:tblCellMar>
        </w:tblPrEx>
        <w:trPr>
          <w:trHeight w:val="1007" w:hRule="atLeast"/>
        </w:trPr>
        <w:tc>
          <w:tcPr>
            <w:tcW w:w="457" w:type="dxa"/>
            <w:tcBorders>
              <w:top w:val="nil"/>
              <w:left w:val="single" w:color="auto" w:sz="8" w:space="0"/>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5</w:t>
            </w:r>
          </w:p>
        </w:tc>
        <w:tc>
          <w:tcPr>
            <w:tcW w:w="1528"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消防广播主机</w:t>
            </w:r>
          </w:p>
        </w:tc>
        <w:tc>
          <w:tcPr>
            <w:tcW w:w="773" w:type="dxa"/>
            <w:tcBorders>
              <w:top w:val="nil"/>
              <w:left w:val="nil"/>
              <w:bottom w:val="single" w:color="auto" w:sz="8" w:space="0"/>
              <w:right w:val="single" w:color="auto" w:sz="8" w:space="0"/>
            </w:tcBorders>
            <w:vAlign w:val="center"/>
          </w:tcPr>
          <w:p>
            <w:pPr>
              <w:rPr>
                <w:rFonts w:hint="eastAsia" w:ascii="彩虹粗仿宋" w:hAnsi="宋体" w:eastAsia="彩虹粗仿宋" w:cs="宋体"/>
                <w:color w:val="000000"/>
                <w:kern w:val="0"/>
                <w:sz w:val="24"/>
                <w:szCs w:val="24"/>
              </w:rPr>
            </w:pPr>
          </w:p>
        </w:tc>
        <w:tc>
          <w:tcPr>
            <w:tcW w:w="786" w:type="dxa"/>
            <w:tcBorders>
              <w:top w:val="nil"/>
              <w:left w:val="nil"/>
              <w:bottom w:val="single" w:color="auto" w:sz="8" w:space="0"/>
              <w:right w:val="single" w:color="auto" w:sz="8" w:space="0"/>
            </w:tcBorders>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台</w:t>
            </w:r>
          </w:p>
        </w:tc>
        <w:tc>
          <w:tcPr>
            <w:tcW w:w="714"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10</w:t>
            </w:r>
          </w:p>
        </w:tc>
        <w:tc>
          <w:tcPr>
            <w:tcW w:w="941"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699" w:type="dxa"/>
            <w:tcBorders>
              <w:top w:val="nil"/>
              <w:left w:val="nil"/>
              <w:bottom w:val="single" w:color="auto" w:sz="8" w:space="0"/>
              <w:right w:val="single" w:color="auto" w:sz="8" w:space="0"/>
            </w:tcBorders>
            <w:noWrap/>
            <w:vAlign w:val="center"/>
          </w:tcPr>
          <w:p>
            <w:pPr>
              <w:widowControl/>
              <w:jc w:val="center"/>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939"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c>
          <w:tcPr>
            <w:tcW w:w="820" w:type="dxa"/>
            <w:tcBorders>
              <w:top w:val="nil"/>
              <w:left w:val="nil"/>
              <w:bottom w:val="single" w:color="auto" w:sz="8" w:space="0"/>
              <w:right w:val="single" w:color="auto" w:sz="8" w:space="0"/>
            </w:tcBorders>
            <w:noWrap/>
            <w:vAlign w:val="center"/>
          </w:tcPr>
          <w:p>
            <w:pPr>
              <w:widowControl/>
              <w:jc w:val="left"/>
              <w:rPr>
                <w:rFonts w:hint="eastAsia" w:ascii="彩虹粗仿宋" w:hAnsi="宋体" w:eastAsia="彩虹粗仿宋" w:cs="宋体"/>
                <w:color w:val="000000"/>
                <w:kern w:val="0"/>
                <w:sz w:val="24"/>
                <w:szCs w:val="24"/>
              </w:rPr>
            </w:pPr>
            <w:r>
              <w:rPr>
                <w:rFonts w:hint="eastAsia" w:ascii="彩虹粗仿宋" w:hAnsi="宋体" w:eastAsia="彩虹粗仿宋" w:cs="宋体"/>
                <w:color w:val="000000"/>
                <w:kern w:val="0"/>
                <w:sz w:val="24"/>
                <w:szCs w:val="24"/>
              </w:rPr>
              <w:t>　</w:t>
            </w:r>
          </w:p>
        </w:tc>
      </w:tr>
    </w:tbl>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八、其他要求</w:t>
      </w:r>
    </w:p>
    <w:p>
      <w:pPr>
        <w:spacing w:line="360" w:lineRule="auto"/>
        <w:ind w:firstLine="600" w:firstLineChars="200"/>
        <w:rPr>
          <w:rFonts w:hint="eastAsia" w:ascii="彩虹粗仿宋" w:hAnsi="宋体" w:eastAsia="彩虹粗仿宋"/>
          <w:sz w:val="30"/>
          <w:szCs w:val="30"/>
        </w:rPr>
      </w:pPr>
      <w:r>
        <w:rPr>
          <w:rFonts w:hint="eastAsia" w:ascii="彩虹粗仿宋" w:hAnsi="宋体" w:eastAsia="彩虹粗仿宋"/>
          <w:sz w:val="30"/>
          <w:szCs w:val="30"/>
        </w:rPr>
        <w:t>（一）本次入选供应商为1家。</w:t>
      </w:r>
    </w:p>
    <w:p>
      <w:pPr>
        <w:spacing w:line="360" w:lineRule="auto"/>
        <w:ind w:firstLine="600" w:firstLineChars="200"/>
        <w:rPr>
          <w:rFonts w:hint="eastAsia" w:ascii="彩虹粗仿宋" w:hAnsi="宋体" w:eastAsia="彩虹粗仿宋"/>
          <w:color w:val="000000" w:themeColor="text1"/>
          <w:sz w:val="30"/>
          <w:szCs w:val="30"/>
          <w14:textFill>
            <w14:solidFill>
              <w14:schemeClr w14:val="tx1"/>
            </w14:solidFill>
          </w14:textFill>
        </w:rPr>
      </w:pPr>
      <w:r>
        <w:rPr>
          <w:rFonts w:hint="eastAsia" w:ascii="彩虹粗仿宋" w:hAnsi="宋体" w:eastAsia="彩虹粗仿宋"/>
          <w:sz w:val="30"/>
          <w:szCs w:val="30"/>
        </w:rPr>
        <w:t>（二）工程量据实计算，工程经采购方指定的造价咨询机构审核，按工程造价折扣率结算。</w:t>
      </w:r>
    </w:p>
    <w:p>
      <w:pPr>
        <w:rPr>
          <w:rFonts w:hint="eastAsia" w:ascii="彩虹粗仿宋" w:eastAsia="彩虹粗仿宋"/>
        </w:rPr>
      </w:pPr>
    </w:p>
    <w:p>
      <w:pPr>
        <w:spacing w:line="360" w:lineRule="auto"/>
        <w:ind w:firstLine="600" w:firstLineChars="200"/>
        <w:rPr>
          <w:rFonts w:hint="eastAsia" w:ascii="彩虹粗仿宋" w:hAnsi="宋体" w:eastAsia="彩虹粗仿宋"/>
          <w:sz w:val="30"/>
          <w:szCs w:val="30"/>
        </w:rPr>
      </w:pPr>
    </w:p>
    <w:p>
      <w:pPr>
        <w:adjustRightInd w:val="0"/>
        <w:snapToGrid w:val="0"/>
        <w:spacing w:line="560" w:lineRule="atLeast"/>
        <w:ind w:firstLine="420" w:firstLineChars="200"/>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6230FC"/>
    <w:rsid w:val="00AB58BF"/>
    <w:rsid w:val="00B50B8D"/>
    <w:rsid w:val="00E52834"/>
    <w:rsid w:val="00EB529C"/>
    <w:rsid w:val="0ECC1455"/>
    <w:rsid w:val="0FDA6775"/>
    <w:rsid w:val="143E074B"/>
    <w:rsid w:val="1C3A0FB0"/>
    <w:rsid w:val="3CCB7297"/>
    <w:rsid w:val="700C67D2"/>
    <w:rsid w:val="70323C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hint="eastAsia" w:ascii="宋体" w:hAnsi="宋体" w:eastAsia="宋体" w:cs="Times New Roman"/>
      <w:kern w:val="0"/>
      <w:sz w:val="24"/>
      <w:szCs w:val="24"/>
      <w:lang w:eastAsia="en-US"/>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1</Pages>
  <Words>768</Words>
  <Characters>4378</Characters>
  <Lines>36</Lines>
  <Paragraphs>10</Paragraphs>
  <TotalTime>0</TotalTime>
  <ScaleCrop>false</ScaleCrop>
  <LinksUpToDate>false</LinksUpToDate>
  <CharactersWithSpaces>5136</CharactersWithSpaces>
  <Application>WPS Office_11.8.2.9093_F1E327BC-269C-435d-A152-05C5408002CA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2023-11-17T09:15:00Z</dcterms:created>
  <dc:creator>供应商管理科</dc:creator>
  <cp:lastModifiedBy>陈翚</cp:lastModifiedBy>
  <dcterms:modified xsi:type="dcterms:W3CDTF">2025-09-02T03:29:45Z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2052-11.8.2.9093</vt:lpwstr>
  </property>
  <property fmtid="{D5CDD505-2E9C-101B-9397-08002B2CF9AE}" pid="3" name="ICV">
    <vt:lpwstr>5E6FC84F41404B96B682C536728A021D_12</vt:lpwstr>
  </property>
</Properties>
</file>