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4EFCC1">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14:paraId="239C09C8">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highlight w:val="yellow"/>
        </w:rPr>
        <w:t>（</w:t>
      </w:r>
      <w:r>
        <w:rPr>
          <w:rFonts w:hint="eastAsia" w:ascii="彩虹小标宋" w:hAnsi="宋体" w:eastAsia="彩虹小标宋"/>
          <w:sz w:val="30"/>
          <w:szCs w:val="30"/>
          <w:highlight w:val="yellow"/>
          <w:lang w:val="en-US" w:eastAsia="zh-CN"/>
        </w:rPr>
        <w:t>花都分行本部食堂食材</w:t>
      </w:r>
      <w:r>
        <w:rPr>
          <w:rFonts w:hint="eastAsia" w:ascii="彩虹小标宋" w:hAnsi="宋体" w:eastAsia="彩虹小标宋"/>
          <w:sz w:val="30"/>
          <w:szCs w:val="30"/>
          <w:highlight w:val="yellow"/>
        </w:rPr>
        <w:t>采购项目）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14:paraId="5D78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14:paraId="7EEE5675">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14:paraId="43AF020F">
            <w:pPr>
              <w:spacing w:line="400" w:lineRule="exact"/>
              <w:rPr>
                <w:rFonts w:ascii="宋体" w:hAnsi="宋体"/>
                <w:b/>
                <w:sz w:val="24"/>
              </w:rPr>
            </w:pPr>
            <w:r>
              <w:rPr>
                <w:rFonts w:hint="eastAsia" w:ascii="宋体" w:hAnsi="宋体"/>
                <w:b/>
                <w:sz w:val="24"/>
              </w:rPr>
              <w:t>资质条件说明</w:t>
            </w:r>
          </w:p>
        </w:tc>
      </w:tr>
      <w:tr w14:paraId="4A10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20D47254">
            <w:pPr>
              <w:spacing w:line="400" w:lineRule="exact"/>
              <w:jc w:val="center"/>
              <w:rPr>
                <w:rFonts w:ascii="宋体" w:hAnsi="宋体"/>
                <w:sz w:val="24"/>
                <w:highlight w:val="yellow"/>
              </w:rPr>
            </w:pPr>
            <w:r>
              <w:rPr>
                <w:rFonts w:hint="eastAsia" w:ascii="宋体" w:hAnsi="宋体"/>
                <w:sz w:val="24"/>
                <w:highlight w:val="yellow"/>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14:paraId="39404F35">
            <w:pPr>
              <w:spacing w:line="400" w:lineRule="exact"/>
              <w:rPr>
                <w:rFonts w:ascii="宋体" w:hAnsi="宋体"/>
                <w:sz w:val="24"/>
                <w:highlight w:val="yellow"/>
              </w:rPr>
            </w:pPr>
            <w:r>
              <w:rPr>
                <w:rFonts w:hint="eastAsia" w:ascii="宋体" w:hAnsi="宋体"/>
                <w:sz w:val="24"/>
                <w:highlight w:val="yellow"/>
              </w:rPr>
              <w:t>人民币</w:t>
            </w:r>
            <w:r>
              <w:rPr>
                <w:rFonts w:hint="eastAsia" w:ascii="宋体" w:hAnsi="宋体"/>
                <w:sz w:val="24"/>
                <w:highlight w:val="yellow"/>
                <w:lang w:val="en-US" w:eastAsia="zh-CN"/>
              </w:rPr>
              <w:t>100</w:t>
            </w:r>
            <w:r>
              <w:rPr>
                <w:rFonts w:hint="eastAsia" w:ascii="宋体" w:hAnsi="宋体"/>
                <w:sz w:val="24"/>
                <w:highlight w:val="yellow"/>
              </w:rPr>
              <w:t xml:space="preserve">万元以上（含）。（提供营业执照） </w:t>
            </w:r>
          </w:p>
        </w:tc>
      </w:tr>
      <w:tr w14:paraId="0798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4875FAE6">
            <w:pPr>
              <w:spacing w:line="400" w:lineRule="exact"/>
              <w:jc w:val="center"/>
              <w:rPr>
                <w:rFonts w:ascii="宋体" w:hAnsi="宋体"/>
                <w:sz w:val="24"/>
                <w:highlight w:val="yellow"/>
              </w:rPr>
            </w:pPr>
            <w:r>
              <w:rPr>
                <w:rFonts w:hint="eastAsia" w:ascii="宋体" w:hAnsi="宋体"/>
                <w:sz w:val="24"/>
                <w:highlight w:val="yellow"/>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14:paraId="3F59A763">
            <w:pPr>
              <w:spacing w:line="400" w:lineRule="exact"/>
              <w:jc w:val="left"/>
              <w:rPr>
                <w:rFonts w:hint="eastAsia" w:ascii="宋体" w:hAnsi="宋体" w:eastAsia="宋体"/>
                <w:sz w:val="24"/>
                <w:highlight w:val="yellow"/>
                <w:lang w:eastAsia="zh-CN"/>
              </w:rPr>
            </w:pPr>
            <w:r>
              <w:rPr>
                <w:rFonts w:hint="eastAsia" w:ascii="宋体" w:hAnsi="宋体"/>
                <w:sz w:val="24"/>
                <w:highlight w:val="yellow"/>
              </w:rPr>
              <w:t>营业执照经营范围有</w:t>
            </w:r>
            <w:r>
              <w:rPr>
                <w:rFonts w:hint="eastAsia" w:ascii="Segoe UI" w:hAnsi="Segoe UI" w:eastAsia="SimSun" w:cs="Segoe UI"/>
                <w:i w:val="0"/>
                <w:iCs w:val="0"/>
                <w:caps w:val="0"/>
                <w:color w:val="333333"/>
                <w:spacing w:val="0"/>
                <w:sz w:val="24"/>
                <w:szCs w:val="24"/>
                <w:highlight w:val="yellow"/>
                <w:shd w:val="clear" w:fill="FFFFFF"/>
                <w:lang w:eastAsia="zh-CN"/>
              </w:rPr>
              <w:t>包括但不限于肉类、禽类、水产、粮油、蔬菜、水果、奶制品、豆制品、调料品、干货类、净菜零售等</w:t>
            </w:r>
            <w:r>
              <w:rPr>
                <w:rFonts w:hint="eastAsia" w:ascii="宋体" w:hAnsi="宋体"/>
                <w:sz w:val="24"/>
                <w:highlight w:val="yellow"/>
              </w:rPr>
              <w:t>或与之相关的内容之一</w:t>
            </w:r>
            <w:r>
              <w:rPr>
                <w:rFonts w:hint="eastAsia" w:ascii="宋体" w:hAnsi="宋体"/>
                <w:sz w:val="24"/>
                <w:highlight w:val="yellow"/>
                <w:lang w:eastAsia="zh-CN"/>
              </w:rPr>
              <w:t>。</w:t>
            </w:r>
          </w:p>
        </w:tc>
      </w:tr>
      <w:tr w14:paraId="5511F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607F7AA7">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14:paraId="0B84AB25">
            <w:pPr>
              <w:spacing w:line="400" w:lineRule="exact"/>
              <w:jc w:val="left"/>
              <w:rPr>
                <w:rFonts w:ascii="宋体" w:hAnsi="宋体"/>
                <w:sz w:val="24"/>
              </w:rPr>
            </w:pPr>
            <w:r>
              <w:rPr>
                <w:rFonts w:hint="eastAsia" w:ascii="宋体" w:hAnsi="宋体"/>
                <w:sz w:val="24"/>
              </w:rPr>
              <w:t>企业已有一年（含）以上的经营历史</w:t>
            </w:r>
          </w:p>
        </w:tc>
      </w:tr>
      <w:tr w14:paraId="1A43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7E3AEA61">
            <w:pPr>
              <w:spacing w:line="400" w:lineRule="exact"/>
              <w:jc w:val="center"/>
              <w:rPr>
                <w:rFonts w:ascii="宋体" w:hAnsi="宋体"/>
                <w:sz w:val="24"/>
                <w:highlight w:val="yellow"/>
              </w:rPr>
            </w:pPr>
            <w:r>
              <w:rPr>
                <w:rFonts w:hint="eastAsia" w:ascii="宋体" w:hAnsi="宋体"/>
                <w:sz w:val="24"/>
                <w:highlight w:val="yellow"/>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14:paraId="5D99FB5A">
            <w:pPr>
              <w:spacing w:line="400" w:lineRule="exact"/>
              <w:jc w:val="left"/>
              <w:rPr>
                <w:rFonts w:ascii="宋体" w:hAnsi="宋体"/>
                <w:sz w:val="24"/>
                <w:highlight w:val="yellow"/>
              </w:rPr>
            </w:pPr>
            <w:r>
              <w:rPr>
                <w:rFonts w:hint="eastAsia" w:ascii="宋体" w:hAnsi="宋体"/>
                <w:sz w:val="24"/>
                <w:highlight w:val="yellow"/>
                <w:lang w:eastAsia="zh-CN"/>
              </w:rPr>
              <w:t>（需提供食品经营许可证）</w:t>
            </w:r>
            <w:bookmarkStart w:id="0" w:name="_GoBack"/>
            <w:bookmarkEnd w:id="0"/>
          </w:p>
        </w:tc>
      </w:tr>
      <w:tr w14:paraId="4D61C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08A54FA9">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14:paraId="45C1C84C">
            <w:pPr>
              <w:spacing w:line="400" w:lineRule="exact"/>
              <w:jc w:val="left"/>
              <w:rPr>
                <w:rFonts w:ascii="宋体" w:hAnsi="宋体"/>
                <w:sz w:val="24"/>
              </w:rPr>
            </w:pPr>
            <w:r>
              <w:rPr>
                <w:rFonts w:hint="eastAsia" w:ascii="宋体" w:hAnsi="宋体"/>
                <w:sz w:val="24"/>
              </w:rPr>
              <w:t>在龙集采财务报表中上传经审计或加盖公章的2022年至2024年年度资产负债表、损益表（利润表）、现金流量表扫描件。请确认龙集采系统上传的财务报表数据年份正确，数值一致。（上传路径：基础管理--基础信息维护--财务信息）</w:t>
            </w:r>
          </w:p>
        </w:tc>
      </w:tr>
      <w:tr w14:paraId="3E2E1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6CF735C6">
            <w:pPr>
              <w:spacing w:line="400" w:lineRule="exact"/>
              <w:jc w:val="center"/>
              <w:rPr>
                <w:rFonts w:ascii="宋体" w:hAnsi="宋体"/>
                <w:sz w:val="24"/>
                <w:highlight w:val="yellow"/>
              </w:rPr>
            </w:pPr>
            <w:r>
              <w:rPr>
                <w:rFonts w:hint="eastAsia" w:ascii="宋体" w:hAnsi="宋体"/>
                <w:sz w:val="24"/>
                <w:highlight w:val="yellow"/>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14:paraId="53EC0FB1">
            <w:pPr>
              <w:spacing w:line="400" w:lineRule="exact"/>
              <w:rPr>
                <w:rFonts w:ascii="宋体" w:hAnsi="宋体"/>
                <w:sz w:val="24"/>
                <w:highlight w:val="yellow"/>
              </w:rPr>
            </w:pPr>
            <w:r>
              <w:rPr>
                <w:rFonts w:hint="eastAsia" w:ascii="宋体" w:hAnsi="宋体"/>
                <w:sz w:val="24"/>
                <w:highlight w:val="yellow"/>
              </w:rPr>
              <w:t>提供2</w:t>
            </w:r>
            <w:r>
              <w:rPr>
                <w:rFonts w:ascii="宋体" w:hAnsi="宋体"/>
                <w:sz w:val="24"/>
                <w:highlight w:val="yellow"/>
              </w:rPr>
              <w:t>02</w:t>
            </w:r>
            <w:r>
              <w:rPr>
                <w:rFonts w:hint="eastAsia" w:ascii="宋体" w:hAnsi="宋体"/>
                <w:sz w:val="24"/>
                <w:highlight w:val="yellow"/>
                <w:lang w:val="en-US" w:eastAsia="zh-CN"/>
              </w:rPr>
              <w:t>2</w:t>
            </w:r>
            <w:r>
              <w:rPr>
                <w:rFonts w:ascii="宋体" w:hAnsi="宋体"/>
                <w:sz w:val="24"/>
                <w:highlight w:val="yellow"/>
              </w:rPr>
              <w:t>年</w:t>
            </w:r>
            <w:r>
              <w:rPr>
                <w:rFonts w:hint="eastAsia" w:ascii="宋体" w:hAnsi="宋体"/>
                <w:sz w:val="24"/>
                <w:highlight w:val="yellow"/>
              </w:rPr>
              <w:t>1月1日以来签约的</w:t>
            </w:r>
            <w:r>
              <w:rPr>
                <w:rFonts w:hint="eastAsia" w:ascii="宋体" w:hAnsi="宋体"/>
                <w:sz w:val="24"/>
                <w:highlight w:val="none"/>
                <w:shd w:val="clear" w:fill="FFFF00"/>
              </w:rPr>
              <w:t>机关、事业、大型企业、学校、金融、医院等单位</w:t>
            </w:r>
            <w:r>
              <w:rPr>
                <w:rFonts w:hint="eastAsia" w:ascii="宋体" w:hAnsi="宋体"/>
                <w:sz w:val="24"/>
                <w:highlight w:val="none"/>
                <w:shd w:val="clear" w:fill="FFFF00"/>
                <w:lang w:eastAsia="zh-CN"/>
              </w:rPr>
              <w:t>的</w:t>
            </w:r>
            <w:r>
              <w:rPr>
                <w:rFonts w:hint="eastAsia" w:ascii="宋体" w:hAnsi="宋体"/>
                <w:color w:val="FF0000"/>
                <w:sz w:val="24"/>
                <w:highlight w:val="none"/>
                <w:shd w:val="clear" w:fill="FFFF00"/>
                <w:lang w:eastAsia="zh-CN"/>
              </w:rPr>
              <w:t>食材配送合同或协议</w:t>
            </w:r>
            <w:r>
              <w:rPr>
                <w:rFonts w:hint="eastAsia" w:ascii="宋体" w:hAnsi="宋体"/>
                <w:sz w:val="24"/>
                <w:highlight w:val="yellow"/>
              </w:rPr>
              <w:t>。（案例请提供采购合同，以合同签订时间为准，合同内容需有签约双方、签约内容、签约时间、盖章页等关键信息)。</w:t>
            </w:r>
          </w:p>
        </w:tc>
      </w:tr>
      <w:tr w14:paraId="47610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14:paraId="74CF3AB4">
            <w:pPr>
              <w:spacing w:line="400" w:lineRule="exact"/>
              <w:jc w:val="center"/>
              <w:rPr>
                <w:rFonts w:ascii="宋体" w:hAnsi="宋体"/>
                <w:sz w:val="24"/>
                <w:highlight w:val="yellow"/>
              </w:rPr>
            </w:pPr>
            <w:r>
              <w:rPr>
                <w:rFonts w:hint="eastAsia" w:ascii="宋体" w:hAnsi="宋体"/>
                <w:sz w:val="24"/>
                <w:highlight w:val="yellow"/>
              </w:rPr>
              <w:t>其他</w:t>
            </w:r>
          </w:p>
        </w:tc>
        <w:tc>
          <w:tcPr>
            <w:tcW w:w="7513" w:type="dxa"/>
            <w:tcBorders>
              <w:top w:val="single" w:color="auto" w:sz="4" w:space="0"/>
              <w:left w:val="single" w:color="auto" w:sz="4" w:space="0"/>
              <w:bottom w:val="single" w:color="auto" w:sz="4" w:space="0"/>
              <w:right w:val="single" w:color="auto" w:sz="4" w:space="0"/>
            </w:tcBorders>
            <w:vAlign w:val="center"/>
          </w:tcPr>
          <w:p w14:paraId="7D05E504">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14:paraId="414FE7FD">
            <w:pPr>
              <w:pStyle w:val="4"/>
              <w:keepNext w:val="0"/>
              <w:keepLines w:val="0"/>
              <w:widowControl/>
              <w:suppressLineNumbers w:val="0"/>
              <w:spacing w:before="0" w:beforeAutospacing="0" w:after="0" w:afterAutospacing="0"/>
              <w:ind w:left="0" w:right="0" w:firstLine="0"/>
              <w:rPr>
                <w:rFonts w:ascii="宋体" w:hAnsi="宋体"/>
                <w:sz w:val="24"/>
                <w:highlight w:val="yellow"/>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yellow"/>
              </w:rPr>
              <w:br w:type="textWrapping"/>
            </w:r>
            <w:r>
              <w:rPr>
                <w:rFonts w:ascii="宋体" w:hAnsi="宋体"/>
                <w:sz w:val="24"/>
                <w:highlight w:val="none"/>
              </w:rPr>
              <w:t>3.填写附件</w:t>
            </w:r>
            <w:r>
              <w:rPr>
                <w:rFonts w:hint="eastAsia" w:ascii="宋体" w:hAnsi="宋体"/>
                <w:sz w:val="24"/>
                <w:highlight w:val="none"/>
              </w:rPr>
              <w:t>2《</w:t>
            </w:r>
            <w:r>
              <w:rPr>
                <w:rFonts w:ascii="宋体" w:hAnsi="宋体"/>
                <w:sz w:val="24"/>
                <w:highlight w:val="none"/>
              </w:rPr>
              <w:t>集中采购供应商资质</w:t>
            </w:r>
            <w:r>
              <w:rPr>
                <w:rFonts w:hint="eastAsia" w:ascii="宋体" w:hAnsi="宋体"/>
                <w:sz w:val="24"/>
                <w:highlight w:val="none"/>
              </w:rPr>
              <w:t>信息表》，提供填写完成后的</w:t>
            </w:r>
            <w:r>
              <w:rPr>
                <w:rFonts w:ascii="宋体" w:hAnsi="宋体"/>
                <w:sz w:val="24"/>
                <w:highlight w:val="none"/>
              </w:rPr>
              <w:t>Excel版本</w:t>
            </w:r>
            <w:r>
              <w:rPr>
                <w:rFonts w:hint="eastAsia" w:ascii="宋体" w:hAnsi="宋体"/>
                <w:sz w:val="24"/>
                <w:highlight w:val="none"/>
              </w:rPr>
              <w:t>，</w:t>
            </w:r>
            <w:r>
              <w:rPr>
                <w:rFonts w:hint="eastAsia"/>
                <w:sz w:val="24"/>
                <w:highlight w:val="none"/>
                <w:lang w:eastAsia="zh-CN"/>
              </w:rPr>
              <w:t>无需打印及</w:t>
            </w:r>
            <w:r>
              <w:rPr>
                <w:rFonts w:ascii="宋体" w:hAnsi="宋体"/>
                <w:sz w:val="24"/>
                <w:highlight w:val="none"/>
              </w:rPr>
              <w:t>盖章</w:t>
            </w:r>
            <w:r>
              <w:rPr>
                <w:rFonts w:hint="eastAsia" w:ascii="宋体" w:hAnsi="宋体"/>
                <w:sz w:val="24"/>
                <w:highlight w:val="none"/>
              </w:rPr>
              <w:t>。</w:t>
            </w:r>
          </w:p>
        </w:tc>
      </w:tr>
    </w:tbl>
    <w:p w14:paraId="7387EF82">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14:paraId="35071DCF">
      <w:pPr>
        <w:snapToGrid w:val="0"/>
        <w:spacing w:line="360" w:lineRule="auto"/>
        <w:jc w:val="center"/>
        <w:rPr>
          <w:rFonts w:ascii="彩虹小标宋" w:hAnsi="Courier New" w:eastAsia="彩虹小标宋"/>
          <w:b/>
          <w:sz w:val="36"/>
          <w:szCs w:val="36"/>
        </w:rPr>
      </w:pPr>
    </w:p>
    <w:p w14:paraId="43B35D89">
      <w:pPr>
        <w:snapToGrid w:val="0"/>
        <w:spacing w:line="360" w:lineRule="auto"/>
        <w:jc w:val="center"/>
        <w:rPr>
          <w:rFonts w:ascii="彩虹小标宋" w:hAnsi="Courier New" w:eastAsia="彩虹小标宋"/>
          <w:b/>
          <w:sz w:val="36"/>
          <w:szCs w:val="36"/>
        </w:rPr>
      </w:pPr>
    </w:p>
    <w:p w14:paraId="3EA9DC24">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14:paraId="1BF6FC00">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14:paraId="664413FC">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14:paraId="0C3EF1F9">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14:paraId="176978CE">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14:paraId="3ACC8165">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14:paraId="4BE3B21C">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14:paraId="18B2C78A">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14:paraId="1BB38E84">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14:paraId="13DB322A">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14:paraId="5533C0B1">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14:paraId="2E54B239">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14:paraId="7E8A3118">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14:paraId="46D5978D">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14:paraId="03FFC70D">
      <w:pPr>
        <w:spacing w:line="480" w:lineRule="exact"/>
        <w:ind w:left="4250" w:leftChars="2024" w:firstLine="674" w:firstLineChars="241"/>
        <w:rPr>
          <w:rFonts w:ascii="彩虹粗仿宋" w:eastAsia="彩虹粗仿宋"/>
          <w:sz w:val="28"/>
          <w:szCs w:val="28"/>
        </w:rPr>
      </w:pPr>
    </w:p>
    <w:p w14:paraId="11101E1E">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14:paraId="61311CD8">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14:paraId="55DA29ED">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14:paraId="06F67043">
      <w:pPr>
        <w:spacing w:line="480" w:lineRule="exact"/>
        <w:rPr>
          <w:rFonts w:ascii="彩虹粗仿宋" w:eastAsia="彩虹粗仿宋"/>
          <w:sz w:val="28"/>
          <w:szCs w:val="28"/>
        </w:rPr>
      </w:pPr>
    </w:p>
    <w:p w14:paraId="0078DA5D">
      <w:pPr>
        <w:jc w:val="center"/>
        <w:rPr>
          <w:rFonts w:ascii="宋体" w:hAnsi="宋体"/>
          <w:b/>
          <w:sz w:val="44"/>
        </w:rPr>
      </w:pPr>
      <w:r>
        <w:rPr>
          <w:rFonts w:hint="eastAsia" w:ascii="宋体" w:hAnsi="宋体"/>
          <w:b/>
          <w:sz w:val="44"/>
        </w:rPr>
        <w:t>采购参与意向反馈函</w:t>
      </w:r>
    </w:p>
    <w:p w14:paraId="7507E467">
      <w:pPr>
        <w:jc w:val="center"/>
        <w:rPr>
          <w:b/>
          <w:sz w:val="32"/>
        </w:rPr>
      </w:pPr>
    </w:p>
    <w:p w14:paraId="0A09F6DF">
      <w:pPr>
        <w:rPr>
          <w:rFonts w:ascii="宋体" w:hAnsi="宋体"/>
          <w:b/>
          <w:sz w:val="30"/>
          <w:szCs w:val="30"/>
        </w:rPr>
      </w:pPr>
      <w:r>
        <w:rPr>
          <w:rFonts w:hint="eastAsia" w:ascii="宋体" w:hAnsi="宋体"/>
          <w:b/>
          <w:sz w:val="30"/>
          <w:szCs w:val="30"/>
        </w:rPr>
        <w:t>致：中国建设银行股份有限公司广东省分行</w:t>
      </w:r>
    </w:p>
    <w:p w14:paraId="4ED5C192">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14:paraId="1D28FE51">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14:paraId="59887B70">
      <w:pPr>
        <w:spacing w:line="480" w:lineRule="exact"/>
        <w:ind w:firstLine="600" w:firstLineChars="200"/>
        <w:rPr>
          <w:rFonts w:ascii="彩虹粗仿宋" w:eastAsia="彩虹粗仿宋"/>
          <w:bCs/>
          <w:sz w:val="30"/>
          <w:szCs w:val="30"/>
        </w:rPr>
      </w:pPr>
    </w:p>
    <w:p w14:paraId="0486DEBF">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14:paraId="0552BDD9">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14:paraId="2957651D">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14:paraId="0FD50E30">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14:paraId="3C23F34A">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14:paraId="38B76A64">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14:paraId="74C71EEF">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14:paraId="4E4E8633">
      <w:pPr>
        <w:spacing w:line="480" w:lineRule="exact"/>
        <w:ind w:left="4250" w:leftChars="2024" w:firstLine="674" w:firstLineChars="241"/>
        <w:rPr>
          <w:rFonts w:ascii="彩虹粗仿宋" w:eastAsia="彩虹粗仿宋"/>
          <w:sz w:val="28"/>
          <w:szCs w:val="28"/>
        </w:rPr>
      </w:pPr>
    </w:p>
    <w:p w14:paraId="424A2709">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14:paraId="2DBF9C80">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14:paraId="745F5E15">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14:paraId="74DDD000">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Segoe UI">
    <w:altName w:val="Noto Naskh Arabic"/>
    <w:panose1 w:val="020B0502040204020203"/>
    <w:charset w:val="00"/>
    <w:family w:val="auto"/>
    <w:pitch w:val="default"/>
    <w:sig w:usb0="00000000" w:usb1="00000000" w:usb2="00000009" w:usb3="00000000" w:csb0="200001FF" w:csb1="00000000"/>
  </w:font>
  <w:font w:name="Noto Naskh Arabic">
    <w:panose1 w:val="020B0502040504020204"/>
    <w:charset w:val="00"/>
    <w:family w:val="auto"/>
    <w:pitch w:val="default"/>
    <w:sig w:usb0="80002003" w:usb1="80002000" w:usb2="00000008" w:usb3="00000000" w:csb0="00000041" w:csb1="00080000"/>
  </w:font>
  <w:font w:name="SimSun">
    <w:panose1 w:val="02010600030101010101"/>
    <w:charset w:val="86"/>
    <w:family w:val="auto"/>
    <w:pitch w:val="default"/>
    <w:sig w:usb0="00000003" w:usb1="288F0000" w:usb2="00000006" w:usb3="00000000" w:csb0="00040001" w:csb1="00000000"/>
  </w:font>
  <w:font w:name="楷体_GB2312">
    <w:altName w:val="宋体"/>
    <w:panose1 w:val="00000000000000000000"/>
    <w:charset w:val="86"/>
    <w:family w:val="modern"/>
    <w:pitch w:val="default"/>
    <w:sig w:usb0="00000000" w:usb1="00000000" w:usb2="00000016" w:usb3="00000000" w:csb0="00040001" w:csb1="00000000"/>
  </w:font>
  <w:font w:name="方正宋体-人口信息-P2">
    <w:panose1 w:val="03000509000000000000"/>
    <w:charset w:val="86"/>
    <w:family w:val="auto"/>
    <w:pitch w:val="default"/>
    <w:sig w:usb0="10002003" w:usb1="BB1E0800" w:usb2="000A004E" w:usb3="00000000" w:csb0="003C0041" w:csb1="A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E7420">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14:paraId="2924069D">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6523F">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14:paraId="6AA18E83">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jYmY1MThlMTVhYTU1ZGU0ZmIxN2U2ZWM0MTIwZmM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955C6"/>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019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576B5352"/>
    <w:rsid w:val="646A5B26"/>
    <w:rsid w:val="77EFB96C"/>
    <w:rsid w:val="7CADE252"/>
    <w:rsid w:val="7DF764D3"/>
    <w:rsid w:val="AFA51245"/>
    <w:rsid w:val="DDDAFC38"/>
    <w:rsid w:val="F7FFE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272</Words>
  <Characters>1552</Characters>
  <Lines>12</Lines>
  <Paragraphs>3</Paragraphs>
  <TotalTime>3</TotalTime>
  <ScaleCrop>false</ScaleCrop>
  <LinksUpToDate>false</LinksUpToDate>
  <CharactersWithSpaces>1821</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2023-09-29T17:36:00Z</dcterms:created>
  <dc:creator>张念渝</dc:creator>
  <cp:lastModifiedBy>ccb</cp:lastModifiedBy>
  <dcterms:modified xsi:type="dcterms:W3CDTF">2025-12-19T17:41:39Z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104DA2620867D024D31D45690459978B_43</vt:lpwstr>
  </property>
</Properties>
</file>