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pPr>
    </w:p>
    <w:p>
      <w:pPr>
        <w:jc w:val="center"/>
        <w:rPr>
          <w:rFonts w:hint="eastAsia"/>
          <w:b/>
          <w:sz w:val="32"/>
          <w:szCs w:val="32"/>
        </w:rPr>
      </w:pPr>
      <w:r>
        <w:rPr>
          <w:rFonts w:hint="eastAsia"/>
          <w:b/>
          <w:sz w:val="32"/>
          <w:szCs w:val="32"/>
        </w:rPr>
        <w:t>关于人保财险新疆伊犁州分公司伊宁市支公司公交车车体与站台车险广告采购项目拟采用单一来源方式</w:t>
      </w:r>
    </w:p>
    <w:p>
      <w:pPr>
        <w:jc w:val="center"/>
        <w:rPr>
          <w:b/>
          <w:sz w:val="32"/>
          <w:szCs w:val="32"/>
        </w:rPr>
      </w:pPr>
      <w:r>
        <w:rPr>
          <w:rFonts w:hint="eastAsia"/>
          <w:b/>
          <w:sz w:val="32"/>
          <w:szCs w:val="32"/>
        </w:rPr>
        <w:t>采购的公示</w:t>
      </w:r>
    </w:p>
    <w:p>
      <w:pPr>
        <w:adjustRightInd w:val="0"/>
        <w:snapToGrid w:val="0"/>
        <w:spacing w:line="360" w:lineRule="auto"/>
        <w:ind w:firstLine="420" w:firstLineChars="200"/>
      </w:pP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根据中国人民保险集团和中国人民财产保险股份有限公司采购管理相关制度规定，现将相关单一来源采购内容公示如下：</w:t>
      </w:r>
    </w:p>
    <w:p>
      <w:pPr>
        <w:adjustRightInd w:val="0"/>
        <w:snapToGrid w:val="0"/>
        <w:spacing w:line="360" w:lineRule="auto"/>
        <w:ind w:firstLine="643" w:firstLineChars="200"/>
        <w:rPr>
          <w:rFonts w:ascii="仿宋_GB2312" w:hAnsi="仿宋" w:eastAsia="仿宋_GB2312"/>
          <w:sz w:val="32"/>
          <w:szCs w:val="32"/>
        </w:rPr>
      </w:pPr>
      <w:r>
        <w:rPr>
          <w:rFonts w:hint="eastAsia" w:ascii="黑体" w:hAnsi="黑体" w:eastAsia="黑体"/>
          <w:b/>
          <w:sz w:val="32"/>
          <w:szCs w:val="32"/>
        </w:rPr>
        <w:t>一、项目名称：</w:t>
      </w:r>
      <w:r>
        <w:rPr>
          <w:rFonts w:hint="eastAsia" w:ascii="仿宋_GB2312" w:eastAsia="仿宋_GB2312"/>
          <w:sz w:val="32"/>
          <w:szCs w:val="32"/>
        </w:rPr>
        <w:t>人保财险新疆伊犁州分公司伊宁市支公司公交车车体与站台车险广告</w:t>
      </w:r>
      <w:r>
        <w:rPr>
          <w:rFonts w:hint="eastAsia" w:ascii="仿宋_GB2312" w:eastAsia="仿宋_GB2312"/>
          <w:sz w:val="32"/>
          <w:szCs w:val="32"/>
          <w:lang w:val="en-US" w:eastAsia="zh-CN"/>
        </w:rPr>
        <w:t>采购</w:t>
      </w:r>
      <w:r>
        <w:rPr>
          <w:rFonts w:hint="eastAsia" w:ascii="仿宋_GB2312" w:eastAsia="仿宋_GB2312"/>
          <w:sz w:val="32"/>
          <w:szCs w:val="32"/>
        </w:rPr>
        <w:t>项目</w:t>
      </w:r>
    </w:p>
    <w:p>
      <w:pPr>
        <w:widowControl/>
        <w:spacing w:line="560" w:lineRule="exact"/>
        <w:ind w:firstLine="640"/>
        <w:jc w:val="left"/>
        <w:rPr>
          <w:rFonts w:hint="default" w:ascii="仿宋_GB2312" w:hAnsi="宋体" w:eastAsia="仿宋_GB2312" w:cs="宋体"/>
          <w:color w:val="auto"/>
          <w:kern w:val="0"/>
          <w:sz w:val="32"/>
          <w:szCs w:val="32"/>
          <w:highlight w:val="none"/>
          <w:lang w:val="en-US" w:eastAsia="zh-CN"/>
        </w:rPr>
      </w:pPr>
      <w:r>
        <w:rPr>
          <w:rFonts w:hint="eastAsia" w:ascii="仿宋_GB2312" w:hAnsi="宋体" w:eastAsia="仿宋_GB2312" w:cs="宋体"/>
          <w:color w:val="auto"/>
          <w:kern w:val="0"/>
          <w:sz w:val="32"/>
          <w:szCs w:val="32"/>
          <w:highlight w:val="none"/>
          <w:lang w:val="en-US" w:eastAsia="zh-CN"/>
        </w:rPr>
        <w:t>本</w:t>
      </w:r>
      <w:r>
        <w:rPr>
          <w:rFonts w:hint="eastAsia" w:ascii="仿宋_GB2312" w:hAnsi="宋体" w:eastAsia="仿宋_GB2312" w:cs="宋体"/>
          <w:color w:val="auto"/>
          <w:kern w:val="0"/>
          <w:sz w:val="32"/>
          <w:szCs w:val="32"/>
          <w:highlight w:val="none"/>
          <w:lang w:eastAsia="zh-CN"/>
        </w:rPr>
        <w:t>项目旨在通过采购</w:t>
      </w:r>
      <w:r>
        <w:rPr>
          <w:rFonts w:hint="eastAsia" w:ascii="仿宋_GB2312" w:hAnsi="宋体" w:eastAsia="仿宋_GB2312" w:cs="宋体"/>
          <w:color w:val="auto"/>
          <w:kern w:val="0"/>
          <w:sz w:val="32"/>
          <w:szCs w:val="32"/>
          <w:highlight w:val="none"/>
          <w:lang w:val="en-US" w:eastAsia="zh-CN"/>
        </w:rPr>
        <w:t>公交车车体与站台</w:t>
      </w:r>
      <w:r>
        <w:rPr>
          <w:rFonts w:hint="eastAsia" w:ascii="仿宋_GB2312" w:hAnsi="宋体" w:eastAsia="仿宋_GB2312" w:cs="宋体"/>
          <w:color w:val="auto"/>
          <w:kern w:val="0"/>
          <w:sz w:val="32"/>
          <w:szCs w:val="32"/>
          <w:highlight w:val="none"/>
          <w:lang w:eastAsia="zh-CN"/>
        </w:rPr>
        <w:t>广告位，在</w:t>
      </w:r>
      <w:r>
        <w:rPr>
          <w:rFonts w:hint="eastAsia" w:ascii="仿宋_GB2312" w:hAnsi="宋体" w:eastAsia="仿宋_GB2312" w:cs="宋体"/>
          <w:color w:val="auto"/>
          <w:kern w:val="0"/>
          <w:sz w:val="32"/>
          <w:szCs w:val="32"/>
          <w:highlight w:val="none"/>
          <w:lang w:val="en-US" w:eastAsia="zh-CN"/>
        </w:rPr>
        <w:t>伊宁市</w:t>
      </w:r>
      <w:r>
        <w:rPr>
          <w:rFonts w:hint="eastAsia" w:ascii="仿宋_GB2312" w:hAnsi="宋体" w:eastAsia="仿宋_GB2312" w:cs="宋体"/>
          <w:color w:val="auto"/>
          <w:kern w:val="0"/>
          <w:sz w:val="32"/>
          <w:szCs w:val="32"/>
          <w:highlight w:val="none"/>
          <w:lang w:eastAsia="zh-CN"/>
        </w:rPr>
        <w:t>区域的</w:t>
      </w:r>
      <w:r>
        <w:rPr>
          <w:rFonts w:hint="eastAsia" w:ascii="仿宋_GB2312" w:hAnsi="宋体" w:eastAsia="仿宋_GB2312" w:cs="宋体"/>
          <w:color w:val="auto"/>
          <w:kern w:val="0"/>
          <w:sz w:val="32"/>
          <w:szCs w:val="32"/>
          <w:highlight w:val="none"/>
          <w:lang w:val="en-US" w:eastAsia="zh-CN"/>
        </w:rPr>
        <w:t>公交车及站台</w:t>
      </w:r>
      <w:r>
        <w:rPr>
          <w:rFonts w:hint="eastAsia" w:ascii="仿宋_GB2312" w:hAnsi="宋体" w:eastAsia="仿宋_GB2312" w:cs="宋体"/>
          <w:color w:val="auto"/>
          <w:kern w:val="0"/>
          <w:sz w:val="32"/>
          <w:szCs w:val="32"/>
          <w:highlight w:val="none"/>
          <w:lang w:eastAsia="zh-CN"/>
        </w:rPr>
        <w:t>进行车险产品宣传，以提升公司车险业务的市场知名度和占有率。</w:t>
      </w:r>
      <w:r>
        <w:rPr>
          <w:rFonts w:hint="eastAsia" w:ascii="仿宋_GB2312" w:hAnsi="宋体" w:eastAsia="仿宋_GB2312" w:cs="宋体"/>
          <w:color w:val="auto"/>
          <w:kern w:val="0"/>
          <w:sz w:val="32"/>
          <w:szCs w:val="32"/>
          <w:highlight w:val="none"/>
          <w:lang w:val="en-US" w:eastAsia="zh-CN"/>
        </w:rPr>
        <w:t>包含32个车体广告，80个站台广告，服务内容涵盖广告设计、制作、安装及后期维护等全部服务。</w:t>
      </w:r>
    </w:p>
    <w:p>
      <w:pPr>
        <w:adjustRightInd w:val="0"/>
        <w:snapToGrid w:val="0"/>
        <w:spacing w:line="360" w:lineRule="auto"/>
        <w:ind w:firstLine="643" w:firstLineChars="200"/>
        <w:rPr>
          <w:rFonts w:ascii="仿宋_GB2312" w:hAnsi="仿宋" w:eastAsia="仿宋_GB2312"/>
          <w:sz w:val="32"/>
          <w:szCs w:val="32"/>
        </w:rPr>
      </w:pPr>
      <w:r>
        <w:rPr>
          <w:rFonts w:hint="eastAsia" w:ascii="黑体" w:hAnsi="黑体" w:eastAsia="黑体"/>
          <w:b/>
          <w:sz w:val="32"/>
          <w:szCs w:val="32"/>
        </w:rPr>
        <w:t>二、单一来源供应商：</w:t>
      </w:r>
      <w:r>
        <w:rPr>
          <w:rFonts w:hint="eastAsia" w:ascii="仿宋_GB2312" w:hAnsi="宋体" w:eastAsia="仿宋_GB2312" w:cs="宋体"/>
          <w:kern w:val="0"/>
          <w:sz w:val="32"/>
          <w:szCs w:val="32"/>
          <w:highlight w:val="none"/>
          <w:lang w:val="en-US" w:eastAsia="zh-CN"/>
        </w:rPr>
        <w:t>伊犁乐创广告有限公司</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公示日期：自公示发布之日起3个工作日内。</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任何单位或个人如对以上项目采用单一来源采购方式有异议，请在公示期间以书面形式进行反馈。</w:t>
      </w:r>
    </w:p>
    <w:p>
      <w:pPr>
        <w:adjustRightInd w:val="0"/>
        <w:snapToGrid w:val="0"/>
        <w:spacing w:line="360" w:lineRule="auto"/>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rPr>
        <w:t>联系电话：</w:t>
      </w:r>
      <w:r>
        <w:rPr>
          <w:rFonts w:hint="eastAsia" w:ascii="宋体" w:hAnsi="宋体" w:cs="Times New Roman"/>
          <w:color w:val="auto"/>
          <w:sz w:val="28"/>
          <w:szCs w:val="28"/>
          <w:lang w:val="en-US" w:eastAsia="zh-CN"/>
        </w:rPr>
        <w:t>8027442</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 xml:space="preserve">联系邮箱：guohuan@xinj.picc.com.cn </w:t>
      </w:r>
    </w:p>
    <w:p>
      <w:pPr>
        <w:keepNext w:val="0"/>
        <w:keepLines w:val="0"/>
        <w:pageBreakBefore w:val="0"/>
        <w:kinsoku/>
        <w:wordWrap/>
        <w:overflowPunct/>
        <w:topLinePunct w:val="0"/>
        <w:autoSpaceDE/>
        <w:autoSpaceDN/>
        <w:bidi w:val="0"/>
        <w:adjustRightInd/>
        <w:spacing w:beforeAutospacing="0" w:line="600" w:lineRule="exact"/>
        <w:jc w:val="right"/>
        <w:rPr>
          <w:rFonts w:hint="eastAsia" w:ascii="仿宋_GB2312" w:hAnsi="仿宋_GB2312" w:eastAsia="仿宋_GB2312" w:cs="仿宋_GB2312"/>
          <w:color w:val="auto"/>
          <w:sz w:val="32"/>
          <w:szCs w:val="32"/>
          <w:lang w:eastAsia="zh-CN"/>
        </w:rPr>
      </w:pPr>
      <w:r>
        <w:rPr>
          <w:rFonts w:hint="eastAsia" w:ascii="仿宋_GB2312" w:hAnsi="仿宋" w:eastAsia="仿宋_GB2312"/>
          <w:sz w:val="32"/>
          <w:szCs w:val="32"/>
        </w:rPr>
        <w:t xml:space="preserve">   </w:t>
      </w:r>
      <w:r>
        <w:rPr>
          <w:rFonts w:hint="eastAsia" w:ascii="仿宋_GB2312" w:hAnsi="仿宋_GB2312" w:eastAsia="仿宋_GB2312" w:cs="仿宋_GB2312"/>
          <w:color w:val="auto"/>
          <w:sz w:val="32"/>
          <w:szCs w:val="32"/>
          <w:lang w:eastAsia="zh-CN"/>
        </w:rPr>
        <w:t>中国人民财产保险股份有限公司</w:t>
      </w:r>
    </w:p>
    <w:p>
      <w:pPr>
        <w:keepNext w:val="0"/>
        <w:keepLines w:val="0"/>
        <w:pageBreakBefore w:val="0"/>
        <w:kinsoku/>
        <w:wordWrap/>
        <w:overflowPunct/>
        <w:topLinePunct w:val="0"/>
        <w:autoSpaceDE/>
        <w:autoSpaceDN/>
        <w:bidi w:val="0"/>
        <w:adjustRightInd/>
        <w:spacing w:beforeAutospacing="0" w:line="600" w:lineRule="exact"/>
        <w:jc w:val="right"/>
        <w:rPr>
          <w:rFonts w:hint="default" w:ascii="仿宋_GB2312" w:hAnsi="仿宋" w:eastAsia="仿宋_GB2312"/>
          <w:sz w:val="32"/>
          <w:szCs w:val="32"/>
          <w:lang w:val="en-US" w:eastAsia="zh-CN"/>
        </w:rPr>
      </w:pPr>
      <w:r>
        <w:rPr>
          <w:rFonts w:hint="eastAsia" w:ascii="仿宋_GB2312" w:hAnsi="仿宋_GB2312" w:eastAsia="仿宋_GB2312" w:cs="仿宋_GB2312"/>
          <w:color w:val="auto"/>
          <w:sz w:val="32"/>
          <w:szCs w:val="32"/>
          <w:lang w:eastAsia="zh-CN"/>
        </w:rPr>
        <w:t>伊犁哈萨克自治州分公司</w:t>
      </w:r>
    </w:p>
    <w:p>
      <w:pPr>
        <w:adjustRightInd w:val="0"/>
        <w:snapToGrid w:val="0"/>
        <w:spacing w:line="360" w:lineRule="auto"/>
        <w:ind w:firstLine="4960" w:firstLineChars="1550"/>
        <w:jc w:val="right"/>
        <w:rPr>
          <w:sz w:val="28"/>
          <w:szCs w:val="28"/>
          <w:lang w:val="en-GB"/>
        </w:rPr>
      </w:pPr>
      <w:r>
        <w:rPr>
          <w:rFonts w:hint="eastAsia" w:ascii="仿宋_GB2312" w:hAnsi="仿宋" w:eastAsia="仿宋_GB2312"/>
          <w:sz w:val="32"/>
          <w:szCs w:val="32"/>
          <w:lang w:val="en-US" w:eastAsia="zh-CN"/>
        </w:rPr>
        <w:t>2025</w:t>
      </w:r>
      <w:r>
        <w:rPr>
          <w:rFonts w:hint="eastAsia" w:ascii="仿宋_GB2312" w:hAnsi="仿宋" w:eastAsia="仿宋_GB2312"/>
          <w:sz w:val="32"/>
          <w:szCs w:val="32"/>
        </w:rPr>
        <w:t>年</w:t>
      </w:r>
      <w:r>
        <w:rPr>
          <w:rFonts w:hint="eastAsia" w:ascii="仿宋_GB2312" w:hAnsi="仿宋" w:eastAsia="仿宋_GB2312"/>
          <w:sz w:val="32"/>
          <w:szCs w:val="32"/>
          <w:lang w:val="en-US" w:eastAsia="zh-CN"/>
        </w:rPr>
        <w:t>11</w:t>
      </w:r>
      <w:r>
        <w:rPr>
          <w:rFonts w:hint="eastAsia" w:ascii="仿宋_GB2312" w:hAnsi="仿宋" w:eastAsia="仿宋_GB2312"/>
          <w:sz w:val="32"/>
          <w:szCs w:val="32"/>
        </w:rPr>
        <w:t>月</w:t>
      </w:r>
      <w:r>
        <w:rPr>
          <w:rFonts w:hint="eastAsia" w:ascii="仿宋_GB2312" w:hAnsi="仿宋" w:eastAsia="仿宋_GB2312"/>
          <w:sz w:val="32"/>
          <w:szCs w:val="32"/>
          <w:lang w:val="en-US" w:eastAsia="zh-CN"/>
        </w:rPr>
        <w:t>21</w:t>
      </w:r>
      <w:r>
        <w:rPr>
          <w:rFonts w:hint="eastAsia" w:ascii="仿宋_GB2312" w:hAnsi="仿宋" w:eastAsia="仿宋_GB2312"/>
          <w:sz w:val="32"/>
          <w:szCs w:val="32"/>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7262"/>
    <w:rsid w:val="001F351B"/>
    <w:rsid w:val="002A2A73"/>
    <w:rsid w:val="002E6470"/>
    <w:rsid w:val="00307262"/>
    <w:rsid w:val="00356E24"/>
    <w:rsid w:val="00384B8C"/>
    <w:rsid w:val="003F4318"/>
    <w:rsid w:val="00435E94"/>
    <w:rsid w:val="004A19DD"/>
    <w:rsid w:val="005962E6"/>
    <w:rsid w:val="00677DA3"/>
    <w:rsid w:val="006A637F"/>
    <w:rsid w:val="00730D87"/>
    <w:rsid w:val="00774144"/>
    <w:rsid w:val="007E5BC6"/>
    <w:rsid w:val="008D4FBE"/>
    <w:rsid w:val="0098000F"/>
    <w:rsid w:val="009D254A"/>
    <w:rsid w:val="00B03077"/>
    <w:rsid w:val="00B266C0"/>
    <w:rsid w:val="00B71FE0"/>
    <w:rsid w:val="00BF7B09"/>
    <w:rsid w:val="00C9436C"/>
    <w:rsid w:val="00CC2DD7"/>
    <w:rsid w:val="00D522FC"/>
    <w:rsid w:val="00E308F5"/>
    <w:rsid w:val="00E64709"/>
    <w:rsid w:val="00F56490"/>
    <w:rsid w:val="0E7A3A84"/>
    <w:rsid w:val="0FF46D34"/>
    <w:rsid w:val="1F561C44"/>
    <w:rsid w:val="1F6D0136"/>
    <w:rsid w:val="342C7D22"/>
    <w:rsid w:val="394D2A06"/>
    <w:rsid w:val="3C6B78B1"/>
    <w:rsid w:val="434F695A"/>
    <w:rsid w:val="49241A81"/>
    <w:rsid w:val="4B5061F2"/>
    <w:rsid w:val="51AA05D3"/>
    <w:rsid w:val="54833B00"/>
    <w:rsid w:val="5B9B37DC"/>
    <w:rsid w:val="60292250"/>
    <w:rsid w:val="6719008E"/>
    <w:rsid w:val="671A442C"/>
    <w:rsid w:val="793E21D7"/>
    <w:rsid w:val="7B0D4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customStyle="1" w:styleId="2">
    <w:name w:val="无间隔1"/>
    <w:qFormat/>
    <w:uiPriority w:val="0"/>
    <w:pPr>
      <w:widowControl w:val="0"/>
      <w:jc w:val="both"/>
    </w:pPr>
    <w:rPr>
      <w:rFonts w:ascii="Calibri" w:hAnsi="Calibri" w:eastAsia="宋体" w:cs="Times New Roman"/>
      <w:kern w:val="0"/>
      <w:sz w:val="21"/>
      <w:szCs w:val="22"/>
      <w:lang w:val="en-US" w:eastAsia="zh-CN" w:bidi="ar-SA"/>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仿宋_GB2312" w:hAnsi="仿宋_GB2312" w:cs="仿宋_GB2312" w:eastAsiaTheme="minorEastAsia"/>
      <w:color w:val="000000"/>
      <w:kern w:val="0"/>
      <w:sz w:val="24"/>
      <w:szCs w:val="24"/>
      <w:lang w:val="en-US" w:eastAsia="zh-CN" w:bidi="ar-SA"/>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Pages>
  <Words>42</Words>
  <Characters>244</Characters>
  <Lines>2</Lines>
  <Paragraphs>1</Paragraphs>
  <TotalTime>2</TotalTime>
  <ScaleCrop>false</ScaleCrop>
  <LinksUpToDate>false</LinksUpToDate>
  <CharactersWithSpaces>285</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2019-09-03T03:40:00Z</dcterms:created>
  <dc:creator>刘娇</dc:creator>
  <cp:lastModifiedBy>郭欢</cp:lastModifiedBy>
  <dcterms:modified xsi:type="dcterms:W3CDTF">2025-11-21T07:45:51Z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