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djustRightInd w:val="0"/>
        <w:snapToGrid w:val="0"/>
        <w:spacing w:line="560" w:lineRule="atLeast"/>
        <w:jc w:val="center"/>
        <w:rPr>
          <w:rFonts w:hint="eastAsia" w:ascii="彩虹小标宋" w:eastAsia="彩虹小标宋"/>
          <w:bCs/>
          <w:sz w:val="44"/>
        </w:rPr>
      </w:pPr>
      <w:r>
        <w:rPr>
          <w:rFonts w:hint="eastAsia" w:ascii="彩虹小标宋" w:eastAsia="彩虹小标宋"/>
          <w:bCs/>
          <w:sz w:val="44"/>
        </w:rPr>
        <w:t>宿州市</w:t>
      </w:r>
      <w:r>
        <w:rPr>
          <w:rFonts w:hint="eastAsia" w:ascii="彩虹小标宋" w:eastAsia="彩虹小标宋"/>
          <w:bCs/>
          <w:sz w:val="44"/>
          <w:lang w:val="en-US" w:eastAsia="zh-CN"/>
        </w:rPr>
        <w:t>**</w:t>
      </w:r>
      <w:r>
        <w:rPr>
          <w:rFonts w:hint="eastAsia" w:ascii="彩虹小标宋" w:eastAsia="彩虹小标宋"/>
          <w:bCs/>
          <w:sz w:val="44"/>
        </w:rPr>
        <w:t>有限公司及其担保人贷款合同</w:t>
      </w:r>
    </w:p>
    <w:p>
      <w:pPr>
        <w:numPr>
          <w:ilvl w:val="0"/>
          <w:numId w:val="0"/>
        </w:numPr>
        <w:adjustRightInd w:val="0"/>
        <w:snapToGrid w:val="0"/>
        <w:spacing w:line="560" w:lineRule="atLeast"/>
        <w:jc w:val="center"/>
        <w:rPr>
          <w:rFonts w:ascii="彩虹粗仿宋" w:hAnsi="宋体" w:eastAsia="彩虹粗仿宋"/>
          <w:b/>
          <w:bCs/>
          <w:snapToGrid w:val="0"/>
          <w:kern w:val="0"/>
          <w:sz w:val="32"/>
          <w:szCs w:val="32"/>
        </w:rPr>
      </w:pPr>
      <w:bookmarkStart w:id="0" w:name="_GoBack"/>
      <w:bookmarkEnd w:id="0"/>
      <w:r>
        <w:rPr>
          <w:rFonts w:hint="eastAsia" w:ascii="彩虹小标宋" w:eastAsia="彩虹小标宋"/>
          <w:bCs/>
          <w:sz w:val="44"/>
        </w:rPr>
        <w:t>纠纷律师代理服务</w:t>
      </w:r>
      <w:r>
        <w:rPr>
          <w:rFonts w:hint="eastAsia" w:ascii="彩虹小标宋" w:hAnsi="Times New Roman" w:eastAsia="彩虹小标宋" w:cs="Times New Roman"/>
          <w:bCs/>
          <w:kern w:val="2"/>
          <w:sz w:val="44"/>
          <w:szCs w:val="24"/>
          <w:lang w:val="en-US" w:eastAsia="zh-CN" w:bidi="ar-SA"/>
        </w:rPr>
        <w:t>采购需求</w:t>
      </w:r>
    </w:p>
    <w:p>
      <w:pPr>
        <w:numPr>
          <w:ilvl w:val="0"/>
          <w:numId w:val="0"/>
        </w:numPr>
        <w:adjustRightInd w:val="0"/>
        <w:snapToGrid w:val="0"/>
        <w:spacing w:line="560" w:lineRule="atLeast"/>
        <w:ind w:firstLine="643" w:firstLineChars="200"/>
        <w:rPr>
          <w:rFonts w:hint="eastAsia" w:ascii="彩虹粗仿宋" w:hAnsi="宋体" w:eastAsia="彩虹粗仿宋"/>
          <w:b/>
          <w:bCs/>
          <w:snapToGrid w:val="0"/>
          <w:kern w:val="0"/>
          <w:sz w:val="32"/>
          <w:szCs w:val="32"/>
          <w:lang w:val="en-US" w:eastAsia="zh-CN"/>
        </w:rPr>
      </w:pPr>
    </w:p>
    <w:p>
      <w:pPr>
        <w:numPr>
          <w:ilvl w:val="0"/>
          <w:numId w:val="0"/>
        </w:numPr>
        <w:adjustRightInd w:val="0"/>
        <w:snapToGrid w:val="0"/>
        <w:spacing w:line="560" w:lineRule="atLeast"/>
        <w:ind w:firstLine="964" w:firstLineChars="300"/>
        <w:rPr>
          <w:rFonts w:ascii="彩虹粗仿宋" w:hAnsi="宋体" w:eastAsia="彩虹粗仿宋"/>
          <w:b/>
          <w:bCs/>
          <w:snapToGrid w:val="0"/>
          <w:kern w:val="0"/>
          <w:sz w:val="32"/>
          <w:szCs w:val="32"/>
        </w:rPr>
      </w:pPr>
      <w:r>
        <w:rPr>
          <w:rFonts w:hint="eastAsia" w:ascii="彩虹粗仿宋" w:hAnsi="宋体" w:eastAsia="彩虹粗仿宋"/>
          <w:b/>
          <w:bCs/>
          <w:snapToGrid w:val="0"/>
          <w:kern w:val="0"/>
          <w:sz w:val="32"/>
          <w:szCs w:val="32"/>
          <w:lang w:val="en-US" w:eastAsia="zh-CN"/>
        </w:rPr>
        <w:t>一、</w:t>
      </w:r>
      <w:r>
        <w:rPr>
          <w:rFonts w:hint="eastAsia" w:ascii="彩虹粗仿宋" w:hAnsi="宋体" w:eastAsia="彩虹粗仿宋"/>
          <w:b/>
          <w:bCs/>
          <w:snapToGrid w:val="0"/>
          <w:kern w:val="0"/>
          <w:sz w:val="32"/>
          <w:szCs w:val="32"/>
        </w:rPr>
        <w:t>供应商资格要求</w:t>
      </w:r>
    </w:p>
    <w:p>
      <w:pPr>
        <w:spacing w:line="560" w:lineRule="exact"/>
        <w:jc w:val="left"/>
        <w:rPr>
          <w:rFonts w:ascii="彩虹楷体" w:eastAsia="彩虹楷体"/>
          <w:b/>
          <w:sz w:val="32"/>
          <w:szCs w:val="32"/>
        </w:rPr>
      </w:pPr>
      <w:r>
        <w:rPr>
          <w:rFonts w:hint="eastAsia" w:ascii="彩虹粗仿宋" w:hAnsi="宋体" w:eastAsia="彩虹粗仿宋"/>
          <w:snapToGrid w:val="0"/>
          <w:kern w:val="0"/>
          <w:sz w:val="32"/>
          <w:szCs w:val="32"/>
        </w:rPr>
        <w:t xml:space="preserve">    </w:t>
      </w:r>
      <w:r>
        <w:rPr>
          <w:rFonts w:hint="eastAsia" w:ascii="彩虹楷体" w:eastAsia="彩虹楷体"/>
          <w:b/>
          <w:sz w:val="32"/>
          <w:szCs w:val="32"/>
        </w:rPr>
        <w:t xml:space="preserve"> （一）基本资格要求</w:t>
      </w:r>
    </w:p>
    <w:p>
      <w:pPr>
        <w:spacing w:line="560" w:lineRule="exact"/>
        <w:ind w:firstLine="800" w:firstLineChars="250"/>
        <w:jc w:val="left"/>
        <w:rPr>
          <w:rFonts w:ascii="彩虹粗仿宋" w:eastAsia="彩虹粗仿宋"/>
          <w:sz w:val="32"/>
          <w:szCs w:val="32"/>
        </w:rPr>
      </w:pPr>
      <w:r>
        <w:rPr>
          <w:rFonts w:hint="eastAsia" w:ascii="彩虹粗仿宋" w:eastAsia="彩虹粗仿宋"/>
          <w:sz w:val="32"/>
          <w:szCs w:val="32"/>
        </w:rPr>
        <w:t>1.供应商具有独立承担民事责任的能力，遵守国家有关法律、法规，具有良好的商业信誉和健全的财务会计制度。</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 2.供应商当前未处于限制开展生产经营活动、责令停产停业、责令关闭、限制从业等重大行政处罚期内。</w:t>
      </w:r>
    </w:p>
    <w:p>
      <w:pPr>
        <w:spacing w:line="560" w:lineRule="exact"/>
        <w:jc w:val="left"/>
        <w:rPr>
          <w:rFonts w:ascii="彩虹粗仿宋" w:eastAsia="彩虹粗仿宋"/>
          <w:sz w:val="32"/>
          <w:szCs w:val="32"/>
        </w:rPr>
      </w:pPr>
      <w:r>
        <w:rPr>
          <w:rFonts w:hint="eastAsia" w:ascii="彩虹粗仿宋" w:eastAsia="彩虹粗仿宋"/>
          <w:sz w:val="32"/>
          <w:szCs w:val="32"/>
        </w:rPr>
        <w:t>     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 4.法定代表人（负责人）为同一人或存在控股、管理关系的不同申请人，不得同时参加本项目。</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5.供应商与建设银行不存在利益冲突，不存在损害建设银行合法利益和声誉的情形，不存在针对建设银行的重大诚信问题。</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6.供应商在资格审查时未处于中国建设银行总行全国区域或中国建设银行安徽省分行供应商禁用或退出期内。</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7.供应商在本项目采购过程中不得存在下列情形，如存在下列情形之一，建设银行有权取消其候选资格。情形包括但不限于：</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（1）法定代表人（负责人）在生产经营活动中受到刑事处罚；</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（2）重大并购或重组，影响正常生产经营；</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（3）其他重大风险事项，影响正常采购合作。</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8.本项目（不）接受联合体报名申请。</w:t>
      </w:r>
    </w:p>
    <w:p>
      <w:pPr>
        <w:spacing w:line="560" w:lineRule="exact"/>
        <w:ind w:firstLine="640" w:firstLineChars="200"/>
        <w:jc w:val="left"/>
        <w:rPr>
          <w:rFonts w:ascii="彩虹粗仿宋" w:eastAsia="彩虹粗仿宋"/>
          <w:sz w:val="32"/>
          <w:szCs w:val="32"/>
        </w:rPr>
      </w:pPr>
      <w:r>
        <w:rPr>
          <w:rFonts w:hint="eastAsia" w:ascii="彩虹粗仿宋" w:eastAsia="彩虹粗仿宋"/>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spacing w:line="560" w:lineRule="exact"/>
        <w:rPr>
          <w:rFonts w:ascii="彩虹楷体" w:eastAsia="彩虹楷体"/>
          <w:b/>
          <w:sz w:val="32"/>
          <w:szCs w:val="32"/>
        </w:rPr>
      </w:pPr>
      <w:r>
        <w:rPr>
          <w:rFonts w:hint="eastAsia" w:ascii="彩虹楷体" w:eastAsia="彩虹楷体"/>
          <w:b/>
          <w:sz w:val="32"/>
          <w:szCs w:val="32"/>
        </w:rPr>
        <w:t>    （二）特定资格要求</w:t>
      </w:r>
    </w:p>
    <w:p>
      <w:pPr>
        <w:spacing w:line="560" w:lineRule="exact"/>
        <w:ind w:firstLine="643" w:firstLineChars="200"/>
        <w:rPr>
          <w:rFonts w:ascii="彩虹粗仿宋" w:eastAsia="彩虹粗仿宋"/>
          <w:color w:val="auto"/>
          <w:sz w:val="32"/>
          <w:szCs w:val="32"/>
        </w:rPr>
      </w:pPr>
      <w:r>
        <w:rPr>
          <w:rFonts w:hint="eastAsia" w:ascii="彩虹粗仿宋" w:eastAsia="彩虹粗仿宋"/>
          <w:b/>
          <w:sz w:val="32"/>
          <w:szCs w:val="32"/>
        </w:rPr>
        <w:t>1</w:t>
      </w:r>
      <w:r>
        <w:rPr>
          <w:rFonts w:hint="eastAsia" w:ascii="彩虹粗仿宋" w:eastAsia="彩虹粗仿宋"/>
          <w:sz w:val="32"/>
          <w:szCs w:val="32"/>
        </w:rPr>
        <w:t>.供应商须工商注册成立且稳定经营一年以上，营业</w:t>
      </w:r>
      <w:r>
        <w:rPr>
          <w:rFonts w:hint="eastAsia" w:ascii="彩虹粗仿宋" w:eastAsia="彩虹粗仿宋"/>
          <w:color w:val="auto"/>
          <w:sz w:val="32"/>
          <w:szCs w:val="32"/>
        </w:rPr>
        <w:t>执照经营范围应与本次采购商品范围相一致。</w:t>
      </w:r>
    </w:p>
    <w:p>
      <w:pPr>
        <w:spacing w:line="560" w:lineRule="exact"/>
        <w:ind w:firstLine="643" w:firstLineChars="200"/>
        <w:rPr>
          <w:rFonts w:ascii="彩虹粗仿宋" w:hAnsi="彩虹粗仿宋" w:eastAsia="彩虹粗仿宋" w:cs="Segoe UI"/>
          <w:bCs/>
          <w:color w:val="auto"/>
          <w:sz w:val="32"/>
          <w:szCs w:val="32"/>
        </w:rPr>
      </w:pPr>
      <w:r>
        <w:rPr>
          <w:rFonts w:hint="eastAsia" w:ascii="彩虹粗仿宋" w:eastAsia="彩虹粗仿宋"/>
          <w:b/>
          <w:bCs/>
          <w:color w:val="auto"/>
          <w:sz w:val="32"/>
          <w:szCs w:val="32"/>
        </w:rPr>
        <w:t>2.</w:t>
      </w:r>
      <w:r>
        <w:rPr>
          <w:rFonts w:hint="eastAsia" w:ascii="彩虹粗仿宋" w:hAnsi="彩虹粗仿宋" w:eastAsia="彩虹粗仿宋" w:cs="Segoe UI"/>
          <w:b/>
          <w:bCs/>
          <w:color w:val="auto"/>
          <w:sz w:val="32"/>
          <w:szCs w:val="32"/>
        </w:rPr>
        <w:t>供应商须具备有以下有效的资质证书（须上传至龙集采平台“资质信息”栏位，否则视同不满足资格要求）</w:t>
      </w:r>
      <w:r>
        <w:rPr>
          <w:rFonts w:hint="eastAsia" w:ascii="彩虹粗仿宋" w:hAnsi="彩虹粗仿宋" w:eastAsia="彩虹粗仿宋" w:cs="Segoe UI"/>
          <w:bCs/>
          <w:color w:val="auto"/>
          <w:sz w:val="32"/>
          <w:szCs w:val="32"/>
        </w:rPr>
        <w:t>：</w:t>
      </w:r>
    </w:p>
    <w:p>
      <w:pPr>
        <w:pStyle w:val="2"/>
        <w:shd w:val="clear" w:color="auto" w:fill="FFFFFF"/>
        <w:spacing w:before="0" w:beforeAutospacing="0" w:after="0" w:afterAutospacing="0" w:line="540" w:lineRule="exact"/>
        <w:ind w:firstLine="960" w:firstLineChars="300"/>
        <w:rPr>
          <w:rFonts w:ascii="彩虹粗仿宋" w:hAnsi="彩虹粗仿宋" w:eastAsia="彩虹粗仿宋" w:cs="Segoe UI"/>
          <w:color w:val="auto"/>
          <w:sz w:val="32"/>
          <w:szCs w:val="32"/>
        </w:rPr>
      </w:pPr>
      <w:r>
        <w:rPr>
          <w:rFonts w:hint="eastAsia" w:ascii="彩虹粗仿宋" w:hAnsi="彩虹粗仿宋" w:eastAsia="彩虹粗仿宋" w:cs="Segoe UI"/>
          <w:color w:val="auto"/>
          <w:sz w:val="32"/>
          <w:szCs w:val="32"/>
        </w:rPr>
        <w:t>1）提供律师事务所执业许可证；</w:t>
      </w:r>
    </w:p>
    <w:p>
      <w:pPr>
        <w:pStyle w:val="2"/>
        <w:shd w:val="clear" w:color="auto" w:fill="FFFFFF"/>
        <w:spacing w:before="0" w:beforeAutospacing="0" w:after="0" w:afterAutospacing="0" w:line="540" w:lineRule="exact"/>
        <w:ind w:firstLine="960" w:firstLineChars="300"/>
        <w:rPr>
          <w:rFonts w:ascii="彩虹粗仿宋" w:hAnsi="彩虹粗仿宋" w:eastAsia="彩虹粗仿宋" w:cs="Segoe UI"/>
          <w:color w:val="auto"/>
          <w:sz w:val="32"/>
          <w:szCs w:val="32"/>
        </w:rPr>
      </w:pPr>
      <w:r>
        <w:rPr>
          <w:rFonts w:hint="eastAsia" w:ascii="彩虹粗仿宋" w:hAnsi="彩虹粗仿宋" w:eastAsia="彩虹粗仿宋" w:cs="Segoe UI"/>
          <w:color w:val="auto"/>
          <w:sz w:val="32"/>
          <w:szCs w:val="32"/>
        </w:rPr>
        <w:t>2）提供上一年度年检合格证明；</w:t>
      </w:r>
    </w:p>
    <w:p>
      <w:pPr>
        <w:spacing w:line="560" w:lineRule="exact"/>
        <w:ind w:firstLine="960" w:firstLineChars="300"/>
        <w:jc w:val="left"/>
        <w:rPr>
          <w:rFonts w:ascii="彩虹粗仿宋" w:hAnsi="彩虹粗仿宋" w:eastAsia="彩虹粗仿宋" w:cs="Segoe UI"/>
          <w:color w:val="auto"/>
          <w:sz w:val="32"/>
          <w:szCs w:val="32"/>
        </w:rPr>
      </w:pPr>
      <w:r>
        <w:rPr>
          <w:rFonts w:hint="eastAsia" w:ascii="彩虹粗仿宋" w:hAnsi="彩虹粗仿宋" w:eastAsia="彩虹粗仿宋" w:cs="Segoe UI"/>
          <w:color w:val="auto"/>
          <w:sz w:val="32"/>
          <w:szCs w:val="32"/>
        </w:rPr>
        <w:t>3）供应商必须具备本地化服务能力。若非</w:t>
      </w:r>
      <w:r>
        <w:rPr>
          <w:rFonts w:hint="eastAsia" w:ascii="彩虹粗仿宋" w:hAnsi="彩虹粗仿宋" w:eastAsia="彩虹粗仿宋" w:cs="Segoe UI"/>
          <w:b/>
          <w:color w:val="auto"/>
          <w:sz w:val="32"/>
          <w:szCs w:val="32"/>
        </w:rPr>
        <w:t>本市</w:t>
      </w:r>
      <w:r>
        <w:rPr>
          <w:rFonts w:hint="eastAsia" w:ascii="彩虹粗仿宋" w:hAnsi="彩虹粗仿宋" w:eastAsia="彩虹粗仿宋" w:cs="Segoe UI"/>
          <w:color w:val="auto"/>
          <w:sz w:val="32"/>
          <w:szCs w:val="32"/>
        </w:rPr>
        <w:t>当地律师事务所，需提供</w:t>
      </w:r>
      <w:r>
        <w:rPr>
          <w:rFonts w:hint="eastAsia" w:ascii="彩虹粗仿宋" w:hAnsi="彩虹粗仿宋" w:eastAsia="彩虹粗仿宋" w:cs="Segoe UI"/>
          <w:b/>
          <w:color w:val="auto"/>
          <w:sz w:val="32"/>
          <w:szCs w:val="32"/>
        </w:rPr>
        <w:t>本市分所执业许可证</w:t>
      </w:r>
      <w:r>
        <w:rPr>
          <w:rFonts w:hint="eastAsia" w:ascii="彩虹粗仿宋" w:hAnsi="彩虹粗仿宋" w:eastAsia="彩虹粗仿宋" w:cs="Segoe UI"/>
          <w:color w:val="auto"/>
          <w:sz w:val="32"/>
          <w:szCs w:val="32"/>
        </w:rPr>
        <w:t>或</w:t>
      </w:r>
      <w:r>
        <w:rPr>
          <w:rFonts w:hint="eastAsia" w:ascii="彩虹粗仿宋" w:hAnsi="彩虹粗仿宋" w:eastAsia="彩虹粗仿宋" w:cs="Segoe UI"/>
          <w:b/>
          <w:color w:val="auto"/>
          <w:sz w:val="32"/>
          <w:szCs w:val="32"/>
        </w:rPr>
        <w:t>本地化服务点的房屋产权证明或房屋租赁合同</w:t>
      </w:r>
      <w:r>
        <w:rPr>
          <w:rFonts w:hint="eastAsia" w:ascii="彩虹粗仿宋" w:hAnsi="彩虹粗仿宋" w:eastAsia="彩虹粗仿宋" w:cs="Segoe UI"/>
          <w:color w:val="auto"/>
          <w:sz w:val="32"/>
          <w:szCs w:val="32"/>
        </w:rPr>
        <w:t>。</w:t>
      </w:r>
    </w:p>
    <w:p>
      <w:pPr>
        <w:pStyle w:val="2"/>
        <w:shd w:val="clear" w:color="auto" w:fill="FFFFFF"/>
        <w:spacing w:before="0" w:beforeAutospacing="0" w:after="0" w:afterAutospacing="0" w:line="540" w:lineRule="exact"/>
        <w:ind w:firstLine="643" w:firstLineChars="200"/>
        <w:rPr>
          <w:rFonts w:ascii="彩虹粗仿宋" w:eastAsia="彩虹粗仿宋"/>
          <w:color w:val="auto"/>
          <w:sz w:val="32"/>
          <w:szCs w:val="32"/>
        </w:rPr>
      </w:pPr>
      <w:r>
        <w:rPr>
          <w:rFonts w:hint="eastAsia" w:ascii="彩虹粗仿宋" w:eastAsia="彩虹粗仿宋" w:hAnsiTheme="minorHAnsi" w:cstheme="minorBidi"/>
          <w:b/>
          <w:bCs/>
          <w:color w:val="auto"/>
          <w:kern w:val="2"/>
          <w:sz w:val="32"/>
          <w:szCs w:val="32"/>
        </w:rPr>
        <w:t>3</w:t>
      </w:r>
      <w:r>
        <w:rPr>
          <w:rFonts w:hint="eastAsia" w:ascii="彩虹粗仿宋" w:hAnsi="彩虹粗仿宋" w:eastAsia="彩虹粗仿宋" w:cs="Segoe UI"/>
          <w:color w:val="auto"/>
          <w:sz w:val="32"/>
          <w:szCs w:val="32"/>
        </w:rPr>
        <w:t>.</w:t>
      </w:r>
      <w:r>
        <w:rPr>
          <w:rFonts w:hint="eastAsia" w:ascii="彩虹粗仿宋" w:eastAsia="彩虹粗仿宋"/>
          <w:b/>
          <w:bCs/>
          <w:color w:val="auto"/>
          <w:sz w:val="32"/>
          <w:szCs w:val="32"/>
        </w:rPr>
        <w:t>案例要求</w:t>
      </w:r>
      <w:r>
        <w:rPr>
          <w:rFonts w:hint="eastAsia" w:ascii="彩虹粗仿宋" w:hAnsi="彩虹粗仿宋" w:eastAsia="彩虹粗仿宋" w:cs="Segoe UI"/>
          <w:color w:val="auto"/>
          <w:sz w:val="32"/>
          <w:szCs w:val="32"/>
        </w:rPr>
        <w:t>：</w:t>
      </w:r>
    </w:p>
    <w:p>
      <w:pPr>
        <w:spacing w:line="560" w:lineRule="exact"/>
        <w:ind w:firstLine="640" w:firstLineChars="200"/>
        <w:rPr>
          <w:rFonts w:hint="eastAsia" w:ascii="彩虹粗仿宋" w:eastAsia="彩虹粗仿宋"/>
          <w:sz w:val="32"/>
          <w:szCs w:val="32"/>
        </w:rPr>
      </w:pPr>
      <w:r>
        <w:rPr>
          <w:rFonts w:hint="eastAsia" w:ascii="彩虹粗仿宋" w:hAnsi="彩虹粗仿宋" w:eastAsia="彩虹粗仿宋" w:cs="Segoe UI"/>
          <w:sz w:val="32"/>
          <w:szCs w:val="32"/>
        </w:rPr>
        <w:t>供应商</w:t>
      </w:r>
      <w:r>
        <w:rPr>
          <w:rFonts w:ascii="彩虹粗仿宋" w:hAnsi="彩虹粗仿宋" w:eastAsia="彩虹粗仿宋" w:cs="Segoe UI"/>
          <w:sz w:val="32"/>
          <w:szCs w:val="32"/>
          <w:highlight w:val="none"/>
        </w:rPr>
        <w:t>20</w:t>
      </w:r>
      <w:r>
        <w:rPr>
          <w:rFonts w:hint="eastAsia" w:ascii="彩虹粗仿宋" w:hAnsi="彩虹粗仿宋" w:eastAsia="彩虹粗仿宋" w:cs="Segoe UI"/>
          <w:sz w:val="32"/>
          <w:szCs w:val="32"/>
          <w:highlight w:val="none"/>
        </w:rPr>
        <w:t>23</w:t>
      </w:r>
      <w:r>
        <w:rPr>
          <w:rFonts w:ascii="彩虹粗仿宋" w:hAnsi="彩虹粗仿宋" w:eastAsia="彩虹粗仿宋" w:cs="Segoe UI"/>
          <w:sz w:val="32"/>
          <w:szCs w:val="32"/>
          <w:highlight w:val="none"/>
        </w:rPr>
        <w:t>年</w:t>
      </w:r>
      <w:r>
        <w:rPr>
          <w:rFonts w:hint="eastAsia" w:ascii="彩虹粗仿宋" w:hAnsi="彩虹粗仿宋" w:eastAsia="彩虹粗仿宋" w:cs="Segoe UI"/>
          <w:sz w:val="32"/>
          <w:szCs w:val="32"/>
          <w:highlight w:val="none"/>
          <w:lang w:val="en-US" w:eastAsia="zh-CN"/>
        </w:rPr>
        <w:t>9</w:t>
      </w:r>
      <w:r>
        <w:rPr>
          <w:rFonts w:ascii="彩虹粗仿宋" w:hAnsi="彩虹粗仿宋" w:eastAsia="彩虹粗仿宋" w:cs="Segoe UI"/>
          <w:sz w:val="32"/>
          <w:szCs w:val="32"/>
          <w:highlight w:val="none"/>
        </w:rPr>
        <w:t>月1日-</w:t>
      </w:r>
      <w:r>
        <w:rPr>
          <w:rFonts w:hint="eastAsia" w:ascii="彩虹粗仿宋" w:hAnsi="彩虹粗仿宋" w:eastAsia="彩虹粗仿宋" w:cs="Segoe UI"/>
          <w:sz w:val="32"/>
          <w:szCs w:val="32"/>
          <w:highlight w:val="none"/>
        </w:rPr>
        <w:t>征集</w:t>
      </w:r>
      <w:r>
        <w:rPr>
          <w:rFonts w:ascii="彩虹粗仿宋" w:hAnsi="彩虹粗仿宋" w:eastAsia="彩虹粗仿宋" w:cs="Segoe UI"/>
          <w:sz w:val="32"/>
          <w:szCs w:val="32"/>
          <w:highlight w:val="none"/>
        </w:rPr>
        <w:t>报名截止时间</w:t>
      </w:r>
      <w:r>
        <w:rPr>
          <w:rFonts w:hint="eastAsia" w:ascii="彩虹粗仿宋" w:eastAsia="彩虹粗仿宋"/>
          <w:color w:val="auto"/>
          <w:sz w:val="32"/>
          <w:szCs w:val="32"/>
        </w:rPr>
        <w:t>须具有至少1项与金融机构合作的同类</w:t>
      </w:r>
      <w:r>
        <w:rPr>
          <w:rFonts w:hint="eastAsia" w:ascii="彩虹粗仿宋" w:eastAsia="彩虹粗仿宋"/>
          <w:sz w:val="32"/>
          <w:szCs w:val="32"/>
        </w:rPr>
        <w:t>服务案例，提供有效合作合同证明文件。（须上传至龙集采平台“案例信息”栏位，否则视同不满足资格要求）</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二、服务品类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诉讼法律服务</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三、服务内容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采购律师事务所</w:t>
      </w:r>
      <w:r>
        <w:rPr>
          <w:rFonts w:hint="eastAsia" w:ascii="彩虹粗仿宋" w:eastAsia="彩虹粗仿宋"/>
          <w:sz w:val="32"/>
          <w:szCs w:val="32"/>
        </w:rPr>
        <w:t>代理</w:t>
      </w:r>
      <w:r>
        <w:rPr>
          <w:rFonts w:hint="eastAsia" w:ascii="彩虹粗仿宋" w:eastAsia="彩虹粗仿宋"/>
          <w:sz w:val="32"/>
          <w:szCs w:val="32"/>
          <w:lang w:eastAsia="zh-CN"/>
        </w:rPr>
        <w:t>宿州市分行</w:t>
      </w:r>
      <w:r>
        <w:rPr>
          <w:rFonts w:hint="eastAsia" w:ascii="彩虹粗仿宋" w:eastAsia="彩虹粗仿宋"/>
          <w:sz w:val="32"/>
          <w:szCs w:val="32"/>
        </w:rPr>
        <w:t>诉</w:t>
      </w:r>
      <w:r>
        <w:rPr>
          <w:rFonts w:hint="eastAsia" w:ascii="彩虹粗仿宋" w:eastAsia="彩虹粗仿宋"/>
          <w:sz w:val="32"/>
          <w:szCs w:val="32"/>
          <w:lang w:eastAsia="zh-CN"/>
        </w:rPr>
        <w:t>宿州市**有限公司</w:t>
      </w:r>
      <w:r>
        <w:rPr>
          <w:rFonts w:hint="eastAsia" w:ascii="彩虹粗仿宋" w:eastAsia="彩虹粗仿宋"/>
          <w:sz w:val="32"/>
          <w:szCs w:val="32"/>
        </w:rPr>
        <w:t>贷款合同纠纷所有事项，包括但不限于诉前谈判、审理阶段（包括一审、二审、再审、发回重审、重新起诉等）及执行阶段中的全部事务。</w:t>
      </w:r>
      <w:r>
        <w:rPr>
          <w:rFonts w:hint="eastAsia" w:ascii="彩虹粗仿宋" w:hAnsi="宋体" w:eastAsia="彩虹粗仿宋"/>
          <w:snapToGrid w:val="0"/>
          <w:kern w:val="0"/>
          <w:sz w:val="32"/>
          <w:szCs w:val="32"/>
        </w:rPr>
        <w:t>省分行与中标供应商签订合同，</w:t>
      </w:r>
      <w:r>
        <w:rPr>
          <w:rFonts w:hint="eastAsia" w:ascii="彩虹粗仿宋" w:hAnsi="宋体" w:eastAsia="彩虹粗仿宋"/>
          <w:snapToGrid w:val="0"/>
          <w:kern w:val="0"/>
          <w:sz w:val="32"/>
          <w:szCs w:val="32"/>
          <w:lang w:val="en-US" w:eastAsia="zh-CN"/>
        </w:rPr>
        <w:t>根据</w:t>
      </w:r>
      <w:r>
        <w:rPr>
          <w:rFonts w:hint="eastAsia" w:ascii="彩虹粗仿宋" w:hAnsi="宋体" w:eastAsia="彩虹粗仿宋"/>
          <w:snapToGrid w:val="0"/>
          <w:kern w:val="0"/>
          <w:sz w:val="32"/>
          <w:szCs w:val="32"/>
        </w:rPr>
        <w:t>案件结案后的受益金额和中标</w:t>
      </w:r>
      <w:r>
        <w:rPr>
          <w:rFonts w:hint="eastAsia" w:ascii="彩虹粗仿宋" w:hAnsi="宋体" w:eastAsia="彩虹粗仿宋"/>
          <w:snapToGrid w:val="0"/>
          <w:kern w:val="0"/>
          <w:sz w:val="32"/>
          <w:szCs w:val="32"/>
          <w:lang w:val="en-US" w:eastAsia="zh-CN"/>
        </w:rPr>
        <w:t>价格</w:t>
      </w:r>
      <w:r>
        <w:rPr>
          <w:rFonts w:hint="eastAsia" w:ascii="彩虹粗仿宋" w:hAnsi="宋体" w:eastAsia="彩虹粗仿宋"/>
          <w:snapToGrid w:val="0"/>
          <w:kern w:val="0"/>
          <w:sz w:val="32"/>
          <w:szCs w:val="32"/>
        </w:rPr>
        <w:t>计算律师费用，并向聘用律所支付。</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四、服务团队，包括项目负责人资质经验、项目团队成员数量结构和资质经验等</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（一）项目负责人的资质经验</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项目负责人需具有大专以上学历，具有律师执业资格证书。</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（二）项目团队成员数量结构</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项目团队成员3人及以上。</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（三）项目团队成员资质经验</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所有项目团队人员均需具备律师执业资格证书，需提供一年以上的社保证明或与律所建立劳动关系相关证明。</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五、服务质量要求</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（一）项目进度计划安排</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根据案件情况，提供律师服务计划安排。</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（二）方案与需求的契合度</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根据案件情况或当事行要求提供律师代理方案，提高诉讼效率，满足当事行需求。</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（三）对项目理解情况</w:t>
      </w:r>
      <w:r>
        <w:rPr>
          <w:rFonts w:hint="eastAsia" w:ascii="彩虹楷体" w:eastAsia="彩虹楷体"/>
          <w:b/>
          <w:sz w:val="32"/>
          <w:szCs w:val="32"/>
        </w:rPr>
        <w:tab/>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结合案件特点，提供对案件的理解说明。</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（四）服务质量保证措施</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项目负责人对项目成员需开展有效指导，确保案件胜诉，并最大程度推进胜诉后的执行工作。</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（五）应急方案</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针对案件中可能出现的紧急、疑难情况，建立案件应急处理机制，制定紧急、疑难案件处理方案。</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（六）信息保密</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需承诺信息保密。</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（七）服务结果验收标准</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根据律所的是否态度良好，服务耐心，工作认真负责；对我行项目推进过程中的要求能够及时跟进和反馈；对法律法规的解读及时准确；与监管部门和司法机关的沟通充分到位；团队人员基本固定，服务连贯性有保障；代理服务或出具的法律意见书、备忘录等文件能够满足我行要求；代理我行事务与律所其他代理事项无利益冲突；严格遵守我行保密规定等方面进行评估和服务验收。验收通过后按照协议要求支付相应律师费。</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六、服务数量要求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eastAsia="彩虹粗仿宋"/>
          <w:sz w:val="32"/>
          <w:szCs w:val="32"/>
        </w:rPr>
        <w:t>代理</w:t>
      </w:r>
      <w:r>
        <w:rPr>
          <w:rFonts w:hint="eastAsia" w:ascii="彩虹粗仿宋" w:eastAsia="彩虹粗仿宋"/>
          <w:sz w:val="32"/>
          <w:szCs w:val="32"/>
          <w:lang w:eastAsia="zh-CN"/>
        </w:rPr>
        <w:t>宿州市分行</w:t>
      </w:r>
      <w:r>
        <w:rPr>
          <w:rFonts w:hint="eastAsia" w:ascii="彩虹粗仿宋" w:eastAsia="彩虹粗仿宋"/>
          <w:sz w:val="32"/>
          <w:szCs w:val="32"/>
        </w:rPr>
        <w:t>诉</w:t>
      </w:r>
      <w:r>
        <w:rPr>
          <w:rFonts w:hint="eastAsia" w:ascii="彩虹粗仿宋" w:eastAsia="彩虹粗仿宋"/>
          <w:sz w:val="32"/>
          <w:szCs w:val="32"/>
          <w:lang w:eastAsia="zh-CN"/>
        </w:rPr>
        <w:t>宿州市**有限公司</w:t>
      </w:r>
      <w:r>
        <w:rPr>
          <w:rFonts w:hint="eastAsia" w:ascii="彩虹粗仿宋" w:eastAsia="彩虹粗仿宋"/>
          <w:sz w:val="32"/>
          <w:szCs w:val="32"/>
        </w:rPr>
        <w:t>贷款合同纠纷所有事项</w:t>
      </w:r>
      <w:r>
        <w:rPr>
          <w:rFonts w:hint="eastAsia" w:ascii="彩虹粗仿宋" w:hAnsi="宋体" w:eastAsia="彩虹粗仿宋"/>
          <w:snapToGrid w:val="0"/>
          <w:kern w:val="0"/>
          <w:sz w:val="32"/>
          <w:szCs w:val="32"/>
        </w:rPr>
        <w:t>。</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七、服务供应安排</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（一）时间要求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根据需求行要求，安排提供优质服务。</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（二）地点要求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根据案件提起诉讼。</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楷体" w:eastAsia="彩虹楷体"/>
          <w:b/>
          <w:sz w:val="32"/>
          <w:szCs w:val="32"/>
        </w:rPr>
      </w:pPr>
      <w:r>
        <w:rPr>
          <w:rFonts w:hint="eastAsia" w:ascii="彩虹楷体" w:eastAsia="彩虹楷体"/>
          <w:b/>
          <w:sz w:val="32"/>
          <w:szCs w:val="32"/>
        </w:rPr>
        <w:t>（三）服务过程中产生的费用问题及处理意见</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所有费用均包含在报价内。</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八、款项支付要求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rPr>
      </w:pPr>
      <w:r>
        <w:rPr>
          <w:rFonts w:ascii="彩虹粗仿宋" w:eastAsia="彩虹粗仿宋"/>
          <w:sz w:val="32"/>
          <w:szCs w:val="32"/>
        </w:rPr>
        <w:t>律师费用实行风险代理付费，</w:t>
      </w:r>
      <w:r>
        <w:rPr>
          <w:rFonts w:hint="eastAsia" w:ascii="彩虹粗仿宋" w:eastAsia="彩虹粗仿宋"/>
          <w:sz w:val="32"/>
          <w:szCs w:val="32"/>
        </w:rPr>
        <w:t>我行</w:t>
      </w:r>
      <w:r>
        <w:rPr>
          <w:rFonts w:ascii="彩虹粗仿宋" w:eastAsia="彩虹粗仿宋"/>
          <w:sz w:val="32"/>
          <w:szCs w:val="32"/>
        </w:rPr>
        <w:t>向</w:t>
      </w:r>
      <w:r>
        <w:rPr>
          <w:rFonts w:hint="eastAsia" w:ascii="彩虹粗仿宋" w:eastAsia="彩虹粗仿宋"/>
          <w:sz w:val="32"/>
          <w:szCs w:val="32"/>
        </w:rPr>
        <w:t>代理律所</w:t>
      </w:r>
      <w:r>
        <w:rPr>
          <w:rFonts w:ascii="彩虹粗仿宋" w:eastAsia="彩虹粗仿宋"/>
          <w:sz w:val="32"/>
          <w:szCs w:val="32"/>
        </w:rPr>
        <w:t>支付律师费用，不分诉讼阶段，根据</w:t>
      </w:r>
      <w:r>
        <w:rPr>
          <w:rFonts w:hint="eastAsia" w:ascii="彩虹粗仿宋" w:eastAsia="彩虹粗仿宋"/>
          <w:sz w:val="32"/>
          <w:szCs w:val="32"/>
        </w:rPr>
        <w:t>我行</w:t>
      </w:r>
      <w:r>
        <w:rPr>
          <w:rFonts w:ascii="彩虹粗仿宋" w:eastAsia="彩虹粗仿宋"/>
          <w:sz w:val="32"/>
          <w:szCs w:val="32"/>
        </w:rPr>
        <w:t>在案件结案后的受益金额计算</w:t>
      </w:r>
      <w:r>
        <w:rPr>
          <w:rFonts w:hint="eastAsia" w:ascii="彩虹粗仿宋" w:eastAsia="彩虹粗仿宋"/>
          <w:sz w:val="32"/>
          <w:szCs w:val="32"/>
        </w:rPr>
        <w:t>（</w:t>
      </w:r>
      <w:r>
        <w:rPr>
          <w:rFonts w:ascii="彩虹粗仿宋" w:eastAsia="彩虹粗仿宋"/>
          <w:sz w:val="32"/>
          <w:szCs w:val="32"/>
        </w:rPr>
        <w:t>受益金额是指我行作为原告时执行到帐的金额</w:t>
      </w:r>
      <w:r>
        <w:rPr>
          <w:rFonts w:hint="eastAsia" w:ascii="彩虹粗仿宋" w:eastAsia="彩虹粗仿宋"/>
          <w:sz w:val="32"/>
          <w:szCs w:val="32"/>
        </w:rPr>
        <w:t>）</w:t>
      </w:r>
      <w:r>
        <w:rPr>
          <w:rFonts w:hint="eastAsia" w:ascii="彩虹粗仿宋" w:eastAsia="彩虹粗仿宋"/>
          <w:sz w:val="32"/>
        </w:rPr>
        <w:t>，计算公式为</w:t>
      </w:r>
      <w:r>
        <w:rPr>
          <w:rFonts w:hint="eastAsia" w:ascii="彩虹粗仿宋" w:eastAsia="彩虹粗仿宋"/>
          <w:sz w:val="32"/>
          <w:szCs w:val="32"/>
        </w:rPr>
        <w:t>律师费用=</w:t>
      </w:r>
      <w:r>
        <w:rPr>
          <w:rFonts w:hint="eastAsia" w:ascii="彩虹粗仿宋" w:eastAsia="彩虹粗仿宋"/>
          <w:sz w:val="32"/>
          <w:szCs w:val="32"/>
          <w:lang w:eastAsia="zh-CN"/>
        </w:rPr>
        <w:t>（</w:t>
      </w:r>
      <w:r>
        <w:rPr>
          <w:rFonts w:hint="eastAsia" w:ascii="彩虹粗仿宋" w:eastAsia="彩虹粗仿宋"/>
          <w:sz w:val="32"/>
          <w:szCs w:val="32"/>
        </w:rPr>
        <w:t>受益金额</w:t>
      </w:r>
      <w:r>
        <w:rPr>
          <w:rFonts w:hint="eastAsia" w:ascii="彩虹粗仿宋" w:eastAsia="彩虹粗仿宋"/>
          <w:sz w:val="32"/>
          <w:szCs w:val="32"/>
          <w:lang w:val="en-US" w:eastAsia="zh-CN"/>
        </w:rPr>
        <w:t>/案件标的金额）*中标律师费</w:t>
      </w:r>
      <w:r>
        <w:rPr>
          <w:rFonts w:hint="eastAsia" w:ascii="彩虹粗仿宋" w:eastAsia="彩虹粗仿宋"/>
          <w:sz w:val="32"/>
          <w:szCs w:val="32"/>
        </w:rPr>
        <w:t>。我行根据办案需要在案件</w:t>
      </w:r>
      <w:r>
        <w:rPr>
          <w:rFonts w:hint="eastAsia" w:ascii="彩虹粗仿宋" w:eastAsia="彩虹粗仿宋"/>
          <w:sz w:val="32"/>
          <w:szCs w:val="32"/>
          <w:lang w:val="en-US" w:eastAsia="zh-CN"/>
        </w:rPr>
        <w:t>立案后</w:t>
      </w:r>
      <w:r>
        <w:rPr>
          <w:rFonts w:hint="eastAsia" w:ascii="彩虹粗仿宋" w:eastAsia="彩虹粗仿宋"/>
          <w:sz w:val="32"/>
          <w:szCs w:val="32"/>
        </w:rPr>
        <w:t>可以向代理律师事务所支付适当的差旅、取证、翻译等费用，前期费用不超过中标律师费用的</w:t>
      </w:r>
      <w:r>
        <w:rPr>
          <w:rFonts w:hint="eastAsia" w:ascii="彩虹粗仿宋" w:eastAsia="彩虹粗仿宋"/>
          <w:sz w:val="32"/>
          <w:szCs w:val="32"/>
          <w:lang w:val="en-US" w:eastAsia="zh-CN"/>
        </w:rPr>
        <w:t>2</w:t>
      </w:r>
      <w:r>
        <w:rPr>
          <w:rFonts w:hint="eastAsia" w:ascii="彩虹粗仿宋" w:eastAsia="彩虹粗仿宋"/>
          <w:sz w:val="32"/>
          <w:szCs w:val="32"/>
        </w:rPr>
        <w:t>0%。该前期费用包含在中标律师费用总额内，待结案后根据需要支付的律师费用进行</w:t>
      </w:r>
      <w:r>
        <w:rPr>
          <w:rFonts w:hint="eastAsia" w:ascii="彩虹粗仿宋" w:eastAsia="彩虹粗仿宋"/>
          <w:sz w:val="32"/>
          <w:szCs w:val="32"/>
          <w:lang w:val="en-US" w:eastAsia="zh-CN"/>
        </w:rPr>
        <w:t>结算</w:t>
      </w:r>
      <w:r>
        <w:rPr>
          <w:rFonts w:hint="eastAsia" w:ascii="彩虹粗仿宋" w:eastAsia="彩虹粗仿宋"/>
          <w:sz w:val="32"/>
          <w:szCs w:val="32"/>
        </w:rPr>
        <w:t>。</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九、售后服务要求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中标律所须根据需求行选择，代理具体案件所有审理阶段（包括一审、二审、再审、发回重审、重新起诉等）及执行阶段中的全部事务。</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十、报价要求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报价包含增值税。</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eastAsia="彩虹粗仿宋"/>
          <w:b/>
          <w:sz w:val="32"/>
          <w:szCs w:val="32"/>
        </w:rPr>
      </w:pPr>
      <w:r>
        <w:rPr>
          <w:rFonts w:hint="eastAsia" w:ascii="彩虹粗仿宋" w:eastAsia="彩虹粗仿宋"/>
          <w:b/>
          <w:sz w:val="32"/>
          <w:szCs w:val="32"/>
        </w:rPr>
        <w:t>十一、其他要求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参加采购的代理律师事务所和律师应满足以下条件：</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1.代理律师个人能力突出，包括协调能力等在内的综合实力较强。须勤勉敬业，精心准备诉讼方案，为我行实现最大诉讼价值。</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2.须以最快速度熟悉案情，采取有效的诉讼措施，诉讼过程不得拖拉。</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3.承诺合理、忠实地行使代理权，不得滥用代理权，不得超越代理权行事。</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4.在代理该案期间及代理事务完成后，保守所知悉的我行的商业秘密及与案件有关的不应泄露的信息。</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5.承诺代理行为、代理方式和代理费用等执行我行有关律师聘用和律师费用管理等规定。</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6.承诺在代理该案期间，尽可能不代理或少代理案件，集中精力办理该案，迅速、有效地完成该案代理。</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7.承诺发生债权转让事项时，自行向债权受让方协商代理事宜，建行不因债权转让事项支付律师费用。</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8.律师要提交对处理该案代理事务的特别优势和运作设想的可行性进行分析。</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9.律师对该案法律关系的分析和对该案处理前景的合理预见。</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10.中标代理律师事务所和代理律师应当不定期就代理的案件情况</w:t>
      </w:r>
      <w:r>
        <w:rPr>
          <w:rFonts w:hint="eastAsia" w:ascii="彩虹粗仿宋" w:hAnsi="宋体" w:eastAsia="彩虹粗仿宋"/>
          <w:snapToGrid w:val="0"/>
          <w:kern w:val="0"/>
          <w:sz w:val="32"/>
          <w:szCs w:val="32"/>
          <w:lang w:val="en-US" w:eastAsia="zh-CN"/>
        </w:rPr>
        <w:t>进行</w:t>
      </w:r>
      <w:r>
        <w:rPr>
          <w:rFonts w:hint="eastAsia" w:ascii="彩虹粗仿宋" w:hAnsi="宋体" w:eastAsia="彩虹粗仿宋"/>
          <w:snapToGrid w:val="0"/>
          <w:kern w:val="0"/>
          <w:sz w:val="32"/>
          <w:szCs w:val="32"/>
        </w:rPr>
        <w:t>书面汇报，影响我行权益的重大、特殊事项须立即汇报。</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11.按代理协议规定及时提交案件法律意见书、案件进展情况报告及结案报告。</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12.代理诉讼案件所有审理阶段（包括一审、二审、再审、发回重审、重新起诉）、执行、破产（如有）中的全部事务，活动所有的费用都在投标价内，无另外收费。</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 xml:space="preserve">13.投标单位必须提供投标正本及副本，包括但不限于单位简介、报价及代理方案，法定代表人资格证明、授权书、承诺书、有效资质证书、执照正副本、机构代码证、税务登记证、获奖证书、服务金融机构的成功案例。 </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1</w:t>
      </w:r>
      <w:r>
        <w:rPr>
          <w:rFonts w:hint="eastAsia" w:ascii="彩虹粗仿宋" w:hAnsi="宋体" w:eastAsia="彩虹粗仿宋"/>
          <w:snapToGrid w:val="0"/>
          <w:kern w:val="0"/>
          <w:sz w:val="32"/>
          <w:szCs w:val="32"/>
          <w:lang w:val="en-US" w:eastAsia="zh-CN"/>
        </w:rPr>
        <w:t>4</w:t>
      </w:r>
      <w:r>
        <w:rPr>
          <w:rFonts w:hint="eastAsia" w:ascii="彩虹粗仿宋" w:hAnsi="宋体" w:eastAsia="彩虹粗仿宋"/>
          <w:snapToGrid w:val="0"/>
          <w:kern w:val="0"/>
          <w:sz w:val="32"/>
          <w:szCs w:val="32"/>
        </w:rPr>
        <w:t>.因国家或我行政策原因，发生债权转让等其他影响代理继续履行事项的，我行不再按采购价格支付费用，代理律所自行向债权受让方协商代理事宜，不得因债权转让要求我行支付律师费用。</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pPr>
      <w:r>
        <w:rPr>
          <w:rFonts w:hint="eastAsia" w:ascii="彩虹粗仿宋" w:hAnsi="宋体" w:eastAsia="彩虹粗仿宋"/>
          <w:snapToGrid w:val="0"/>
          <w:kern w:val="0"/>
          <w:sz w:val="32"/>
          <w:szCs w:val="32"/>
        </w:rPr>
        <w:t>1</w:t>
      </w:r>
      <w:r>
        <w:rPr>
          <w:rFonts w:hint="eastAsia" w:ascii="彩虹粗仿宋" w:hAnsi="宋体" w:eastAsia="彩虹粗仿宋"/>
          <w:snapToGrid w:val="0"/>
          <w:kern w:val="0"/>
          <w:sz w:val="32"/>
          <w:szCs w:val="32"/>
          <w:lang w:val="en-US" w:eastAsia="zh-CN"/>
        </w:rPr>
        <w:t>5</w:t>
      </w:r>
      <w:r>
        <w:rPr>
          <w:rFonts w:hint="eastAsia" w:ascii="彩虹粗仿宋" w:hAnsi="宋体" w:eastAsia="彩虹粗仿宋"/>
          <w:snapToGrid w:val="0"/>
          <w:kern w:val="0"/>
          <w:sz w:val="32"/>
          <w:szCs w:val="32"/>
        </w:rPr>
        <w:t>.当出现下列情况时，我行有权单方解除本协议：一是因国家政策性原因、其他非归责于任何一方当事人或我行业务发展需要，造成代理的案件被剥离、划转、债权债务转移等情况发生时。二是在协议履行过程中，案件相对人主动清偿债务或我行通过内部减免息等优惠政策回收的资产，或通过执行中与债务人、担保人谈判、和解回收资产等非主要因代理律所工作的原因，使案件提前终结时。在依据上述一、二规定解除本协议后，我行根据代理律所实际工作量和案件的进展程度适当向代理律所支付案件代理费，支付该笔案件代理费不超过所承担的律师代理费总额的20%。三是我方认为律师代理过程中尽职不够。四是其他应解除的情况。</w:t>
      </w:r>
    </w:p>
    <w:p/>
    <w:p/>
    <w:p>
      <w:pPr>
        <w:spacing w:line="560" w:lineRule="exact"/>
        <w:ind w:firstLine="640" w:firstLineChars="200"/>
        <w:rPr>
          <w:rFonts w:hint="eastAsia" w:ascii="彩虹粗仿宋" w:eastAsia="彩虹粗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155364"/>
    <w:rsid w:val="00474FF5"/>
    <w:rsid w:val="00602137"/>
    <w:rsid w:val="006A201D"/>
    <w:rsid w:val="006E406B"/>
    <w:rsid w:val="007775E5"/>
    <w:rsid w:val="007A2BFE"/>
    <w:rsid w:val="00974F9E"/>
    <w:rsid w:val="00C06FDC"/>
    <w:rsid w:val="00C960A2"/>
    <w:rsid w:val="00F15C85"/>
    <w:rsid w:val="00F20D57"/>
    <w:rsid w:val="00F92313"/>
    <w:rsid w:val="10C601CF"/>
    <w:rsid w:val="174072A1"/>
    <w:rsid w:val="18333B2E"/>
    <w:rsid w:val="1B6A1FC8"/>
    <w:rsid w:val="1E460E41"/>
    <w:rsid w:val="20762F98"/>
    <w:rsid w:val="208768D0"/>
    <w:rsid w:val="41D50455"/>
    <w:rsid w:val="4230627E"/>
    <w:rsid w:val="448F1EAE"/>
    <w:rsid w:val="449C5997"/>
    <w:rsid w:val="4D481EDD"/>
    <w:rsid w:val="50795E41"/>
    <w:rsid w:val="51C25640"/>
    <w:rsid w:val="53A04F04"/>
    <w:rsid w:val="543E4F96"/>
    <w:rsid w:val="5B422793"/>
    <w:rsid w:val="5EEE35AE"/>
    <w:rsid w:val="7C362D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148</Words>
  <Characters>850</Characters>
  <Lines>7</Lines>
  <Paragraphs>1</Paragraphs>
  <TotalTime>11</TotalTime>
  <ScaleCrop>false</ScaleCrop>
  <LinksUpToDate>false</LinksUpToDate>
  <CharactersWithSpaces>997</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2019-09-20T03:11:00Z</dcterms:created>
  <dc:creator>Apache POI</dc:creator>
  <cp:lastModifiedBy>孟亚</cp:lastModifiedBy>
  <dcterms:modified xsi:type="dcterms:W3CDTF">2025-11-07T01:05:51Z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8B1942ED30AD4296A09CCAE21F4B5B2E_13</vt:lpwstr>
  </property>
</Properties>
</file>