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5FB216">
      <w:pPr>
        <w:adjustRightInd w:val="0"/>
        <w:snapToGrid w:val="0"/>
        <w:spacing w:line="360" w:lineRule="auto"/>
        <w:jc w:val="center"/>
        <w:rPr>
          <w:rFonts w:ascii="彩虹小标宋" w:hAnsi="宋体" w:eastAsia="彩虹小标宋" w:cs="Times New Roman"/>
          <w:bCs/>
          <w:snapToGrid w:val="0"/>
          <w:kern w:val="0"/>
          <w:sz w:val="36"/>
          <w:szCs w:val="36"/>
        </w:rPr>
      </w:pPr>
      <w:r>
        <w:rPr>
          <w:rFonts w:hint="eastAsia" w:ascii="彩虹小标宋" w:hAnsi="宋体" w:eastAsia="彩虹小标宋" w:cs="Times New Roman"/>
          <w:bCs/>
          <w:snapToGrid w:val="0"/>
          <w:kern w:val="0"/>
          <w:sz w:val="36"/>
          <w:szCs w:val="36"/>
        </w:rPr>
        <w:t>非IT类工程采购需求主要内容</w:t>
      </w:r>
    </w:p>
    <w:p w14:paraId="005400EA">
      <w:pPr>
        <w:adjustRightInd w:val="0"/>
        <w:snapToGrid w:val="0"/>
        <w:spacing w:line="360" w:lineRule="auto"/>
        <w:jc w:val="center"/>
        <w:rPr>
          <w:rFonts w:ascii="彩虹小标宋" w:hAnsi="宋体" w:eastAsia="彩虹小标宋" w:cs="Times New Roman"/>
          <w:bCs/>
          <w:snapToGrid w:val="0"/>
          <w:kern w:val="0"/>
          <w:sz w:val="36"/>
          <w:szCs w:val="36"/>
        </w:rPr>
      </w:pPr>
      <w:r>
        <w:rPr>
          <w:rFonts w:hint="eastAsia" w:ascii="彩虹小标宋" w:hAnsi="宋体" w:eastAsia="彩虹小标宋" w:cs="Times New Roman"/>
          <w:bCs/>
          <w:snapToGrid w:val="0"/>
          <w:kern w:val="0"/>
          <w:sz w:val="36"/>
          <w:szCs w:val="36"/>
        </w:rPr>
        <w:t>（一般包括以下所列内容）</w:t>
      </w:r>
    </w:p>
    <w:p w14:paraId="22A2D804">
      <w:pPr>
        <w:adjustRightInd w:val="0"/>
        <w:snapToGrid w:val="0"/>
        <w:spacing w:line="360" w:lineRule="auto"/>
        <w:ind w:firstLine="640" w:firstLineChars="200"/>
        <w:rPr>
          <w:rFonts w:ascii="彩虹粗仿宋" w:hAnsi="宋体" w:eastAsia="彩虹粗仿宋" w:cs="Times New Roman"/>
          <w:snapToGrid w:val="0"/>
          <w:kern w:val="0"/>
          <w:sz w:val="32"/>
          <w:szCs w:val="32"/>
        </w:rPr>
      </w:pPr>
    </w:p>
    <w:p w14:paraId="3B610634">
      <w:pPr>
        <w:keepNext w:val="0"/>
        <w:keepLines w:val="0"/>
        <w:pageBreakBefore w:val="0"/>
        <w:widowControl w:val="0"/>
        <w:numPr>
          <w:ilvl w:val="0"/>
          <w:numId w:val="1"/>
        </w:numPr>
        <w:kinsoku/>
        <w:wordWrap/>
        <w:overflowPunct/>
        <w:topLinePunct w:val="0"/>
        <w:autoSpaceDE/>
        <w:autoSpaceDN/>
        <w:bidi w:val="0"/>
        <w:adjustRightInd w:val="0"/>
        <w:snapToGrid w:val="0"/>
        <w:spacing w:line="760" w:lineRule="atLeast"/>
        <w:ind w:firstLine="640" w:firstLineChars="200"/>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工程供应商要</w:t>
      </w:r>
      <w:r>
        <w:rPr>
          <w:rFonts w:hint="eastAsia" w:ascii="彩虹粗仿宋" w:hAnsi="宋体" w:eastAsia="彩虹粗仿宋" w:cs="Times New Roman"/>
          <w:snapToGrid w:val="0"/>
          <w:kern w:val="0"/>
          <w:sz w:val="32"/>
          <w:szCs w:val="32"/>
          <w:lang w:eastAsia="zh-CN"/>
        </w:rPr>
        <w:t>求</w:t>
      </w:r>
    </w:p>
    <w:p w14:paraId="2495C266">
      <w:pPr>
        <w:keepNext w:val="0"/>
        <w:keepLines w:val="0"/>
        <w:pageBreakBefore w:val="0"/>
        <w:widowControl w:val="0"/>
        <w:kinsoku/>
        <w:wordWrap/>
        <w:overflowPunct/>
        <w:topLinePunct w:val="0"/>
        <w:autoSpaceDE/>
        <w:autoSpaceDN/>
        <w:bidi w:val="0"/>
        <w:adjustRightInd w:val="0"/>
        <w:snapToGrid w:val="0"/>
        <w:spacing w:line="760" w:lineRule="atLeast"/>
        <w:ind w:firstLine="640" w:firstLineChars="200"/>
        <w:jc w:val="left"/>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val="en-US" w:eastAsia="zh-CN"/>
        </w:rPr>
        <w:t>1</w:t>
      </w:r>
      <w:r>
        <w:rPr>
          <w:rFonts w:hint="eastAsia" w:ascii="彩虹粗仿宋" w:hAnsi="宋体" w:eastAsia="彩虹粗仿宋" w:cs="Times New Roman"/>
          <w:snapToGrid w:val="0"/>
          <w:kern w:val="0"/>
          <w:sz w:val="32"/>
          <w:szCs w:val="32"/>
        </w:rPr>
        <w:t>.</w:t>
      </w:r>
      <w:r>
        <w:rPr>
          <w:rFonts w:hint="eastAsia" w:ascii="彩虹粗仿宋" w:hAnsi="宋体" w:eastAsia="彩虹粗仿宋"/>
          <w:snapToGrid w:val="0"/>
          <w:kern w:val="0"/>
          <w:sz w:val="32"/>
          <w:szCs w:val="32"/>
          <w:lang w:bidi="ar"/>
        </w:rPr>
        <w:t>在中国境内注册，具有独立法人资格和履行合同能力，近3年内在经营活动中没有重大违法、行贿及失信记录等。</w:t>
      </w:r>
    </w:p>
    <w:p w14:paraId="0CB3C206">
      <w:pPr>
        <w:keepNext w:val="0"/>
        <w:keepLines w:val="0"/>
        <w:pageBreakBefore w:val="0"/>
        <w:widowControl w:val="0"/>
        <w:kinsoku/>
        <w:wordWrap/>
        <w:overflowPunct/>
        <w:topLinePunct w:val="0"/>
        <w:autoSpaceDE/>
        <w:autoSpaceDN/>
        <w:bidi w:val="0"/>
        <w:adjustRightInd w:val="0"/>
        <w:snapToGrid w:val="0"/>
        <w:spacing w:line="760" w:lineRule="atLeast"/>
        <w:ind w:firstLine="640" w:firstLineChars="200"/>
        <w:jc w:val="both"/>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val="en-US" w:eastAsia="zh-CN"/>
        </w:rPr>
        <w:t>2.</w:t>
      </w:r>
      <w:r>
        <w:rPr>
          <w:rFonts w:hint="eastAsia" w:ascii="彩虹粗仿宋" w:hAnsi="宋体" w:eastAsia="彩虹粗仿宋"/>
          <w:snapToGrid w:val="0"/>
          <w:kern w:val="0"/>
          <w:sz w:val="32"/>
          <w:szCs w:val="32"/>
          <w:lang w:bidi="ar"/>
        </w:rPr>
        <w:t>具有</w:t>
      </w:r>
      <w:r>
        <w:rPr>
          <w:rFonts w:hint="eastAsia" w:ascii="彩虹粗仿宋" w:hAnsi="宋体" w:eastAsia="彩虹粗仿宋"/>
          <w:snapToGrid w:val="0"/>
          <w:kern w:val="0"/>
          <w:sz w:val="32"/>
          <w:szCs w:val="32"/>
          <w:lang w:eastAsia="zh-CN" w:bidi="ar"/>
        </w:rPr>
        <w:t>《</w:t>
      </w:r>
      <w:r>
        <w:rPr>
          <w:rFonts w:hint="eastAsia" w:ascii="彩虹粗仿宋" w:hAnsi="彩虹粗仿宋" w:eastAsia="彩虹粗仿宋" w:cs="彩虹粗仿宋"/>
          <w:i w:val="0"/>
          <w:iCs w:val="0"/>
          <w:caps w:val="0"/>
          <w:color w:val="000000"/>
          <w:spacing w:val="0"/>
          <w:kern w:val="0"/>
          <w:sz w:val="32"/>
          <w:szCs w:val="32"/>
          <w:shd w:val="clear" w:color="auto" w:fill="FFFFFF"/>
          <w:lang w:val="en-US" w:eastAsia="zh-CN" w:bidi="ar"/>
        </w:rPr>
        <w:t>承装（修、试）电力设施许可证</w:t>
      </w:r>
      <w:r>
        <w:rPr>
          <w:rFonts w:hint="eastAsia" w:ascii="彩虹粗仿宋" w:hAnsi="宋体" w:eastAsia="彩虹粗仿宋"/>
          <w:snapToGrid w:val="0"/>
          <w:kern w:val="0"/>
          <w:sz w:val="32"/>
          <w:szCs w:val="32"/>
          <w:lang w:eastAsia="zh-CN" w:bidi="ar"/>
        </w:rPr>
        <w:t>》或《建筑业企业资质证书》中包含“</w:t>
      </w:r>
      <w:r>
        <w:rPr>
          <w:rFonts w:hint="eastAsia" w:ascii="彩虹粗仿宋" w:hAnsi="彩虹粗仿宋" w:eastAsia="彩虹粗仿宋" w:cs="彩虹粗仿宋"/>
          <w:i w:val="0"/>
          <w:iCs w:val="0"/>
          <w:caps w:val="0"/>
          <w:spacing w:val="0"/>
          <w:kern w:val="0"/>
          <w:sz w:val="32"/>
          <w:szCs w:val="32"/>
          <w:shd w:val="clear" w:color="auto" w:fill="FFFFFF"/>
          <w:lang w:val="en-US" w:eastAsia="zh-CN" w:bidi="ar"/>
        </w:rPr>
        <w:t>机电工程施工总承包”</w:t>
      </w:r>
      <w:r>
        <w:rPr>
          <w:rFonts w:hint="eastAsia" w:ascii="彩虹粗仿宋" w:hAnsi="宋体" w:eastAsia="彩虹粗仿宋"/>
          <w:snapToGrid w:val="0"/>
          <w:kern w:val="0"/>
          <w:sz w:val="32"/>
          <w:szCs w:val="32"/>
          <w:lang w:bidi="ar"/>
        </w:rPr>
        <w:t>等</w:t>
      </w:r>
      <w:r>
        <w:rPr>
          <w:rFonts w:hint="eastAsia" w:ascii="彩虹粗仿宋" w:hAnsi="宋体" w:eastAsia="彩虹粗仿宋"/>
          <w:snapToGrid w:val="0"/>
          <w:kern w:val="0"/>
          <w:sz w:val="32"/>
          <w:szCs w:val="32"/>
          <w:lang w:eastAsia="zh-CN" w:bidi="ar"/>
        </w:rPr>
        <w:t>资质类别和等级，</w:t>
      </w:r>
      <w:r>
        <w:rPr>
          <w:rFonts w:hint="eastAsia" w:ascii="彩虹粗仿宋" w:hAnsi="宋体" w:eastAsia="彩虹粗仿宋" w:cs="Times New Roman"/>
          <w:snapToGrid w:val="0"/>
          <w:kern w:val="0"/>
          <w:sz w:val="32"/>
          <w:szCs w:val="32"/>
        </w:rPr>
        <w:t>并在本</w:t>
      </w:r>
      <w:r>
        <w:rPr>
          <w:rFonts w:hint="eastAsia" w:ascii="彩虹粗仿宋" w:hAnsi="宋体" w:eastAsia="彩虹粗仿宋" w:cs="Times New Roman"/>
          <w:snapToGrid w:val="0"/>
          <w:kern w:val="0"/>
          <w:sz w:val="32"/>
          <w:szCs w:val="32"/>
          <w:lang w:eastAsia="zh-CN"/>
        </w:rPr>
        <w:t>项目</w:t>
      </w:r>
      <w:r>
        <w:rPr>
          <w:rFonts w:hint="eastAsia" w:ascii="彩虹粗仿宋" w:hAnsi="宋体" w:eastAsia="彩虹粗仿宋" w:cs="Times New Roman"/>
          <w:snapToGrid w:val="0"/>
          <w:kern w:val="0"/>
          <w:sz w:val="32"/>
          <w:szCs w:val="32"/>
        </w:rPr>
        <w:t>履行期内持续保持该资质的合法有效性。</w:t>
      </w:r>
    </w:p>
    <w:p w14:paraId="23ECE013">
      <w:pPr>
        <w:keepNext w:val="0"/>
        <w:keepLines w:val="0"/>
        <w:pageBreakBefore w:val="0"/>
        <w:widowControl w:val="0"/>
        <w:kinsoku/>
        <w:wordWrap/>
        <w:overflowPunct/>
        <w:topLinePunct w:val="0"/>
        <w:autoSpaceDE/>
        <w:autoSpaceDN/>
        <w:bidi w:val="0"/>
        <w:adjustRightInd w:val="0"/>
        <w:snapToGrid w:val="0"/>
        <w:spacing w:line="760" w:lineRule="atLeast"/>
        <w:ind w:firstLine="640" w:firstLineChars="200"/>
        <w:jc w:val="left"/>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val="en-US" w:eastAsia="zh-CN"/>
        </w:rPr>
        <w:t>3</w:t>
      </w:r>
      <w:r>
        <w:rPr>
          <w:rFonts w:hint="eastAsia" w:ascii="彩虹粗仿宋" w:hAnsi="宋体" w:eastAsia="彩虹粗仿宋" w:cs="Times New Roman"/>
          <w:snapToGrid w:val="0"/>
          <w:kern w:val="0"/>
          <w:sz w:val="32"/>
          <w:szCs w:val="32"/>
        </w:rPr>
        <w:t>.社会声誉良好，组织施工能力、管理能力较强。</w:t>
      </w:r>
    </w:p>
    <w:p w14:paraId="2F9EDF22">
      <w:pPr>
        <w:keepNext w:val="0"/>
        <w:keepLines w:val="0"/>
        <w:pageBreakBefore w:val="0"/>
        <w:widowControl w:val="0"/>
        <w:kinsoku/>
        <w:wordWrap/>
        <w:overflowPunct/>
        <w:topLinePunct w:val="0"/>
        <w:autoSpaceDE/>
        <w:autoSpaceDN/>
        <w:bidi w:val="0"/>
        <w:adjustRightInd w:val="0"/>
        <w:snapToGrid w:val="0"/>
        <w:spacing w:line="760" w:lineRule="atLeast"/>
        <w:ind w:firstLine="640" w:firstLineChars="200"/>
        <w:jc w:val="both"/>
        <w:textAlignment w:val="auto"/>
        <w:rPr>
          <w:rFonts w:hint="default"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4.投标时供应商需提供2023年1月1日以来的</w:t>
      </w:r>
      <w:r>
        <w:rPr>
          <w:rFonts w:hint="eastAsia" w:ascii="彩虹粗仿宋" w:hAnsi="彩虹粗仿宋" w:eastAsia="彩虹粗仿宋" w:cs="彩虹粗仿宋"/>
          <w:i w:val="0"/>
          <w:iCs w:val="0"/>
          <w:caps w:val="0"/>
          <w:color w:val="000000"/>
          <w:spacing w:val="0"/>
          <w:kern w:val="0"/>
          <w:sz w:val="32"/>
          <w:szCs w:val="32"/>
          <w:shd w:val="clear" w:color="auto" w:fill="FFFFFF"/>
          <w:lang w:val="en-US" w:eastAsia="zh-CN" w:bidi="ar"/>
        </w:rPr>
        <w:t>金额在10万元以上的</w:t>
      </w:r>
      <w:r>
        <w:rPr>
          <w:rFonts w:hint="eastAsia" w:ascii="彩虹粗仿宋" w:hAnsi="宋体" w:eastAsia="彩虹粗仿宋" w:cs="Times New Roman"/>
          <w:snapToGrid w:val="0"/>
          <w:kern w:val="0"/>
          <w:sz w:val="32"/>
          <w:szCs w:val="32"/>
          <w:lang w:val="en-US" w:eastAsia="zh-CN"/>
        </w:rPr>
        <w:t>类似案例</w:t>
      </w:r>
      <w:r>
        <w:rPr>
          <w:rFonts w:hint="eastAsia" w:ascii="彩虹粗仿宋" w:hAnsi="彩虹粗仿宋" w:eastAsia="彩虹粗仿宋" w:cs="彩虹粗仿宋"/>
          <w:i w:val="0"/>
          <w:iCs w:val="0"/>
          <w:caps w:val="0"/>
          <w:color w:val="000000"/>
          <w:spacing w:val="0"/>
          <w:kern w:val="0"/>
          <w:sz w:val="32"/>
          <w:szCs w:val="32"/>
          <w:shd w:val="clear" w:color="auto" w:fill="FFFFFF"/>
          <w:lang w:val="en-US" w:eastAsia="zh-CN" w:bidi="ar"/>
        </w:rPr>
        <w:t>（类似案例的合同首页、金额页、落款盖章页等）</w:t>
      </w:r>
      <w:r>
        <w:rPr>
          <w:rFonts w:hint="eastAsia" w:ascii="彩虹粗仿宋" w:hAnsi="宋体" w:eastAsia="彩虹粗仿宋" w:cs="Times New Roman"/>
          <w:snapToGrid w:val="0"/>
          <w:kern w:val="0"/>
          <w:sz w:val="32"/>
          <w:szCs w:val="32"/>
          <w:lang w:val="en-US" w:eastAsia="zh-CN"/>
        </w:rPr>
        <w:t>。</w:t>
      </w:r>
    </w:p>
    <w:p w14:paraId="144F18D9">
      <w:pPr>
        <w:keepNext w:val="0"/>
        <w:keepLines w:val="0"/>
        <w:pageBreakBefore w:val="0"/>
        <w:widowControl w:val="0"/>
        <w:kinsoku/>
        <w:wordWrap/>
        <w:overflowPunct/>
        <w:topLinePunct w:val="0"/>
        <w:autoSpaceDE/>
        <w:autoSpaceDN/>
        <w:bidi w:val="0"/>
        <w:adjustRightInd w:val="0"/>
        <w:snapToGrid w:val="0"/>
        <w:spacing w:line="760" w:lineRule="atLeast"/>
        <w:ind w:firstLine="640" w:firstLineChars="200"/>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二、施工组织方案</w:t>
      </w:r>
    </w:p>
    <w:p w14:paraId="76E85B10">
      <w:pPr>
        <w:keepNext w:val="0"/>
        <w:keepLines w:val="0"/>
        <w:pageBreakBefore w:val="0"/>
        <w:widowControl w:val="0"/>
        <w:kinsoku/>
        <w:wordWrap/>
        <w:overflowPunct/>
        <w:topLinePunct w:val="0"/>
        <w:autoSpaceDE/>
        <w:autoSpaceDN/>
        <w:bidi w:val="0"/>
        <w:adjustRightInd w:val="0"/>
        <w:snapToGrid w:val="0"/>
        <w:spacing w:line="760" w:lineRule="atLeast"/>
        <w:ind w:firstLine="640" w:firstLineChars="200"/>
        <w:jc w:val="left"/>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供应商派驻本工程的项目经理具有合法有效的身份证明，配备符合要求的管理人员及技术人员，应确保项目管理施工团队稳定，在项目施工过程中不得随意更换项目经理。如确需更换，供应商应出具情况说明并加盖公章，并经建行同意后方可更换；</w:t>
      </w:r>
    </w:p>
    <w:p w14:paraId="5A951F01">
      <w:pPr>
        <w:keepNext w:val="0"/>
        <w:keepLines w:val="0"/>
        <w:pageBreakBefore w:val="0"/>
        <w:widowControl w:val="0"/>
        <w:kinsoku/>
        <w:wordWrap/>
        <w:overflowPunct/>
        <w:topLinePunct w:val="0"/>
        <w:autoSpaceDE/>
        <w:autoSpaceDN/>
        <w:bidi w:val="0"/>
        <w:adjustRightInd w:val="0"/>
        <w:snapToGrid w:val="0"/>
        <w:spacing w:line="760" w:lineRule="atLeast"/>
        <w:ind w:firstLine="640" w:firstLineChars="200"/>
        <w:jc w:val="left"/>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2.投入的施工设备、设备和主要原材料的品牌及性能指标等符合施工标准要求；</w:t>
      </w:r>
    </w:p>
    <w:p w14:paraId="56BF7CB9">
      <w:pPr>
        <w:keepNext w:val="0"/>
        <w:keepLines w:val="0"/>
        <w:pageBreakBefore w:val="0"/>
        <w:widowControl w:val="0"/>
        <w:kinsoku/>
        <w:wordWrap/>
        <w:overflowPunct/>
        <w:topLinePunct w:val="0"/>
        <w:autoSpaceDE/>
        <w:autoSpaceDN/>
        <w:bidi w:val="0"/>
        <w:adjustRightInd w:val="0"/>
        <w:snapToGrid w:val="0"/>
        <w:spacing w:line="760" w:lineRule="atLeast"/>
        <w:ind w:firstLine="640" w:firstLineChars="200"/>
        <w:jc w:val="left"/>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3.环境及成品保护方案、质量保证措施符合国家及当地行业监管部门要求；</w:t>
      </w:r>
    </w:p>
    <w:p w14:paraId="218C48A4">
      <w:pPr>
        <w:keepNext w:val="0"/>
        <w:keepLines w:val="0"/>
        <w:pageBreakBefore w:val="0"/>
        <w:widowControl w:val="0"/>
        <w:kinsoku/>
        <w:wordWrap/>
        <w:overflowPunct/>
        <w:topLinePunct w:val="0"/>
        <w:autoSpaceDE/>
        <w:autoSpaceDN/>
        <w:bidi w:val="0"/>
        <w:adjustRightInd w:val="0"/>
        <w:snapToGrid w:val="0"/>
        <w:spacing w:line="760" w:lineRule="atLeast"/>
        <w:ind w:firstLine="640" w:firstLineChars="200"/>
        <w:jc w:val="left"/>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4.有完善的施工安全管理措施、应急组织能力和应急预案；</w:t>
      </w:r>
    </w:p>
    <w:p w14:paraId="706EE5CA">
      <w:pPr>
        <w:keepNext w:val="0"/>
        <w:keepLines w:val="0"/>
        <w:pageBreakBefore w:val="0"/>
        <w:widowControl w:val="0"/>
        <w:kinsoku/>
        <w:wordWrap/>
        <w:overflowPunct/>
        <w:topLinePunct w:val="0"/>
        <w:autoSpaceDE/>
        <w:autoSpaceDN/>
        <w:bidi w:val="0"/>
        <w:adjustRightInd w:val="0"/>
        <w:snapToGrid w:val="0"/>
        <w:spacing w:line="760" w:lineRule="atLeast"/>
        <w:ind w:firstLine="640" w:firstLineChars="200"/>
        <w:jc w:val="left"/>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5.服从建行日常工作安排及安全管理。</w:t>
      </w:r>
    </w:p>
    <w:p w14:paraId="0C432AA6">
      <w:pPr>
        <w:keepNext w:val="0"/>
        <w:keepLines w:val="0"/>
        <w:pageBreakBefore w:val="0"/>
        <w:widowControl w:val="0"/>
        <w:numPr>
          <w:ilvl w:val="0"/>
          <w:numId w:val="0"/>
        </w:numPr>
        <w:kinsoku/>
        <w:wordWrap/>
        <w:overflowPunct/>
        <w:topLinePunct w:val="0"/>
        <w:autoSpaceDE/>
        <w:autoSpaceDN/>
        <w:bidi w:val="0"/>
        <w:adjustRightInd w:val="0"/>
        <w:snapToGrid w:val="0"/>
        <w:spacing w:line="760" w:lineRule="atLeast"/>
        <w:ind w:leftChars="200" w:firstLine="320" w:firstLineChars="100"/>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eastAsia="zh-CN"/>
        </w:rPr>
        <w:t>三、</w:t>
      </w:r>
      <w:r>
        <w:rPr>
          <w:rFonts w:hint="eastAsia" w:ascii="彩虹粗仿宋" w:hAnsi="宋体" w:eastAsia="彩虹粗仿宋" w:cs="Times New Roman"/>
          <w:snapToGrid w:val="0"/>
          <w:kern w:val="0"/>
          <w:sz w:val="32"/>
          <w:szCs w:val="32"/>
        </w:rPr>
        <w:t>工程质量要求</w:t>
      </w:r>
    </w:p>
    <w:p w14:paraId="36B37273">
      <w:pPr>
        <w:keepNext w:val="0"/>
        <w:keepLines w:val="0"/>
        <w:pageBreakBefore w:val="0"/>
        <w:widowControl w:val="0"/>
        <w:kinsoku/>
        <w:wordWrap/>
        <w:overflowPunct/>
        <w:topLinePunct w:val="0"/>
        <w:autoSpaceDE/>
        <w:autoSpaceDN/>
        <w:bidi w:val="0"/>
        <w:adjustRightInd/>
        <w:snapToGrid/>
        <w:spacing w:line="760" w:lineRule="atLeast"/>
        <w:ind w:firstLine="640" w:firstLineChars="200"/>
        <w:jc w:val="both"/>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（一）施工要求</w:t>
      </w:r>
    </w:p>
    <w:p w14:paraId="49B71744">
      <w:pPr>
        <w:keepNext w:val="0"/>
        <w:keepLines w:val="0"/>
        <w:pageBreakBefore w:val="0"/>
        <w:widowControl w:val="0"/>
        <w:kinsoku/>
        <w:wordWrap/>
        <w:overflowPunct/>
        <w:topLinePunct w:val="0"/>
        <w:autoSpaceDE/>
        <w:autoSpaceDN/>
        <w:bidi w:val="0"/>
        <w:adjustRightInd/>
        <w:snapToGrid/>
        <w:spacing w:line="760" w:lineRule="atLeast"/>
        <w:ind w:firstLine="640" w:firstLineChars="200"/>
        <w:jc w:val="both"/>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电缆铺设走桥架及配电柜封堵应严格遵循国家相关电气安装规范与标准，确保系统安全、可靠、可维护。</w:t>
      </w:r>
    </w:p>
    <w:p w14:paraId="66FE8F30">
      <w:pPr>
        <w:keepNext w:val="0"/>
        <w:keepLines w:val="0"/>
        <w:pageBreakBefore w:val="0"/>
        <w:widowControl w:val="0"/>
        <w:kinsoku/>
        <w:wordWrap/>
        <w:overflowPunct/>
        <w:topLinePunct w:val="0"/>
        <w:autoSpaceDE/>
        <w:autoSpaceDN/>
        <w:bidi w:val="0"/>
        <w:adjustRightInd/>
        <w:snapToGrid/>
        <w:spacing w:line="760" w:lineRule="atLeast"/>
        <w:ind w:firstLine="640" w:firstLineChars="200"/>
        <w:jc w:val="both"/>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1.桥架选型与材质要求：根据敷设环境（室内、室外、潮湿、腐蚀性等）选择合适的桥架类型（如梯架、托盘式、槽式）及材质（镀锌钢、不锈钢、铝合金或非金属复合材料）。室外或高湿环境宜采用防腐性能强的材料，并做好接地和防雷措施。</w:t>
      </w:r>
    </w:p>
    <w:p w14:paraId="6024001A">
      <w:pPr>
        <w:keepNext w:val="0"/>
        <w:keepLines w:val="0"/>
        <w:pageBreakBefore w:val="0"/>
        <w:widowControl w:val="0"/>
        <w:kinsoku/>
        <w:wordWrap/>
        <w:overflowPunct/>
        <w:topLinePunct w:val="0"/>
        <w:autoSpaceDE/>
        <w:autoSpaceDN/>
        <w:bidi w:val="0"/>
        <w:adjustRightInd/>
        <w:snapToGrid/>
        <w:spacing w:line="760" w:lineRule="atLeast"/>
        <w:ind w:firstLine="640" w:firstLineChars="200"/>
        <w:jc w:val="both"/>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2.桥架安装规范：桥架应平直整齐，水平度偏差不大于2mm/m，全长不超过10mm；垂直度偏差不大于1.5mm/m。支吊架间距应符合设计要求，通常钢制桥架不超过2m，铝合金桥架不超过1.5m，拐弯处及终端应增设支吊架。桥架连接板螺栓应紧固，螺母位于桥架外侧，保证电气连续性。</w:t>
      </w:r>
    </w:p>
    <w:p w14:paraId="07761DE5">
      <w:pPr>
        <w:keepNext w:val="0"/>
        <w:keepLines w:val="0"/>
        <w:pageBreakBefore w:val="0"/>
        <w:widowControl w:val="0"/>
        <w:kinsoku/>
        <w:wordWrap/>
        <w:overflowPunct/>
        <w:topLinePunct w:val="0"/>
        <w:autoSpaceDE/>
        <w:autoSpaceDN/>
        <w:bidi w:val="0"/>
        <w:adjustRightInd/>
        <w:snapToGrid/>
        <w:spacing w:line="760" w:lineRule="atLeast"/>
        <w:ind w:firstLine="640" w:firstLineChars="200"/>
        <w:jc w:val="both"/>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3.电缆敷设要求：电缆敷设前应核对型号、规格、电压等级，检查绝缘性能，避免损伤。电缆在桥架内应排列整齐，避免交叉，按顺序分层布置，强弱电电缆应分槽或加隔板敷设，间距不小于300mm。</w:t>
      </w:r>
    </w:p>
    <w:p w14:paraId="02B26258">
      <w:pPr>
        <w:keepNext w:val="0"/>
        <w:keepLines w:val="0"/>
        <w:pageBreakBefore w:val="0"/>
        <w:widowControl w:val="0"/>
        <w:kinsoku/>
        <w:wordWrap/>
        <w:overflowPunct/>
        <w:topLinePunct w:val="0"/>
        <w:autoSpaceDE/>
        <w:autoSpaceDN/>
        <w:bidi w:val="0"/>
        <w:adjustRightInd/>
        <w:snapToGrid/>
        <w:spacing w:line="760" w:lineRule="atLeast"/>
        <w:ind w:firstLine="640" w:firstLineChars="200"/>
        <w:jc w:val="both"/>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控制电缆与动力电缆应分层敷设，动力电缆在下层，控制电缆在上层。</w:t>
      </w:r>
    </w:p>
    <w:p w14:paraId="5C8817BB">
      <w:pPr>
        <w:keepNext w:val="0"/>
        <w:keepLines w:val="0"/>
        <w:pageBreakBefore w:val="0"/>
        <w:widowControl w:val="0"/>
        <w:kinsoku/>
        <w:wordWrap/>
        <w:overflowPunct/>
        <w:topLinePunct w:val="0"/>
        <w:autoSpaceDE/>
        <w:autoSpaceDN/>
        <w:bidi w:val="0"/>
        <w:adjustRightInd/>
        <w:snapToGrid/>
        <w:spacing w:line="760" w:lineRule="atLeast"/>
        <w:ind w:firstLine="640" w:firstLineChars="200"/>
        <w:jc w:val="both"/>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电缆弯曲半径应符合规范要求，一般不小于电缆外径的10倍（多芯电力电缆）或15倍（控制电缆）。电缆终端及中间接头位置应预留足够长度，便于检修与接线。</w:t>
      </w:r>
    </w:p>
    <w:p w14:paraId="16EDD5F1">
      <w:pPr>
        <w:keepNext w:val="0"/>
        <w:keepLines w:val="0"/>
        <w:pageBreakBefore w:val="0"/>
        <w:widowControl w:val="0"/>
        <w:kinsoku/>
        <w:wordWrap/>
        <w:overflowPunct/>
        <w:topLinePunct w:val="0"/>
        <w:autoSpaceDE/>
        <w:autoSpaceDN/>
        <w:bidi w:val="0"/>
        <w:adjustRightInd/>
        <w:snapToGrid/>
        <w:spacing w:line="760" w:lineRule="atLeast"/>
        <w:ind w:firstLine="640" w:firstLineChars="200"/>
        <w:jc w:val="both"/>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4.防火与阻燃措施：在电缆密集区域或穿越防火分区时，桥架应设置防火隔板或使用耐火桥架，并填充防火包、防火泥等封堵材料。使用阻燃型电缆，并在桥架内按要求设置防火段或涂刷防火涂料。</w:t>
      </w:r>
    </w:p>
    <w:p w14:paraId="1A8B1146">
      <w:pPr>
        <w:keepNext w:val="0"/>
        <w:keepLines w:val="0"/>
        <w:pageBreakBefore w:val="0"/>
        <w:widowControl w:val="0"/>
        <w:kinsoku/>
        <w:wordWrap/>
        <w:overflowPunct/>
        <w:topLinePunct w:val="0"/>
        <w:autoSpaceDE/>
        <w:autoSpaceDN/>
        <w:bidi w:val="0"/>
        <w:adjustRightInd/>
        <w:snapToGrid/>
        <w:spacing w:line="760" w:lineRule="atLeast"/>
        <w:ind w:firstLine="640" w:firstLineChars="200"/>
        <w:jc w:val="both"/>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5.接地与电气连续性：金属桥架全长应至少两端可靠接地，长度超过30m时每30m增设接地点；伸缩节处应用软铜线跨接，确保电气通路连续。接地电阻应符合设计要求，一般不大于4Ω。室外桥架应做防腐处理，必要时加装盖板防雨防晒。</w:t>
      </w:r>
    </w:p>
    <w:p w14:paraId="25F73022">
      <w:pPr>
        <w:keepNext w:val="0"/>
        <w:keepLines w:val="0"/>
        <w:pageBreakBefore w:val="0"/>
        <w:widowControl w:val="0"/>
        <w:kinsoku/>
        <w:wordWrap/>
        <w:overflowPunct/>
        <w:topLinePunct w:val="0"/>
        <w:autoSpaceDE/>
        <w:autoSpaceDN/>
        <w:bidi w:val="0"/>
        <w:adjustRightInd/>
        <w:snapToGrid/>
        <w:spacing w:line="760" w:lineRule="atLeast"/>
        <w:ind w:firstLine="640" w:firstLineChars="200"/>
        <w:jc w:val="both"/>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6.与其他管线的安全距离：桥架与热力管道平行敷设时，净距不小于1m，交叉时不小于0.5m；无法满足时应采取隔热措施。与工艺管道平行时净距不小于0.3m，交叉时不小于0.1m。</w:t>
      </w:r>
    </w:p>
    <w:p w14:paraId="1CB6D812">
      <w:pPr>
        <w:keepNext w:val="0"/>
        <w:keepLines w:val="0"/>
        <w:pageBreakBefore w:val="0"/>
        <w:widowControl w:val="0"/>
        <w:kinsoku/>
        <w:wordWrap/>
        <w:overflowPunct/>
        <w:topLinePunct w:val="0"/>
        <w:autoSpaceDE/>
        <w:autoSpaceDN/>
        <w:bidi w:val="0"/>
        <w:adjustRightInd/>
        <w:snapToGrid/>
        <w:spacing w:line="760" w:lineRule="atLeast"/>
        <w:ind w:firstLine="640" w:firstLineChars="200"/>
        <w:jc w:val="both"/>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7.封堵材料与工艺：配电柜进出线孔洞（电缆穿墙、穿楼板处），柜底板预留孔洞，柜与桥架接口处，例如：防火泥：适用于不规则孔洞，柔韧性好，便于后期拆改。防火包：用于较大孔洞临时或永久封堵，耐火极限高。防火板+防火泥组合：适用于大尺寸穿墙孔洞，结构稳定。阻燃密封胶：用于细小缝隙，增强气密性和防水性。</w:t>
      </w:r>
    </w:p>
    <w:p w14:paraId="484F7AC2">
      <w:pPr>
        <w:keepNext w:val="0"/>
        <w:keepLines w:val="0"/>
        <w:pageBreakBefore w:val="0"/>
        <w:widowControl w:val="0"/>
        <w:kinsoku/>
        <w:wordWrap/>
        <w:overflowPunct/>
        <w:topLinePunct w:val="0"/>
        <w:autoSpaceDE/>
        <w:autoSpaceDN/>
        <w:bidi w:val="0"/>
        <w:adjustRightInd/>
        <w:snapToGrid/>
        <w:spacing w:line="760" w:lineRule="atLeast"/>
        <w:ind w:firstLine="640" w:firstLineChars="200"/>
        <w:jc w:val="both"/>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所有材料应具备国家消防认证，耐火极限不低于1小时（根据设计要求可更高）。封堵材料应具备良好的密实性、可塑性和长期稳定性，不得脱落或开裂。</w:t>
      </w:r>
    </w:p>
    <w:p w14:paraId="24DAAE1E">
      <w:pPr>
        <w:keepNext w:val="0"/>
        <w:keepLines w:val="0"/>
        <w:pageBreakBefore w:val="0"/>
        <w:widowControl w:val="0"/>
        <w:numPr>
          <w:ilvl w:val="0"/>
          <w:numId w:val="0"/>
        </w:numPr>
        <w:kinsoku/>
        <w:wordWrap/>
        <w:overflowPunct/>
        <w:topLinePunct w:val="0"/>
        <w:autoSpaceDE/>
        <w:autoSpaceDN/>
        <w:bidi w:val="0"/>
        <w:adjustRightInd/>
        <w:snapToGrid/>
        <w:spacing w:line="760" w:lineRule="atLeast"/>
        <w:ind w:firstLine="640" w:firstLineChars="200"/>
        <w:jc w:val="both"/>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封堵前应清理孔洞内杂物、油污，确保干燥清洁。电缆束应整理整齐，避免过度挤压。先用防火泥或防火包填充内部，外层可用防火板或防火泥封闭，做到严密无缝。穿墙封堵应形成“中间密实、内外平整”的结构，墙面两侧应有明显防火标识。封堵完成后不得影响电缆散热，严禁使用易燃材料（如泡沫、纸屑）填充。封堵严密无空隙，表面平整，外观整洁。满足设计规定的防火、防水、防小动物要求。</w:t>
      </w:r>
    </w:p>
    <w:p w14:paraId="222ECB04">
      <w:pPr>
        <w:keepNext w:val="0"/>
        <w:keepLines w:val="0"/>
        <w:pageBreakBefore w:val="0"/>
        <w:widowControl w:val="0"/>
        <w:numPr>
          <w:ilvl w:val="0"/>
          <w:numId w:val="0"/>
        </w:numPr>
        <w:kinsoku/>
        <w:wordWrap/>
        <w:overflowPunct/>
        <w:topLinePunct w:val="0"/>
        <w:autoSpaceDE/>
        <w:autoSpaceDN/>
        <w:bidi w:val="0"/>
        <w:adjustRightInd/>
        <w:snapToGrid/>
        <w:spacing w:line="760" w:lineRule="atLeast"/>
        <w:ind w:firstLine="640" w:firstLineChars="200"/>
        <w:jc w:val="both"/>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8.标识与文档管理：桥架起始端、末端及转弯处应设置电缆标志牌，标明回路编号、用途、规格及走向。施工完成后应提交完整的技术资料，包括桥架布置图、电缆清册、隐蔽工程记录及检测报告。</w:t>
      </w:r>
    </w:p>
    <w:p w14:paraId="020547A3">
      <w:pPr>
        <w:keepNext w:val="0"/>
        <w:keepLines w:val="0"/>
        <w:pageBreakBefore w:val="0"/>
        <w:widowControl w:val="0"/>
        <w:numPr>
          <w:ilvl w:val="0"/>
          <w:numId w:val="0"/>
        </w:numPr>
        <w:kinsoku/>
        <w:wordWrap/>
        <w:overflowPunct/>
        <w:topLinePunct w:val="0"/>
        <w:autoSpaceDE/>
        <w:autoSpaceDN/>
        <w:bidi w:val="0"/>
        <w:adjustRightInd/>
        <w:snapToGrid/>
        <w:spacing w:line="760" w:lineRule="atLeast"/>
        <w:ind w:firstLine="640" w:firstLineChars="200"/>
        <w:jc w:val="both"/>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9.安全与验收依据标准：所有施工人员须持证上岗，严格执行安全操作规程。封堵完成后应检查是否严密，有无漏光、漏风现象。配电柜内部严禁遗留施工垃圾，所有电缆应挂牌标识，便于运维管理。封堵工程应纳入隐蔽工程验收，留存影像资料备查。</w:t>
      </w:r>
    </w:p>
    <w:p w14:paraId="7B4DA909">
      <w:pPr>
        <w:keepNext w:val="0"/>
        <w:keepLines w:val="0"/>
        <w:pageBreakBefore w:val="0"/>
        <w:widowControl w:val="0"/>
        <w:kinsoku/>
        <w:wordWrap/>
        <w:overflowPunct/>
        <w:topLinePunct w:val="0"/>
        <w:autoSpaceDE/>
        <w:autoSpaceDN/>
        <w:bidi w:val="0"/>
        <w:adjustRightInd/>
        <w:snapToGrid/>
        <w:spacing w:line="760" w:lineRule="atLeast"/>
        <w:ind w:firstLine="640" w:firstLineChars="200"/>
        <w:jc w:val="both"/>
        <w:textAlignment w:val="auto"/>
        <w:rPr>
          <w:rFonts w:hint="eastAsia" w:ascii="彩虹粗仿宋" w:hAnsi="彩虹粗仿宋" w:eastAsia="彩虹粗仿宋" w:cs="彩虹粗仿宋"/>
          <w:sz w:val="32"/>
          <w:szCs w:val="32"/>
          <w:lang w:val="en-US" w:eastAsia="zh-CN"/>
        </w:rPr>
      </w:pPr>
      <w:r>
        <w:rPr>
          <w:rFonts w:hint="eastAsia" w:ascii="彩虹粗仿宋" w:hAnsi="彩虹粗仿宋" w:eastAsia="彩虹粗仿宋" w:cs="彩虹粗仿宋"/>
          <w:sz w:val="32"/>
          <w:szCs w:val="32"/>
          <w:lang w:val="en-US" w:eastAsia="zh-CN"/>
        </w:rPr>
        <w:t>施工应符合《建筑电气工程施工质量验收规范》（GB50303）、《电气装置安装工程电缆线路施工及验收标准》（GB50168）等相关国家标准。确保施工质量达标，防范火灾与电气事故风险。</w:t>
      </w:r>
    </w:p>
    <w:p w14:paraId="68A19FA6">
      <w:pPr>
        <w:keepNext w:val="0"/>
        <w:keepLines w:val="0"/>
        <w:pageBreakBefore w:val="0"/>
        <w:widowControl w:val="0"/>
        <w:kinsoku/>
        <w:wordWrap/>
        <w:overflowPunct/>
        <w:topLinePunct w:val="0"/>
        <w:autoSpaceDE/>
        <w:autoSpaceDN/>
        <w:bidi w:val="0"/>
        <w:adjustRightInd w:val="0"/>
        <w:snapToGrid w:val="0"/>
        <w:spacing w:line="760" w:lineRule="atLeast"/>
        <w:ind w:firstLine="640" w:firstLineChars="200"/>
        <w:jc w:val="both"/>
        <w:textAlignment w:val="auto"/>
        <w:rPr>
          <w:rFonts w:hint="eastAsia" w:ascii="彩虹粗仿宋" w:hAnsi="彩虹粗仿宋" w:eastAsia="彩虹粗仿宋" w:cs="彩虹粗仿宋"/>
          <w:snapToGrid w:val="0"/>
          <w:kern w:val="0"/>
          <w:sz w:val="32"/>
          <w:szCs w:val="32"/>
        </w:rPr>
      </w:pPr>
      <w:r>
        <w:rPr>
          <w:rFonts w:hint="eastAsia" w:ascii="彩虹粗仿宋" w:hAnsi="彩虹粗仿宋" w:eastAsia="彩虹粗仿宋" w:cs="彩虹粗仿宋"/>
          <w:snapToGrid w:val="0"/>
          <w:kern w:val="0"/>
          <w:sz w:val="32"/>
          <w:szCs w:val="32"/>
        </w:rPr>
        <w:t>供应商应严格按在龙集采系统提交的应答谈判文件中</w:t>
      </w:r>
      <w:r>
        <w:rPr>
          <w:rFonts w:hint="eastAsia" w:ascii="彩虹粗仿宋" w:hAnsi="彩虹粗仿宋" w:eastAsia="彩虹粗仿宋" w:cs="彩虹粗仿宋"/>
          <w:snapToGrid w:val="0"/>
          <w:kern w:val="0"/>
          <w:sz w:val="32"/>
          <w:szCs w:val="32"/>
          <w:lang w:eastAsia="zh-CN"/>
        </w:rPr>
        <w:t>工</w:t>
      </w:r>
      <w:r>
        <w:rPr>
          <w:rFonts w:hint="eastAsia" w:ascii="彩虹粗仿宋" w:hAnsi="彩虹粗仿宋" w:eastAsia="彩虹粗仿宋" w:cs="彩虹粗仿宋"/>
          <w:snapToGrid w:val="0"/>
          <w:kern w:val="0"/>
          <w:sz w:val="32"/>
          <w:szCs w:val="32"/>
        </w:rPr>
        <w:t>程量清单所列明的设施品牌、型号等配置设备及主材进行施工，在施工过程中如需更换设施品牌、型号，须报经建行批准后方可更换，并将安装的设施合格证及检测证书等整理齐备交予建行。</w:t>
      </w:r>
    </w:p>
    <w:p w14:paraId="0108320C">
      <w:pPr>
        <w:keepNext w:val="0"/>
        <w:keepLines w:val="0"/>
        <w:pageBreakBefore w:val="0"/>
        <w:widowControl w:val="0"/>
        <w:numPr>
          <w:ilvl w:val="0"/>
          <w:numId w:val="2"/>
        </w:numPr>
        <w:kinsoku/>
        <w:wordWrap/>
        <w:overflowPunct/>
        <w:topLinePunct w:val="0"/>
        <w:autoSpaceDE/>
        <w:autoSpaceDN/>
        <w:bidi w:val="0"/>
        <w:adjustRightInd w:val="0"/>
        <w:snapToGrid w:val="0"/>
        <w:spacing w:line="760" w:lineRule="atLeast"/>
        <w:ind w:firstLine="640" w:firstLineChars="200"/>
        <w:jc w:val="both"/>
        <w:textAlignment w:val="auto"/>
        <w:rPr>
          <w:rFonts w:ascii="彩虹粗仿宋" w:hAnsi="宋体" w:eastAsia="彩虹粗仿宋" w:cs="Times New Roman"/>
          <w:snapToGrid w:val="0"/>
          <w:kern w:val="0"/>
          <w:sz w:val="32"/>
          <w:szCs w:val="32"/>
        </w:rPr>
      </w:pPr>
      <w:r>
        <w:rPr>
          <w:rFonts w:hint="eastAsia" w:ascii="彩虹粗仿宋" w:hAnsi="彩虹粗仿宋" w:eastAsia="彩虹粗仿宋" w:cs="彩虹粗仿宋"/>
          <w:snapToGrid w:val="0"/>
          <w:kern w:val="0"/>
          <w:sz w:val="32"/>
          <w:szCs w:val="32"/>
          <w:lang w:eastAsia="zh-CN"/>
        </w:rPr>
        <w:t>工程验收要求</w:t>
      </w:r>
    </w:p>
    <w:p w14:paraId="13749BB3">
      <w:pPr>
        <w:keepNext w:val="0"/>
        <w:keepLines w:val="0"/>
        <w:pageBreakBefore w:val="0"/>
        <w:widowControl w:val="0"/>
        <w:numPr>
          <w:ilvl w:val="0"/>
          <w:numId w:val="0"/>
        </w:numPr>
        <w:kinsoku/>
        <w:wordWrap/>
        <w:overflowPunct/>
        <w:topLinePunct w:val="0"/>
        <w:autoSpaceDE/>
        <w:autoSpaceDN/>
        <w:bidi w:val="0"/>
        <w:adjustRightInd w:val="0"/>
        <w:snapToGrid w:val="0"/>
        <w:spacing w:line="760" w:lineRule="atLeast"/>
        <w:ind w:firstLine="640" w:firstLineChars="200"/>
        <w:jc w:val="both"/>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本</w:t>
      </w:r>
      <w:r>
        <w:rPr>
          <w:rFonts w:hint="eastAsia" w:ascii="彩虹粗仿宋" w:hAnsi="宋体" w:eastAsia="彩虹粗仿宋" w:cs="Times New Roman"/>
          <w:snapToGrid w:val="0"/>
          <w:kern w:val="0"/>
          <w:sz w:val="32"/>
          <w:szCs w:val="32"/>
          <w:lang w:eastAsia="zh-CN"/>
        </w:rPr>
        <w:t>项目</w:t>
      </w:r>
      <w:r>
        <w:rPr>
          <w:rFonts w:hint="eastAsia" w:ascii="彩虹粗仿宋" w:hAnsi="宋体" w:eastAsia="彩虹粗仿宋" w:cs="Times New Roman"/>
          <w:snapToGrid w:val="0"/>
          <w:kern w:val="0"/>
          <w:sz w:val="32"/>
          <w:szCs w:val="32"/>
        </w:rPr>
        <w:t>施工质量及内容应达到当地消防监管部门要求，供应商应向建行提供</w:t>
      </w:r>
      <w:r>
        <w:rPr>
          <w:rFonts w:hint="eastAsia" w:ascii="彩虹粗仿宋" w:hAnsi="宋体" w:eastAsia="彩虹粗仿宋" w:cs="Times New Roman"/>
          <w:snapToGrid w:val="0"/>
          <w:kern w:val="0"/>
          <w:sz w:val="32"/>
          <w:szCs w:val="32"/>
          <w:lang w:eastAsia="zh-CN"/>
        </w:rPr>
        <w:t>项目</w:t>
      </w:r>
      <w:r>
        <w:rPr>
          <w:rFonts w:hint="eastAsia" w:ascii="彩虹粗仿宋" w:hAnsi="宋体" w:eastAsia="彩虹粗仿宋" w:cs="Times New Roman"/>
          <w:snapToGrid w:val="0"/>
          <w:kern w:val="0"/>
          <w:sz w:val="32"/>
          <w:szCs w:val="32"/>
        </w:rPr>
        <w:t>设施施工技术档案。</w:t>
      </w:r>
    </w:p>
    <w:p w14:paraId="66AA04A4">
      <w:pPr>
        <w:keepNext w:val="0"/>
        <w:keepLines w:val="0"/>
        <w:pageBreakBefore w:val="0"/>
        <w:widowControl w:val="0"/>
        <w:numPr>
          <w:ilvl w:val="0"/>
          <w:numId w:val="3"/>
        </w:numPr>
        <w:kinsoku/>
        <w:wordWrap/>
        <w:overflowPunct/>
        <w:topLinePunct w:val="0"/>
        <w:autoSpaceDE/>
        <w:autoSpaceDN/>
        <w:bidi w:val="0"/>
        <w:adjustRightInd w:val="0"/>
        <w:snapToGrid w:val="0"/>
        <w:spacing w:line="760" w:lineRule="atLeast"/>
        <w:ind w:left="-10" w:leftChars="0" w:firstLine="640" w:firstLineChars="0"/>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工程进度要求，包括工程进度计划安排、方案等。</w:t>
      </w:r>
    </w:p>
    <w:p w14:paraId="383868EC">
      <w:pPr>
        <w:keepNext w:val="0"/>
        <w:keepLines w:val="0"/>
        <w:pageBreakBefore w:val="0"/>
        <w:widowControl w:val="0"/>
        <w:kinsoku/>
        <w:wordWrap/>
        <w:overflowPunct/>
        <w:topLinePunct w:val="0"/>
        <w:autoSpaceDE/>
        <w:autoSpaceDN/>
        <w:bidi w:val="0"/>
        <w:adjustRightInd w:val="0"/>
        <w:snapToGrid w:val="0"/>
        <w:spacing w:line="760" w:lineRule="atLeast"/>
        <w:ind w:firstLine="640" w:firstLineChars="200"/>
        <w:jc w:val="left"/>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lang w:val="en-US" w:eastAsia="zh-CN"/>
        </w:rPr>
        <w:t>3</w:t>
      </w:r>
      <w:r>
        <w:rPr>
          <w:rFonts w:hint="eastAsia" w:ascii="彩虹粗仿宋" w:hAnsi="宋体" w:eastAsia="彩虹粗仿宋" w:cs="Times New Roman"/>
          <w:snapToGrid w:val="0"/>
          <w:kern w:val="0"/>
          <w:sz w:val="32"/>
          <w:szCs w:val="32"/>
        </w:rPr>
        <w:t>0天。</w:t>
      </w:r>
    </w:p>
    <w:p w14:paraId="6F941676">
      <w:pPr>
        <w:keepNext w:val="0"/>
        <w:keepLines w:val="0"/>
        <w:pageBreakBefore w:val="0"/>
        <w:widowControl w:val="0"/>
        <w:kinsoku/>
        <w:wordWrap/>
        <w:overflowPunct/>
        <w:topLinePunct w:val="0"/>
        <w:autoSpaceDE/>
        <w:autoSpaceDN/>
        <w:bidi w:val="0"/>
        <w:adjustRightInd w:val="0"/>
        <w:snapToGrid w:val="0"/>
        <w:spacing w:line="760" w:lineRule="atLeast"/>
        <w:ind w:firstLine="640" w:firstLineChars="200"/>
        <w:jc w:val="both"/>
        <w:textAlignment w:val="auto"/>
        <w:rPr>
          <w:rFonts w:hint="default"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rPr>
        <w:t>供应商应按约定的有关施工事项和期限，安排施工进度，主动与主体装修供应商联系，在没有建行正式通知变更时间要求的情况下，供应商必须严格按照该时间要求完成相应工作，不得擅自延后或推迟，定期向建行提供项目进度或施工计划报表；若建行正式通知变更时间要求的，则按照变更后的时间点相应调整作业时间。</w:t>
      </w:r>
    </w:p>
    <w:p w14:paraId="3BE14532">
      <w:pPr>
        <w:keepNext w:val="0"/>
        <w:keepLines w:val="0"/>
        <w:pageBreakBefore w:val="0"/>
        <w:widowControl w:val="0"/>
        <w:numPr>
          <w:ilvl w:val="0"/>
          <w:numId w:val="3"/>
        </w:numPr>
        <w:kinsoku/>
        <w:wordWrap/>
        <w:overflowPunct/>
        <w:topLinePunct w:val="0"/>
        <w:autoSpaceDE/>
        <w:autoSpaceDN/>
        <w:bidi w:val="0"/>
        <w:adjustRightInd w:val="0"/>
        <w:snapToGrid w:val="0"/>
        <w:spacing w:line="760" w:lineRule="atLeast"/>
        <w:ind w:left="-10" w:leftChars="0" w:firstLine="640" w:firstLineChars="0"/>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工程保修服务要求，包括保修期限、故障或缺陷响应时间、修复时间等。</w:t>
      </w:r>
    </w:p>
    <w:p w14:paraId="02171BFE">
      <w:pPr>
        <w:keepNext w:val="0"/>
        <w:keepLines w:val="0"/>
        <w:pageBreakBefore w:val="0"/>
        <w:widowControl w:val="0"/>
        <w:kinsoku/>
        <w:wordWrap/>
        <w:overflowPunct/>
        <w:topLinePunct w:val="0"/>
        <w:autoSpaceDE/>
        <w:autoSpaceDN/>
        <w:bidi w:val="0"/>
        <w:adjustRightInd w:val="0"/>
        <w:snapToGrid w:val="0"/>
        <w:spacing w:line="760" w:lineRule="atLeast"/>
        <w:ind w:firstLine="640" w:firstLineChars="200"/>
        <w:jc w:val="both"/>
        <w:textAlignment w:val="auto"/>
        <w:rPr>
          <w:rFonts w:hint="default"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eastAsia="zh-CN"/>
        </w:rPr>
        <w:t>质保期</w:t>
      </w:r>
      <w:r>
        <w:rPr>
          <w:rFonts w:hint="eastAsia" w:ascii="彩虹粗仿宋" w:hAnsi="宋体" w:eastAsia="彩虹粗仿宋" w:cs="Times New Roman"/>
          <w:snapToGrid w:val="0"/>
          <w:kern w:val="0"/>
          <w:sz w:val="32"/>
          <w:szCs w:val="32"/>
          <w:lang w:val="en-US" w:eastAsia="zh-CN"/>
        </w:rPr>
        <w:t>2年，</w:t>
      </w:r>
      <w:r>
        <w:rPr>
          <w:rFonts w:hint="eastAsia" w:ascii="彩虹粗仿宋" w:hAnsi="宋体" w:eastAsia="彩虹粗仿宋" w:cs="Times New Roman"/>
          <w:snapToGrid w:val="0"/>
          <w:kern w:val="0"/>
          <w:sz w:val="32"/>
          <w:szCs w:val="32"/>
        </w:rPr>
        <w:t>保修期</w:t>
      </w:r>
      <w:r>
        <w:rPr>
          <w:rFonts w:hint="eastAsia" w:ascii="彩虹粗仿宋" w:hAnsi="宋体" w:eastAsia="彩虹粗仿宋" w:cs="Times New Roman"/>
          <w:snapToGrid w:val="0"/>
          <w:kern w:val="0"/>
          <w:sz w:val="32"/>
          <w:szCs w:val="32"/>
          <w:lang w:val="en-US" w:eastAsia="zh-CN"/>
        </w:rPr>
        <w:t>5</w:t>
      </w:r>
      <w:r>
        <w:rPr>
          <w:rFonts w:hint="eastAsia" w:ascii="彩虹粗仿宋" w:hAnsi="宋体" w:eastAsia="彩虹粗仿宋" w:cs="Times New Roman"/>
          <w:snapToGrid w:val="0"/>
          <w:kern w:val="0"/>
          <w:sz w:val="32"/>
          <w:szCs w:val="32"/>
        </w:rPr>
        <w:t>年，自该项目验收合格之日起计算。保修期内如项目出现任何质量缺陷或设备故障，供应商须在接到建行通知后 24小时内到达现场，并于1个工作日内完成修复。如超时未能修复的，建行有权委托第三方进行修复，修复所产生的费用由乙方承担或在项目工程价款中扣除。</w:t>
      </w:r>
    </w:p>
    <w:p w14:paraId="1245EB4A">
      <w:pPr>
        <w:keepNext w:val="0"/>
        <w:keepLines w:val="0"/>
        <w:pageBreakBefore w:val="0"/>
        <w:widowControl w:val="0"/>
        <w:numPr>
          <w:ilvl w:val="0"/>
          <w:numId w:val="3"/>
        </w:numPr>
        <w:kinsoku/>
        <w:wordWrap/>
        <w:overflowPunct/>
        <w:topLinePunct w:val="0"/>
        <w:autoSpaceDE/>
        <w:autoSpaceDN/>
        <w:bidi w:val="0"/>
        <w:adjustRightInd w:val="0"/>
        <w:snapToGrid w:val="0"/>
        <w:spacing w:line="760" w:lineRule="atLeast"/>
        <w:ind w:left="-10" w:leftChars="0" w:firstLine="640" w:firstLineChars="0"/>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款项支付要求，包括分期付款要求、付款方式。</w:t>
      </w:r>
    </w:p>
    <w:p w14:paraId="0CBE3C73">
      <w:pPr>
        <w:keepNext w:val="0"/>
        <w:keepLines w:val="0"/>
        <w:pageBreakBefore w:val="0"/>
        <w:widowControl/>
        <w:suppressLineNumbers w:val="0"/>
        <w:kinsoku/>
        <w:wordWrap/>
        <w:overflowPunct/>
        <w:topLinePunct w:val="0"/>
        <w:autoSpaceDE/>
        <w:autoSpaceDN/>
        <w:bidi w:val="0"/>
        <w:spacing w:line="760" w:lineRule="atLeast"/>
        <w:ind w:firstLine="640" w:firstLineChars="200"/>
        <w:jc w:val="both"/>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项目竣工且经</w:t>
      </w:r>
      <w:r>
        <w:rPr>
          <w:rFonts w:hint="eastAsia" w:ascii="彩虹粗仿宋" w:hAnsi="宋体" w:eastAsia="彩虹粗仿宋" w:cs="Times New Roman"/>
          <w:snapToGrid w:val="0"/>
          <w:kern w:val="0"/>
          <w:sz w:val="32"/>
          <w:szCs w:val="32"/>
          <w:lang w:eastAsia="zh-CN"/>
        </w:rPr>
        <w:t>建行验收合格后</w:t>
      </w:r>
      <w:r>
        <w:rPr>
          <w:rFonts w:hint="eastAsia" w:ascii="彩虹粗仿宋" w:hAnsi="宋体" w:eastAsia="彩虹粗仿宋" w:cs="Times New Roman"/>
          <w:snapToGrid w:val="0"/>
          <w:kern w:val="0"/>
          <w:sz w:val="32"/>
          <w:szCs w:val="32"/>
        </w:rPr>
        <w:t>，供应商应向建行提交完整的竣工资料，按照</w:t>
      </w:r>
      <w:r>
        <w:rPr>
          <w:rFonts w:hint="eastAsia" w:ascii="彩虹粗仿宋" w:hAnsi="彩虹粗仿宋" w:eastAsia="彩虹粗仿宋" w:cs="彩虹粗仿宋"/>
          <w:i w:val="0"/>
          <w:iCs w:val="0"/>
          <w:caps w:val="0"/>
          <w:spacing w:val="0"/>
          <w:kern w:val="0"/>
          <w:sz w:val="32"/>
          <w:szCs w:val="32"/>
          <w:shd w:val="clear" w:color="auto" w:fill="FFFFFF"/>
          <w:lang w:val="en-US" w:eastAsia="zh-CN" w:bidi="ar"/>
        </w:rPr>
        <w:t>由建行委托的监理公司出具的工程决算金额</w:t>
      </w:r>
      <w:r>
        <w:rPr>
          <w:rFonts w:hint="eastAsia" w:ascii="彩虹粗仿宋" w:hAnsi="宋体" w:eastAsia="彩虹粗仿宋" w:cs="Times New Roman"/>
          <w:snapToGrid w:val="0"/>
          <w:kern w:val="0"/>
          <w:sz w:val="32"/>
          <w:szCs w:val="32"/>
        </w:rPr>
        <w:t>（工程价款和价外费用均为包含增值税的含税价格，除项目价款外，建行无须支付其他款项，下同）的97%支付工程款;</w:t>
      </w:r>
      <w:r>
        <w:rPr>
          <w:rFonts w:hint="eastAsia" w:ascii="彩虹粗仿宋" w:hAnsi="宋体" w:eastAsia="彩虹粗仿宋" w:cs="Times New Roman"/>
          <w:snapToGrid w:val="0"/>
          <w:kern w:val="0"/>
          <w:sz w:val="32"/>
          <w:szCs w:val="32"/>
          <w:lang w:eastAsia="zh-CN"/>
        </w:rPr>
        <w:t>自建行验收合格</w:t>
      </w:r>
      <w:r>
        <w:rPr>
          <w:rFonts w:hint="eastAsia" w:ascii="彩虹粗仿宋" w:hAnsi="宋体" w:eastAsia="彩虹粗仿宋" w:cs="Times New Roman"/>
          <w:snapToGrid w:val="0"/>
          <w:kern w:val="0"/>
          <w:sz w:val="32"/>
          <w:szCs w:val="32"/>
          <w:lang w:val="en-US" w:eastAsia="zh-CN"/>
        </w:rPr>
        <w:t>2</w:t>
      </w:r>
      <w:r>
        <w:rPr>
          <w:rFonts w:hint="eastAsia" w:ascii="彩虹粗仿宋" w:hAnsi="宋体" w:eastAsia="彩虹粗仿宋" w:cs="Times New Roman"/>
          <w:snapToGrid w:val="0"/>
          <w:kern w:val="0"/>
          <w:sz w:val="32"/>
          <w:szCs w:val="32"/>
        </w:rPr>
        <w:t>年内所改造项目运行正常稳定后30日内，</w:t>
      </w:r>
      <w:r>
        <w:rPr>
          <w:rFonts w:hint="eastAsia" w:ascii="彩虹粗仿宋" w:hAnsi="宋体" w:eastAsia="彩虹粗仿宋" w:cs="Times New Roman"/>
          <w:snapToGrid w:val="0"/>
          <w:kern w:val="0"/>
          <w:sz w:val="32"/>
          <w:szCs w:val="32"/>
          <w:lang w:eastAsia="zh-CN"/>
        </w:rPr>
        <w:t>供应商开具收据后，建行</w:t>
      </w:r>
      <w:r>
        <w:rPr>
          <w:rFonts w:hint="eastAsia" w:ascii="彩虹粗仿宋" w:hAnsi="宋体" w:eastAsia="彩虹粗仿宋" w:cs="Times New Roman"/>
          <w:snapToGrid w:val="0"/>
          <w:kern w:val="0"/>
          <w:sz w:val="32"/>
          <w:szCs w:val="32"/>
        </w:rPr>
        <w:t>向供应商支付</w:t>
      </w:r>
      <w:r>
        <w:rPr>
          <w:rFonts w:hint="eastAsia" w:ascii="彩虹粗仿宋" w:hAnsi="彩虹粗仿宋" w:eastAsia="彩虹粗仿宋" w:cs="彩虹粗仿宋"/>
          <w:i w:val="0"/>
          <w:iCs w:val="0"/>
          <w:caps w:val="0"/>
          <w:spacing w:val="0"/>
          <w:kern w:val="0"/>
          <w:sz w:val="32"/>
          <w:szCs w:val="32"/>
          <w:shd w:val="clear" w:color="auto" w:fill="FFFFFF"/>
          <w:lang w:val="en-US" w:eastAsia="zh-CN" w:bidi="ar"/>
        </w:rPr>
        <w:t>由建行委托的监理公司出具的工程决算金额</w:t>
      </w:r>
      <w:r>
        <w:rPr>
          <w:rFonts w:hint="eastAsia" w:ascii="彩虹粗仿宋" w:hAnsi="宋体" w:eastAsia="彩虹粗仿宋" w:cs="Times New Roman"/>
          <w:snapToGrid w:val="0"/>
          <w:kern w:val="0"/>
          <w:sz w:val="32"/>
          <w:szCs w:val="32"/>
        </w:rPr>
        <w:t>（工程价款和价外费用均为包含增值税的含税价格，除项目价款外，建行无须支付其他款项）的</w:t>
      </w:r>
      <w:r>
        <w:rPr>
          <w:rFonts w:hint="eastAsia" w:ascii="彩虹粗仿宋" w:hAnsi="宋体" w:eastAsia="彩虹粗仿宋" w:cs="Times New Roman"/>
          <w:snapToGrid w:val="0"/>
          <w:kern w:val="0"/>
          <w:sz w:val="32"/>
          <w:szCs w:val="32"/>
          <w:lang w:val="en-US" w:eastAsia="zh-CN"/>
        </w:rPr>
        <w:t>3</w:t>
      </w:r>
      <w:r>
        <w:rPr>
          <w:rFonts w:hint="eastAsia" w:ascii="彩虹粗仿宋" w:hAnsi="宋体" w:eastAsia="彩虹粗仿宋" w:cs="Times New Roman"/>
          <w:snapToGrid w:val="0"/>
          <w:kern w:val="0"/>
          <w:sz w:val="32"/>
          <w:szCs w:val="32"/>
        </w:rPr>
        <w:t>%支付工程款。</w:t>
      </w:r>
    </w:p>
    <w:p w14:paraId="5F9D05AC">
      <w:pPr>
        <w:keepNext w:val="0"/>
        <w:keepLines w:val="0"/>
        <w:pageBreakBefore w:val="0"/>
        <w:widowControl/>
        <w:suppressLineNumbers w:val="0"/>
        <w:kinsoku/>
        <w:wordWrap/>
        <w:overflowPunct/>
        <w:topLinePunct w:val="0"/>
        <w:autoSpaceDE/>
        <w:autoSpaceDN/>
        <w:bidi w:val="0"/>
        <w:spacing w:line="760" w:lineRule="atLeast"/>
        <w:ind w:firstLine="640" w:firstLineChars="200"/>
        <w:jc w:val="both"/>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若因建行按年度财务计划年度入账周期有所调整，</w:t>
      </w:r>
      <w:r>
        <w:rPr>
          <w:rFonts w:hint="eastAsia" w:ascii="彩虹粗仿宋" w:hAnsi="宋体" w:eastAsia="彩虹粗仿宋" w:cs="Times New Roman"/>
          <w:snapToGrid w:val="0"/>
          <w:kern w:val="0"/>
          <w:sz w:val="32"/>
          <w:szCs w:val="32"/>
          <w:lang w:eastAsia="zh-CN"/>
        </w:rPr>
        <w:t>或建行报账系统故障等原因</w:t>
      </w:r>
      <w:r>
        <w:rPr>
          <w:rFonts w:hint="eastAsia" w:ascii="彩虹粗仿宋" w:hAnsi="宋体" w:eastAsia="彩虹粗仿宋" w:cs="Times New Roman"/>
          <w:snapToGrid w:val="0"/>
          <w:kern w:val="0"/>
          <w:sz w:val="32"/>
          <w:szCs w:val="32"/>
        </w:rPr>
        <w:t>不能及时支付工程价款的，建行有权延期支付，不属于违约支付。</w:t>
      </w:r>
    </w:p>
    <w:p w14:paraId="21EFFDD7">
      <w:pPr>
        <w:keepNext w:val="0"/>
        <w:keepLines w:val="0"/>
        <w:pageBreakBefore w:val="0"/>
        <w:widowControl w:val="0"/>
        <w:numPr>
          <w:ilvl w:val="0"/>
          <w:numId w:val="3"/>
        </w:numPr>
        <w:kinsoku/>
        <w:wordWrap/>
        <w:overflowPunct/>
        <w:topLinePunct w:val="0"/>
        <w:autoSpaceDE/>
        <w:autoSpaceDN/>
        <w:bidi w:val="0"/>
        <w:adjustRightInd w:val="0"/>
        <w:snapToGrid w:val="0"/>
        <w:spacing w:line="760" w:lineRule="atLeast"/>
        <w:ind w:left="-10" w:leftChars="0" w:firstLine="640" w:firstLineChars="0"/>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售后服务要求。</w:t>
      </w:r>
    </w:p>
    <w:p w14:paraId="58A248AA">
      <w:pPr>
        <w:keepNext w:val="0"/>
        <w:keepLines w:val="0"/>
        <w:pageBreakBefore w:val="0"/>
        <w:widowControl w:val="0"/>
        <w:numPr>
          <w:ilvl w:val="0"/>
          <w:numId w:val="0"/>
        </w:numPr>
        <w:kinsoku/>
        <w:wordWrap/>
        <w:overflowPunct/>
        <w:topLinePunct w:val="0"/>
        <w:autoSpaceDE/>
        <w:autoSpaceDN/>
        <w:bidi w:val="0"/>
        <w:adjustRightInd w:val="0"/>
        <w:snapToGrid w:val="0"/>
        <w:spacing w:line="760" w:lineRule="atLeast"/>
        <w:ind w:leftChars="200"/>
        <w:textAlignment w:val="auto"/>
        <w:rPr>
          <w:rFonts w:hint="eastAsia" w:ascii="彩虹粗仿宋" w:hAnsi="宋体" w:eastAsia="彩虹粗仿宋" w:cs="Times New Roman"/>
          <w:snapToGrid w:val="0"/>
          <w:kern w:val="0"/>
          <w:sz w:val="32"/>
          <w:szCs w:val="32"/>
          <w:lang w:val="en-US" w:eastAsia="zh-CN"/>
        </w:rPr>
      </w:pPr>
      <w:r>
        <w:rPr>
          <w:rFonts w:hint="eastAsia" w:ascii="彩虹粗仿宋" w:hAnsi="宋体" w:eastAsia="彩虹粗仿宋" w:cs="Times New Roman"/>
          <w:snapToGrid w:val="0"/>
          <w:kern w:val="0"/>
          <w:sz w:val="32"/>
          <w:szCs w:val="32"/>
          <w:lang w:val="en-US" w:eastAsia="zh-CN"/>
        </w:rPr>
        <w:t xml:space="preserve"> 无。</w:t>
      </w:r>
    </w:p>
    <w:p w14:paraId="544D5CE7">
      <w:pPr>
        <w:keepNext w:val="0"/>
        <w:keepLines w:val="0"/>
        <w:pageBreakBefore w:val="0"/>
        <w:widowControl w:val="0"/>
        <w:numPr>
          <w:ilvl w:val="0"/>
          <w:numId w:val="3"/>
        </w:numPr>
        <w:kinsoku/>
        <w:wordWrap/>
        <w:overflowPunct/>
        <w:topLinePunct w:val="0"/>
        <w:autoSpaceDE/>
        <w:autoSpaceDN/>
        <w:bidi w:val="0"/>
        <w:adjustRightInd w:val="0"/>
        <w:snapToGrid w:val="0"/>
        <w:spacing w:line="760" w:lineRule="atLeast"/>
        <w:ind w:left="-10" w:leftChars="0" w:firstLine="640" w:firstLineChars="0"/>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报价要求。</w:t>
      </w:r>
    </w:p>
    <w:p w14:paraId="7E94BF40">
      <w:pPr>
        <w:keepNext w:val="0"/>
        <w:keepLines w:val="0"/>
        <w:pageBreakBefore w:val="0"/>
        <w:widowControl w:val="0"/>
        <w:kinsoku/>
        <w:wordWrap/>
        <w:overflowPunct/>
        <w:topLinePunct w:val="0"/>
        <w:autoSpaceDE/>
        <w:autoSpaceDN/>
        <w:bidi w:val="0"/>
        <w:adjustRightInd w:val="0"/>
        <w:snapToGrid w:val="0"/>
        <w:spacing w:line="760" w:lineRule="atLeast"/>
        <w:ind w:firstLine="640" w:firstLineChars="200"/>
        <w:textAlignment w:val="auto"/>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以人民币元为单位进行报价。</w:t>
      </w:r>
    </w:p>
    <w:p w14:paraId="70DC9D68">
      <w:pPr>
        <w:keepNext w:val="0"/>
        <w:keepLines w:val="0"/>
        <w:pageBreakBefore w:val="0"/>
        <w:widowControl w:val="0"/>
        <w:numPr>
          <w:ilvl w:val="0"/>
          <w:numId w:val="3"/>
        </w:numPr>
        <w:kinsoku/>
        <w:wordWrap/>
        <w:overflowPunct/>
        <w:topLinePunct w:val="0"/>
        <w:autoSpaceDE/>
        <w:autoSpaceDN/>
        <w:bidi w:val="0"/>
        <w:spacing w:line="760" w:lineRule="atLeast"/>
        <w:ind w:left="-10" w:leftChars="0" w:firstLine="640" w:firstLineChars="0"/>
        <w:textAlignment w:val="auto"/>
        <w:rPr>
          <w:rFonts w:hint="eastAsia"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其他要求。</w:t>
      </w:r>
    </w:p>
    <w:p w14:paraId="22650047">
      <w:pPr>
        <w:keepNext w:val="0"/>
        <w:keepLines w:val="0"/>
        <w:pageBreakBefore w:val="0"/>
        <w:widowControl w:val="0"/>
        <w:kinsoku/>
        <w:wordWrap/>
        <w:overflowPunct/>
        <w:topLinePunct w:val="0"/>
        <w:autoSpaceDE/>
        <w:autoSpaceDN/>
        <w:bidi w:val="0"/>
        <w:adjustRightInd w:val="0"/>
        <w:snapToGrid w:val="0"/>
        <w:spacing w:line="760" w:lineRule="atLeast"/>
        <w:ind w:firstLine="640" w:firstLineChars="200"/>
        <w:textAlignment w:val="auto"/>
        <w:rPr>
          <w:rFonts w:hint="default" w:ascii="彩虹粗仿宋" w:hAnsi="Calibri" w:eastAsia="彩虹粗仿宋" w:cs="Times New Roman"/>
          <w:sz w:val="32"/>
          <w:szCs w:val="32"/>
          <w:lang w:val="en-US" w:eastAsia="zh-CN"/>
        </w:rPr>
      </w:pPr>
      <w:r>
        <w:rPr>
          <w:rFonts w:hint="eastAsia" w:ascii="彩虹粗仿宋" w:hAnsi="Calibri" w:eastAsia="彩虹粗仿宋" w:cs="Times New Roman"/>
          <w:sz w:val="32"/>
          <w:szCs w:val="32"/>
        </w:rPr>
        <w:t>邀请函发出后第二天可自行前往查看施工现场，联系</w:t>
      </w:r>
      <w:r>
        <w:rPr>
          <w:rFonts w:hint="eastAsia" w:ascii="彩虹粗仿宋" w:eastAsia="彩虹粗仿宋" w:cs="Times New Roman"/>
          <w:sz w:val="32"/>
          <w:szCs w:val="32"/>
          <w:lang w:eastAsia="zh-CN"/>
        </w:rPr>
        <w:t>及协调</w:t>
      </w:r>
      <w:r>
        <w:rPr>
          <w:rFonts w:hint="eastAsia" w:ascii="彩虹粗仿宋" w:hAnsi="Calibri" w:eastAsia="彩虹粗仿宋" w:cs="Times New Roman"/>
          <w:sz w:val="32"/>
          <w:szCs w:val="32"/>
        </w:rPr>
        <w:t>人</w:t>
      </w:r>
      <w:r>
        <w:rPr>
          <w:rFonts w:hint="eastAsia" w:ascii="彩虹粗仿宋" w:eastAsia="彩虹粗仿宋" w:cs="Times New Roman"/>
          <w:sz w:val="32"/>
          <w:szCs w:val="32"/>
          <w:lang w:eastAsia="zh-CN"/>
        </w:rPr>
        <w:t>徐继民</w:t>
      </w:r>
      <w:r>
        <w:rPr>
          <w:rFonts w:hint="eastAsia" w:ascii="彩虹粗仿宋" w:hAnsi="Calibri" w:eastAsia="彩虹粗仿宋" w:cs="Times New Roman"/>
          <w:sz w:val="32"/>
          <w:szCs w:val="32"/>
        </w:rPr>
        <w:t>，联系电话</w:t>
      </w:r>
      <w:r>
        <w:rPr>
          <w:rFonts w:hint="eastAsia" w:ascii="彩虹粗仿宋" w:eastAsia="彩虹粗仿宋" w:cs="Times New Roman"/>
          <w:sz w:val="32"/>
          <w:szCs w:val="32"/>
          <w:lang w:val="en-US" w:eastAsia="zh-CN"/>
        </w:rPr>
        <w:t>0530-5912970   18653060788</w:t>
      </w:r>
    </w:p>
    <w:p w14:paraId="42F4078C">
      <w:pPr>
        <w:keepNext w:val="0"/>
        <w:keepLines w:val="0"/>
        <w:pageBreakBefore w:val="0"/>
        <w:widowControl w:val="0"/>
        <w:numPr>
          <w:ilvl w:val="0"/>
          <w:numId w:val="0"/>
        </w:numPr>
        <w:kinsoku/>
        <w:wordWrap/>
        <w:overflowPunct/>
        <w:topLinePunct w:val="0"/>
        <w:autoSpaceDE/>
        <w:autoSpaceDN/>
        <w:bidi w:val="0"/>
        <w:spacing w:line="760" w:lineRule="atLeast"/>
        <w:ind w:leftChars="200"/>
        <w:textAlignment w:val="auto"/>
        <w:rPr>
          <w:rFonts w:hint="eastAsia" w:ascii="彩虹粗仿宋" w:hAnsi="宋体" w:eastAsia="彩虹粗仿宋" w:cs="Times New Roman"/>
          <w:snapToGrid w:val="0"/>
          <w:kern w:val="0"/>
          <w:sz w:val="32"/>
          <w:szCs w:val="32"/>
        </w:rPr>
      </w:pPr>
    </w:p>
    <w:p w14:paraId="41293C3C">
      <w:pPr>
        <w:ind w:firstLine="420" w:firstLineChars="200"/>
      </w:pPr>
    </w:p>
    <w:p w14:paraId="122B7CA4">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FF24B2"/>
    <w:multiLevelType w:val="singleLevel"/>
    <w:tmpl w:val="EDFF24B2"/>
    <w:lvl w:ilvl="0" w:tentative="0">
      <w:start w:val="2"/>
      <w:numFmt w:val="chineseCounting"/>
      <w:suff w:val="nothing"/>
      <w:lvlText w:val="（%1）"/>
      <w:lvlJc w:val="left"/>
      <w:rPr>
        <w:rFonts w:hint="eastAsia"/>
      </w:rPr>
    </w:lvl>
  </w:abstractNum>
  <w:abstractNum w:abstractNumId="1">
    <w:nsid w:val="F07FF3C0"/>
    <w:multiLevelType w:val="singleLevel"/>
    <w:tmpl w:val="F07FF3C0"/>
    <w:lvl w:ilvl="0" w:tentative="0">
      <w:start w:val="4"/>
      <w:numFmt w:val="chineseCounting"/>
      <w:suff w:val="nothing"/>
      <w:lvlText w:val="%1、"/>
      <w:lvlJc w:val="left"/>
      <w:pPr>
        <w:ind w:left="-10"/>
      </w:pPr>
      <w:rPr>
        <w:rFonts w:hint="eastAsia"/>
      </w:rPr>
    </w:lvl>
  </w:abstractNum>
  <w:abstractNum w:abstractNumId="2">
    <w:nsid w:val="F5767D4F"/>
    <w:multiLevelType w:val="singleLevel"/>
    <w:tmpl w:val="F5767D4F"/>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5561DA"/>
    <w:rsid w:val="321320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2025-12-01T10:05:00Z</dcterms:created>
  <dc:creator>CCB</dc:creator>
  <cp:lastModifiedBy>苗文青</cp:lastModifiedBy>
  <dcterms:modified xsi:type="dcterms:W3CDTF">2025-12-03T12:07:53Z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C7661E5F8A6C45DA94333933EF699170_12</vt:lpwstr>
  </property>
</Properties>
</file>