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jc w:val="center"/>
      </w:pPr>
      <w:r>
        <w:rPr>
          <w:rFonts w:hint="eastAsia"/>
        </w:rPr>
        <w:t>夏邑支行公安</w:t>
      </w:r>
      <w:r>
        <w:t>110联网报警服务</w:t>
      </w:r>
    </w:p>
    <w:p>
      <w:pPr>
        <w:adjustRightInd w:val="0"/>
        <w:snapToGrid w:val="0"/>
        <w:spacing w:line="560" w:lineRule="exact"/>
        <w:ind w:firstLine="640" w:firstLineChars="200"/>
        <w:rPr>
          <w:rFonts w:ascii="彩虹黑体" w:hAnsi="宋体" w:eastAsia="彩虹黑体"/>
          <w:snapToGrid w:val="0"/>
          <w:kern w:val="0"/>
          <w:sz w:val="32"/>
          <w:szCs w:val="32"/>
        </w:rPr>
      </w:pPr>
      <w:r>
        <w:rPr>
          <w:rFonts w:hint="eastAsia" w:ascii="彩虹黑体" w:hAnsi="宋体" w:eastAsia="彩虹黑体"/>
          <w:snapToGrid w:val="0"/>
          <w:kern w:val="0"/>
          <w:sz w:val="32"/>
          <w:szCs w:val="32"/>
        </w:rPr>
        <w:t>一、对候选供应商的要求</w:t>
      </w:r>
    </w:p>
    <w:p>
      <w:pPr>
        <w:adjustRightInd w:val="0"/>
        <w:snapToGrid w:val="0"/>
        <w:spacing w:line="560" w:lineRule="exact"/>
        <w:ind w:firstLine="640" w:firstLineChars="200"/>
        <w:rPr>
          <w:rStyle w:val="5"/>
          <w:rFonts w:ascii="彩虹粗仿宋" w:hAnsi="微软雅黑" w:eastAsia="彩虹粗仿宋"/>
          <w:color w:val="auto"/>
          <w:sz w:val="32"/>
          <w:szCs w:val="32"/>
        </w:rPr>
      </w:pPr>
      <w:r>
        <w:rPr>
          <w:rStyle w:val="5"/>
          <w:rFonts w:hint="eastAsia" w:ascii="彩虹粗仿宋" w:hAnsi="微软雅黑" w:eastAsia="彩虹粗仿宋"/>
          <w:color w:val="auto"/>
          <w:sz w:val="32"/>
          <w:szCs w:val="32"/>
        </w:rPr>
        <w:t>（一）具有独立法人资格，有效的营业执照。</w:t>
      </w:r>
    </w:p>
    <w:p>
      <w:pPr>
        <w:adjustRightInd w:val="0"/>
        <w:snapToGrid w:val="0"/>
        <w:spacing w:line="560" w:lineRule="exact"/>
        <w:ind w:firstLine="640" w:firstLineChars="200"/>
        <w:rPr>
          <w:rStyle w:val="5"/>
          <w:rFonts w:ascii="彩虹粗仿宋" w:hAnsi="微软雅黑" w:eastAsia="彩虹粗仿宋"/>
          <w:color w:val="auto"/>
          <w:sz w:val="32"/>
          <w:szCs w:val="32"/>
        </w:rPr>
      </w:pPr>
      <w:r>
        <w:rPr>
          <w:rStyle w:val="5"/>
          <w:rFonts w:hint="eastAsia" w:ascii="彩虹粗仿宋" w:hAnsi="微软雅黑" w:eastAsia="彩虹粗仿宋"/>
          <w:color w:val="auto"/>
          <w:sz w:val="32"/>
          <w:szCs w:val="32"/>
        </w:rPr>
        <w:t>（二）正常经营，财务状况良好，提供近三年提供近三年</w:t>
      </w:r>
      <w:r>
        <w:rPr>
          <w:rStyle w:val="5"/>
          <w:rFonts w:ascii="彩虹粗仿宋" w:hAnsi="微软雅黑" w:eastAsia="彩虹粗仿宋"/>
          <w:color w:val="auto"/>
          <w:sz w:val="32"/>
          <w:szCs w:val="32"/>
        </w:rPr>
        <w:t>的经审计的财务报告或财务报表（新成立企业从成立日计算）</w:t>
      </w:r>
    </w:p>
    <w:p>
      <w:pPr>
        <w:adjustRightInd w:val="0"/>
        <w:snapToGrid w:val="0"/>
        <w:spacing w:line="560" w:lineRule="exact"/>
        <w:ind w:firstLine="640" w:firstLineChars="200"/>
        <w:rPr>
          <w:rStyle w:val="5"/>
          <w:rFonts w:ascii="彩虹粗仿宋" w:hAnsi="微软雅黑" w:eastAsia="彩虹粗仿宋"/>
          <w:color w:val="auto"/>
          <w:sz w:val="32"/>
          <w:szCs w:val="32"/>
        </w:rPr>
      </w:pPr>
      <w:r>
        <w:rPr>
          <w:rStyle w:val="5"/>
          <w:rFonts w:hint="eastAsia" w:ascii="彩虹粗仿宋" w:hAnsi="微软雅黑" w:eastAsia="彩虹粗仿宋"/>
          <w:color w:val="auto"/>
          <w:sz w:val="32"/>
          <w:szCs w:val="32"/>
        </w:rPr>
        <w:t>（三）具有固定的办公场所、健全的组织管理机构。</w:t>
      </w:r>
    </w:p>
    <w:p>
      <w:pPr>
        <w:adjustRightInd w:val="0"/>
        <w:snapToGrid w:val="0"/>
        <w:spacing w:line="560" w:lineRule="exact"/>
        <w:ind w:firstLine="640" w:firstLineChars="200"/>
        <w:rPr>
          <w:rStyle w:val="5"/>
          <w:rFonts w:ascii="彩虹粗仿宋" w:hAnsi="微软雅黑" w:eastAsia="彩虹粗仿宋"/>
          <w:color w:val="auto"/>
          <w:sz w:val="32"/>
          <w:szCs w:val="32"/>
        </w:rPr>
      </w:pPr>
      <w:r>
        <w:rPr>
          <w:rStyle w:val="5"/>
          <w:rFonts w:hint="eastAsia" w:ascii="彩虹粗仿宋" w:hAnsi="微软雅黑" w:eastAsia="彩虹粗仿宋"/>
          <w:color w:val="auto"/>
          <w:sz w:val="32"/>
          <w:szCs w:val="32"/>
        </w:rPr>
        <w:t>（四）近三年以来具有</w:t>
      </w:r>
      <w:r>
        <w:rPr>
          <w:rStyle w:val="5"/>
          <w:rFonts w:ascii="彩虹粗仿宋" w:hAnsi="微软雅黑" w:eastAsia="彩虹粗仿宋"/>
          <w:color w:val="auto"/>
          <w:sz w:val="32"/>
          <w:szCs w:val="32"/>
        </w:rPr>
        <w:t>110报警同类项目经验（提供合同）。</w:t>
      </w:r>
    </w:p>
    <w:p>
      <w:pPr>
        <w:adjustRightInd w:val="0"/>
        <w:snapToGrid w:val="0"/>
        <w:spacing w:line="560" w:lineRule="exact"/>
        <w:ind w:firstLine="640" w:firstLineChars="200"/>
        <w:rPr>
          <w:rStyle w:val="5"/>
          <w:rFonts w:ascii="彩虹粗仿宋" w:hAnsi="微软雅黑" w:eastAsia="彩虹粗仿宋"/>
          <w:color w:val="auto"/>
          <w:sz w:val="32"/>
          <w:szCs w:val="32"/>
        </w:rPr>
      </w:pPr>
      <w:r>
        <w:rPr>
          <w:rStyle w:val="5"/>
          <w:rFonts w:hint="eastAsia" w:ascii="彩虹粗仿宋" w:hAnsi="微软雅黑" w:eastAsia="彩虹粗仿宋"/>
          <w:color w:val="auto"/>
          <w:sz w:val="32"/>
          <w:szCs w:val="32"/>
        </w:rPr>
        <w:t>（五）</w:t>
      </w:r>
      <w:r>
        <w:rPr>
          <w:rFonts w:hint="eastAsia" w:ascii="彩虹粗仿宋" w:eastAsia="彩虹粗仿宋"/>
          <w:sz w:val="32"/>
        </w:rPr>
        <w:t>供应商当前未被“信用中国”网站列入重大税收违法失信主体（https://www.creditchina.gov.cn/xinyongfuwu/zhongdashuishouweifaanjian/）；未被“中国执行信息公开网”列入失信被执行人名单（http://zxgk.court.gov.cn/shixin/）；未被“中国政府采购网”列入政府采购严重违法失信行为记录名单（http://www.ccgp.gov.cn/search/cr/）；未被“国家企业信用信息公示系统”网站列入严重违法失信名单（黑名单）http://www.gsxt.gov.cn/index.html）（投标人出具网页截图）</w:t>
      </w:r>
    </w:p>
    <w:p>
      <w:pPr>
        <w:adjustRightInd w:val="0"/>
        <w:snapToGrid w:val="0"/>
        <w:spacing w:line="560" w:lineRule="exact"/>
        <w:ind w:firstLine="640" w:firstLineChars="200"/>
        <w:rPr>
          <w:rFonts w:ascii="彩虹黑体" w:hAnsi="宋体" w:eastAsia="彩虹黑体"/>
          <w:snapToGrid w:val="0"/>
          <w:kern w:val="0"/>
          <w:sz w:val="32"/>
          <w:szCs w:val="32"/>
        </w:rPr>
      </w:pPr>
      <w:r>
        <w:rPr>
          <w:rFonts w:hint="eastAsia" w:ascii="彩虹黑体" w:hAnsi="宋体" w:eastAsia="彩虹黑体"/>
          <w:snapToGrid w:val="0"/>
          <w:kern w:val="0"/>
          <w:sz w:val="32"/>
          <w:szCs w:val="32"/>
        </w:rPr>
        <w:t>二、服务基本内容</w:t>
      </w:r>
    </w:p>
    <w:p>
      <w:pPr>
        <w:adjustRightInd w:val="0"/>
        <w:snapToGrid w:val="0"/>
        <w:spacing w:line="600" w:lineRule="exact"/>
        <w:ind w:firstLine="640" w:firstLineChars="200"/>
        <w:rPr>
          <w:rFonts w:ascii="彩虹粗仿宋" w:hAnsi="宋体" w:eastAsia="彩虹粗仿宋"/>
          <w:snapToGrid w:val="0"/>
          <w:kern w:val="0"/>
          <w:sz w:val="32"/>
          <w:szCs w:val="32"/>
        </w:rPr>
      </w:pPr>
      <w:r>
        <w:rPr>
          <w:rFonts w:hint="eastAsia" w:ascii="彩虹粗仿宋" w:hAnsi="宋体" w:eastAsia="彩虹粗仿宋"/>
          <w:snapToGrid w:val="0"/>
          <w:kern w:val="0"/>
          <w:sz w:val="32"/>
          <w:szCs w:val="32"/>
        </w:rPr>
        <w:t>（一）商品品类</w:t>
      </w:r>
    </w:p>
    <w:tbl>
      <w:tblPr>
        <w:tblStyle w:val="3"/>
        <w:tblW w:w="943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53"/>
        <w:gridCol w:w="3240"/>
        <w:gridCol w:w="1659"/>
        <w:gridCol w:w="268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6" w:hRule="atLeast"/>
          <w:jc w:val="center"/>
        </w:trPr>
        <w:tc>
          <w:tcPr>
            <w:tcW w:w="1853" w:type="dxa"/>
            <w:noWrap w:val="0"/>
            <w:vAlign w:val="center"/>
          </w:tcPr>
          <w:p>
            <w:pPr>
              <w:adjustRightInd w:val="0"/>
              <w:snapToGrid w:val="0"/>
              <w:spacing w:line="560" w:lineRule="exact"/>
              <w:rPr>
                <w:rFonts w:ascii="彩虹粗仿宋" w:hAnsi="宋体" w:eastAsia="彩虹粗仿宋"/>
                <w:snapToGrid w:val="0"/>
                <w:kern w:val="0"/>
                <w:sz w:val="24"/>
                <w:szCs w:val="24"/>
              </w:rPr>
            </w:pPr>
            <w:r>
              <w:rPr>
                <w:rFonts w:hint="eastAsia" w:ascii="彩虹粗仿宋" w:hAnsi="宋体" w:eastAsia="彩虹粗仿宋"/>
                <w:snapToGrid w:val="0"/>
                <w:kern w:val="0"/>
                <w:sz w:val="24"/>
                <w:szCs w:val="24"/>
              </w:rPr>
              <w:t>品类编码</w:t>
            </w:r>
          </w:p>
        </w:tc>
        <w:tc>
          <w:tcPr>
            <w:tcW w:w="3240" w:type="dxa"/>
            <w:noWrap w:val="0"/>
            <w:vAlign w:val="center"/>
          </w:tcPr>
          <w:p>
            <w:pPr>
              <w:adjustRightInd w:val="0"/>
              <w:snapToGrid w:val="0"/>
              <w:spacing w:line="560" w:lineRule="exact"/>
              <w:rPr>
                <w:rFonts w:ascii="彩虹粗仿宋" w:hAnsi="宋体" w:eastAsia="彩虹粗仿宋"/>
                <w:snapToGrid w:val="0"/>
                <w:kern w:val="0"/>
                <w:sz w:val="24"/>
                <w:szCs w:val="24"/>
              </w:rPr>
            </w:pPr>
            <w:r>
              <w:rPr>
                <w:rFonts w:hint="eastAsia" w:ascii="彩虹粗仿宋" w:hAnsi="宋体" w:eastAsia="彩虹粗仿宋"/>
                <w:snapToGrid w:val="0"/>
                <w:kern w:val="0"/>
                <w:sz w:val="24"/>
                <w:szCs w:val="24"/>
              </w:rPr>
              <w:t>品类</w:t>
            </w:r>
          </w:p>
        </w:tc>
        <w:tc>
          <w:tcPr>
            <w:tcW w:w="1659" w:type="dxa"/>
            <w:noWrap w:val="0"/>
            <w:vAlign w:val="center"/>
          </w:tcPr>
          <w:p>
            <w:pPr>
              <w:adjustRightInd w:val="0"/>
              <w:snapToGrid w:val="0"/>
              <w:spacing w:line="560" w:lineRule="exact"/>
              <w:rPr>
                <w:rFonts w:ascii="彩虹粗仿宋" w:hAnsi="宋体" w:eastAsia="彩虹粗仿宋"/>
                <w:snapToGrid w:val="0"/>
                <w:kern w:val="0"/>
                <w:sz w:val="24"/>
                <w:szCs w:val="24"/>
              </w:rPr>
            </w:pPr>
            <w:r>
              <w:rPr>
                <w:rFonts w:hint="eastAsia" w:ascii="彩虹粗仿宋" w:hAnsi="宋体" w:eastAsia="彩虹粗仿宋"/>
                <w:snapToGrid w:val="0"/>
                <w:kern w:val="0"/>
                <w:sz w:val="24"/>
                <w:szCs w:val="24"/>
              </w:rPr>
              <w:t>品类编码</w:t>
            </w:r>
          </w:p>
        </w:tc>
        <w:tc>
          <w:tcPr>
            <w:tcW w:w="2686" w:type="dxa"/>
            <w:noWrap w:val="0"/>
            <w:vAlign w:val="center"/>
          </w:tcPr>
          <w:p>
            <w:pPr>
              <w:adjustRightInd w:val="0"/>
              <w:snapToGrid w:val="0"/>
              <w:spacing w:line="560" w:lineRule="exact"/>
              <w:rPr>
                <w:rFonts w:ascii="彩虹粗仿宋" w:hAnsi="宋体" w:eastAsia="彩虹粗仿宋"/>
                <w:snapToGrid w:val="0"/>
                <w:kern w:val="0"/>
                <w:sz w:val="24"/>
                <w:szCs w:val="24"/>
              </w:rPr>
            </w:pPr>
            <w:r>
              <w:rPr>
                <w:rFonts w:hint="eastAsia" w:ascii="彩虹粗仿宋" w:hAnsi="宋体" w:eastAsia="彩虹粗仿宋"/>
                <w:snapToGrid w:val="0"/>
                <w:kern w:val="0"/>
                <w:sz w:val="24"/>
                <w:szCs w:val="24"/>
              </w:rPr>
              <w:t>品类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0" w:hRule="atLeast"/>
          <w:jc w:val="center"/>
        </w:trPr>
        <w:tc>
          <w:tcPr>
            <w:tcW w:w="1853" w:type="dxa"/>
            <w:noWrap w:val="0"/>
            <w:vAlign w:val="center"/>
          </w:tcPr>
          <w:p>
            <w:pPr>
              <w:adjustRightInd w:val="0"/>
              <w:snapToGrid w:val="0"/>
              <w:spacing w:line="560" w:lineRule="exact"/>
              <w:rPr>
                <w:rFonts w:ascii="彩虹粗仿宋" w:hAnsi="宋体" w:eastAsia="彩虹粗仿宋"/>
                <w:snapToGrid w:val="0"/>
                <w:kern w:val="0"/>
                <w:sz w:val="24"/>
                <w:szCs w:val="24"/>
              </w:rPr>
            </w:pPr>
            <w:r>
              <w:rPr>
                <w:rFonts w:hint="eastAsia" w:ascii="彩虹粗仿宋" w:hAnsi="宋体" w:eastAsia="彩虹粗仿宋"/>
                <w:snapToGrid w:val="0"/>
                <w:kern w:val="0"/>
                <w:sz w:val="24"/>
                <w:szCs w:val="24"/>
              </w:rPr>
              <w:t>C21</w:t>
            </w:r>
          </w:p>
        </w:tc>
        <w:tc>
          <w:tcPr>
            <w:tcW w:w="3240" w:type="dxa"/>
            <w:noWrap w:val="0"/>
            <w:vAlign w:val="center"/>
          </w:tcPr>
          <w:p>
            <w:pPr>
              <w:adjustRightInd w:val="0"/>
              <w:snapToGrid w:val="0"/>
              <w:spacing w:line="560" w:lineRule="exact"/>
              <w:rPr>
                <w:rFonts w:ascii="彩虹粗仿宋" w:hAnsi="宋体" w:eastAsia="彩虹粗仿宋"/>
                <w:snapToGrid w:val="0"/>
                <w:kern w:val="0"/>
                <w:sz w:val="24"/>
                <w:szCs w:val="24"/>
              </w:rPr>
            </w:pPr>
            <w:r>
              <w:rPr>
                <w:rFonts w:hint="eastAsia" w:ascii="彩虹粗仿宋" w:hAnsi="宋体" w:eastAsia="彩虹粗仿宋"/>
                <w:snapToGrid w:val="0"/>
                <w:kern w:val="0"/>
                <w:sz w:val="24"/>
                <w:szCs w:val="24"/>
              </w:rPr>
              <w:t>安防、值守及巡查服务</w:t>
            </w:r>
          </w:p>
        </w:tc>
        <w:tc>
          <w:tcPr>
            <w:tcW w:w="1659" w:type="dxa"/>
            <w:noWrap w:val="0"/>
            <w:vAlign w:val="center"/>
          </w:tcPr>
          <w:p>
            <w:pPr>
              <w:adjustRightInd w:val="0"/>
              <w:snapToGrid w:val="0"/>
              <w:spacing w:line="560" w:lineRule="exact"/>
              <w:rPr>
                <w:rFonts w:ascii="彩虹粗仿宋" w:hAnsi="宋体" w:eastAsia="彩虹粗仿宋"/>
                <w:snapToGrid w:val="0"/>
                <w:kern w:val="0"/>
                <w:sz w:val="24"/>
                <w:szCs w:val="24"/>
              </w:rPr>
            </w:pPr>
            <w:r>
              <w:rPr>
                <w:rFonts w:hint="eastAsia" w:ascii="彩虹粗仿宋" w:hAnsi="宋体" w:eastAsia="彩虹粗仿宋"/>
                <w:snapToGrid w:val="0"/>
                <w:kern w:val="0"/>
                <w:sz w:val="24"/>
                <w:szCs w:val="24"/>
              </w:rPr>
              <w:t>C2109</w:t>
            </w:r>
          </w:p>
        </w:tc>
        <w:tc>
          <w:tcPr>
            <w:tcW w:w="2686" w:type="dxa"/>
            <w:noWrap w:val="0"/>
            <w:vAlign w:val="center"/>
          </w:tcPr>
          <w:p>
            <w:pPr>
              <w:adjustRightInd w:val="0"/>
              <w:snapToGrid w:val="0"/>
              <w:spacing w:line="560" w:lineRule="exact"/>
              <w:rPr>
                <w:rFonts w:ascii="彩虹粗仿宋" w:hAnsi="宋体" w:eastAsia="彩虹粗仿宋"/>
                <w:snapToGrid w:val="0"/>
                <w:kern w:val="0"/>
                <w:sz w:val="24"/>
                <w:szCs w:val="24"/>
              </w:rPr>
            </w:pPr>
            <w:r>
              <w:rPr>
                <w:rFonts w:hint="eastAsia" w:ascii="彩虹粗仿宋" w:hAnsi="宋体" w:eastAsia="彩虹粗仿宋"/>
                <w:snapToGrid w:val="0"/>
                <w:kern w:val="0"/>
                <w:sz w:val="24"/>
                <w:szCs w:val="24"/>
              </w:rPr>
              <w:t>监控报警专线服务</w:t>
            </w:r>
          </w:p>
        </w:tc>
      </w:tr>
    </w:tbl>
    <w:p>
      <w:pPr>
        <w:adjustRightInd w:val="0"/>
        <w:snapToGrid w:val="0"/>
        <w:spacing w:line="600" w:lineRule="exact"/>
        <w:ind w:firstLine="640" w:firstLineChars="200"/>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（二）服务内容</w:t>
      </w:r>
    </w:p>
    <w:p>
      <w:pPr>
        <w:pStyle w:val="6"/>
        <w:ind w:firstLine="640"/>
        <w:rPr>
          <w:rFonts w:ascii="彩虹粗仿宋" w:hAnsi="彩虹粗仿宋" w:eastAsia="彩虹粗仿宋" w:cs="彩虹粗仿宋"/>
          <w:sz w:val="32"/>
          <w:szCs w:val="32"/>
        </w:rPr>
      </w:pPr>
      <w:r>
        <w:rPr>
          <w:rFonts w:hint="eastAsia" w:ascii="彩虹粗仿宋" w:hAnsi="彩虹粗仿宋" w:eastAsia="彩虹粗仿宋" w:cs="彩虹粗仿宋"/>
          <w:snapToGrid w:val="0"/>
          <w:kern w:val="0"/>
          <w:sz w:val="32"/>
          <w:szCs w:val="32"/>
        </w:rPr>
        <w:t>夏邑所辖重点部位（金库）、营业网点、离行式自助银行（自助设备）、办公楼、档案库、计算机房等重点部位联网报警设施、设备及相关配件的安装、更换、调试、维修、巡检及迁移，对联网报警设备进行报警测试、监控、警情处置等服务项目，</w:t>
      </w:r>
      <w:r>
        <w:rPr>
          <w:rFonts w:hint="eastAsia" w:ascii="彩虹粗仿宋" w:hAnsi="彩虹粗仿宋" w:eastAsia="彩虹粗仿宋" w:cs="彩虹粗仿宋"/>
          <w:sz w:val="32"/>
          <w:szCs w:val="32"/>
        </w:rPr>
        <w:t>对报警设备巡检维修维护及时，确保守护目标的安全。</w:t>
      </w:r>
    </w:p>
    <w:p>
      <w:pPr>
        <w:adjustRightInd w:val="0"/>
        <w:snapToGrid w:val="0"/>
        <w:spacing w:line="560" w:lineRule="exact"/>
        <w:ind w:firstLine="640" w:firstLineChars="200"/>
        <w:rPr>
          <w:rFonts w:ascii="彩虹黑体" w:hAnsi="宋体" w:eastAsia="彩虹黑体"/>
          <w:snapToGrid w:val="0"/>
          <w:kern w:val="0"/>
          <w:sz w:val="32"/>
          <w:szCs w:val="32"/>
        </w:rPr>
      </w:pPr>
      <w:r>
        <w:rPr>
          <w:rFonts w:hint="eastAsia" w:ascii="彩虹黑体" w:hAnsi="宋体" w:eastAsia="彩虹黑体"/>
          <w:snapToGrid w:val="0"/>
          <w:kern w:val="0"/>
          <w:sz w:val="32"/>
          <w:szCs w:val="32"/>
        </w:rPr>
        <w:t>三、服务团队要求</w:t>
      </w:r>
    </w:p>
    <w:p>
      <w:pPr>
        <w:adjustRightInd w:val="0"/>
        <w:snapToGrid w:val="0"/>
        <w:spacing w:line="600" w:lineRule="exact"/>
        <w:ind w:firstLine="640" w:firstLineChars="200"/>
        <w:rPr>
          <w:rFonts w:ascii="彩虹粗仿宋" w:hAnsi="彩虹粗仿宋" w:eastAsia="彩虹粗仿宋" w:cs="彩虹粗仿宋"/>
          <w:kern w:val="0"/>
          <w:sz w:val="32"/>
          <w:szCs w:val="32"/>
        </w:rPr>
      </w:pPr>
      <w:r>
        <w:rPr>
          <w:rFonts w:hint="eastAsia" w:ascii="彩虹粗仿宋" w:hAnsi="彩虹粗仿宋" w:eastAsia="彩虹粗仿宋" w:cs="彩虹粗仿宋"/>
          <w:kern w:val="0"/>
          <w:sz w:val="32"/>
          <w:szCs w:val="32"/>
        </w:rPr>
        <w:t>（一）供应商安排1名团队负责人做日常对接，且具有110联网报警服务经验2年以上；</w:t>
      </w:r>
    </w:p>
    <w:p>
      <w:pPr>
        <w:adjustRightInd w:val="0"/>
        <w:snapToGrid w:val="0"/>
        <w:spacing w:line="600" w:lineRule="exact"/>
        <w:ind w:firstLine="640" w:firstLineChars="200"/>
        <w:rPr>
          <w:rFonts w:ascii="彩虹粗仿宋" w:hAnsi="彩虹粗仿宋" w:eastAsia="彩虹粗仿宋" w:cs="彩虹粗仿宋"/>
          <w:kern w:val="0"/>
          <w:sz w:val="32"/>
          <w:szCs w:val="32"/>
        </w:rPr>
      </w:pPr>
      <w:r>
        <w:rPr>
          <w:rFonts w:hint="eastAsia" w:ascii="彩虹粗仿宋" w:hAnsi="彩虹粗仿宋" w:eastAsia="彩虹粗仿宋" w:cs="彩虹粗仿宋"/>
          <w:kern w:val="0"/>
          <w:sz w:val="32"/>
          <w:szCs w:val="32"/>
        </w:rPr>
        <w:t>（二）团队人员经过专业培训，能正常维修设备故障；</w:t>
      </w:r>
    </w:p>
    <w:p>
      <w:pPr>
        <w:adjustRightInd w:val="0"/>
        <w:snapToGrid w:val="0"/>
        <w:spacing w:line="600" w:lineRule="exact"/>
        <w:ind w:firstLine="640" w:firstLineChars="200"/>
        <w:rPr>
          <w:rFonts w:ascii="彩虹粗仿宋" w:hAnsi="彩虹粗仿宋" w:eastAsia="彩虹粗仿宋" w:cs="彩虹粗仿宋"/>
          <w:kern w:val="0"/>
          <w:sz w:val="32"/>
          <w:szCs w:val="32"/>
        </w:rPr>
      </w:pPr>
      <w:r>
        <w:rPr>
          <w:rFonts w:hint="eastAsia" w:ascii="彩虹粗仿宋" w:hAnsi="彩虹粗仿宋" w:eastAsia="彩虹粗仿宋" w:cs="彩虹粗仿宋"/>
          <w:kern w:val="0"/>
          <w:sz w:val="32"/>
          <w:szCs w:val="32"/>
        </w:rPr>
        <w:t>（三）供应商公司服务人员按照我行的要求完成每次的工作任务，遵章守纪，合规履职；</w:t>
      </w:r>
    </w:p>
    <w:p>
      <w:pPr>
        <w:adjustRightInd w:val="0"/>
        <w:snapToGrid w:val="0"/>
        <w:spacing w:line="600" w:lineRule="exact"/>
        <w:ind w:firstLine="640" w:firstLineChars="200"/>
        <w:rPr>
          <w:rFonts w:ascii="彩虹粗仿宋" w:hAnsi="彩虹粗仿宋" w:eastAsia="彩虹粗仿宋" w:cs="彩虹粗仿宋"/>
          <w:kern w:val="0"/>
          <w:sz w:val="32"/>
          <w:szCs w:val="32"/>
        </w:rPr>
      </w:pPr>
      <w:r>
        <w:rPr>
          <w:rFonts w:hint="eastAsia" w:ascii="彩虹粗仿宋" w:hAnsi="彩虹粗仿宋" w:eastAsia="彩虹粗仿宋" w:cs="彩虹粗仿宋"/>
          <w:kern w:val="0"/>
          <w:sz w:val="32"/>
          <w:szCs w:val="32"/>
        </w:rPr>
        <w:t>（四）服务团队为我行服务人员提供营运期间的支持保障及应急工作；</w:t>
      </w:r>
    </w:p>
    <w:p>
      <w:pPr>
        <w:adjustRightInd w:val="0"/>
        <w:snapToGrid w:val="0"/>
        <w:spacing w:line="560" w:lineRule="exact"/>
        <w:ind w:firstLine="640" w:firstLineChars="200"/>
        <w:rPr>
          <w:rFonts w:ascii="彩虹粗仿宋" w:hAnsi="彩虹粗仿宋" w:eastAsia="彩虹粗仿宋" w:cs="彩虹粗仿宋"/>
          <w:kern w:val="0"/>
          <w:sz w:val="32"/>
          <w:szCs w:val="32"/>
        </w:rPr>
      </w:pPr>
      <w:r>
        <w:rPr>
          <w:rFonts w:hint="eastAsia" w:ascii="彩虹粗仿宋" w:hAnsi="彩虹粗仿宋" w:eastAsia="彩虹粗仿宋" w:cs="彩虹粗仿宋"/>
          <w:kern w:val="0"/>
          <w:sz w:val="32"/>
          <w:szCs w:val="32"/>
        </w:rPr>
        <w:t>（五）团队人员具备一定的专业技能，能正确处理服务中出现的各种情况并进行有效处置。</w:t>
      </w:r>
    </w:p>
    <w:p>
      <w:pPr>
        <w:adjustRightInd w:val="0"/>
        <w:snapToGrid w:val="0"/>
        <w:spacing w:line="560" w:lineRule="exact"/>
        <w:ind w:firstLine="640" w:firstLineChars="200"/>
        <w:rPr>
          <w:rFonts w:ascii="彩虹黑体" w:hAnsi="宋体" w:eastAsia="彩虹黑体"/>
          <w:snapToGrid w:val="0"/>
          <w:kern w:val="0"/>
          <w:sz w:val="32"/>
          <w:szCs w:val="32"/>
        </w:rPr>
      </w:pPr>
      <w:r>
        <w:rPr>
          <w:rFonts w:hint="eastAsia" w:ascii="彩虹黑体" w:hAnsi="宋体" w:eastAsia="彩虹黑体"/>
          <w:snapToGrid w:val="0"/>
          <w:kern w:val="0"/>
          <w:sz w:val="32"/>
          <w:szCs w:val="32"/>
        </w:rPr>
        <w:t>四、服务质量要求</w:t>
      </w:r>
    </w:p>
    <w:p>
      <w:pPr>
        <w:adjustRightInd w:val="0"/>
        <w:snapToGrid w:val="0"/>
        <w:spacing w:line="600" w:lineRule="exact"/>
        <w:ind w:firstLine="640" w:firstLineChars="200"/>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（一）服务质量标准</w:t>
      </w:r>
    </w:p>
    <w:p>
      <w:pPr>
        <w:adjustRightInd w:val="0"/>
        <w:snapToGrid w:val="0"/>
        <w:spacing w:line="600" w:lineRule="exact"/>
        <w:ind w:firstLine="640" w:firstLineChars="200"/>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1、供应商承诺按照协议约定的服务内容向我行提供合格的服务，接受我行对其工作的指导和监督。</w:t>
      </w:r>
    </w:p>
    <w:p>
      <w:pPr>
        <w:adjustRightInd w:val="0"/>
        <w:snapToGrid w:val="0"/>
        <w:spacing w:line="600" w:lineRule="exact"/>
        <w:ind w:firstLine="640" w:firstLineChars="200"/>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2、按照我行的服务需求，配备和提供服务人员。不得泄漏因服务而取得的任何我行的业务信息。</w:t>
      </w:r>
    </w:p>
    <w:p>
      <w:pPr>
        <w:adjustRightInd w:val="0"/>
        <w:snapToGrid w:val="0"/>
        <w:spacing w:line="600" w:lineRule="exact"/>
        <w:ind w:firstLine="640" w:firstLineChars="200"/>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3、供应商负责制定与受托业务相关的内控制度、操作规程、人员考核等办法，并报我行备案；供应商不得将其在协议约定项下任一事项转让或分包给第三方。</w:t>
      </w:r>
    </w:p>
    <w:p>
      <w:pPr>
        <w:adjustRightInd w:val="0"/>
        <w:snapToGrid w:val="0"/>
        <w:spacing w:line="600" w:lineRule="exact"/>
        <w:ind w:firstLine="640" w:firstLineChars="200"/>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4、供应商负责与服务人员签订符合《劳动法》的正式合同，负责劳动用工以及涉及劳动关系管理的所有事宜。供应商应承诺服务人员的基本保障性工资不低于所在工作地区最低工资标准，按照国家规定缴纳社会保险等。</w:t>
      </w:r>
    </w:p>
    <w:p>
      <w:pPr>
        <w:adjustRightInd w:val="0"/>
        <w:snapToGrid w:val="0"/>
        <w:spacing w:line="600" w:lineRule="exact"/>
        <w:ind w:firstLine="640" w:firstLineChars="200"/>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5、供应商应确保与公安局“110”报警服务平台的信息畅通，达到公安部门服务的要求。做好所辖110报警设备日常的故障排查工作，确保技术人员配备，保障设备良好运行。</w:t>
      </w:r>
    </w:p>
    <w:p>
      <w:pPr>
        <w:adjustRightInd w:val="0"/>
        <w:snapToGrid w:val="0"/>
        <w:spacing w:line="600" w:lineRule="exact"/>
        <w:ind w:firstLine="640" w:firstLineChars="200"/>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（二）风险控制要求</w:t>
      </w:r>
    </w:p>
    <w:p>
      <w:pPr>
        <w:adjustRightInd w:val="0"/>
        <w:snapToGrid w:val="0"/>
        <w:spacing w:line="600" w:lineRule="exact"/>
        <w:ind w:firstLine="640" w:firstLineChars="200"/>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供应商不得以我行名义进行用工管理或开展生产经营活动，服务人员应与供应商公司依法订立劳动合同，防范服务类业务用工风险。</w:t>
      </w:r>
    </w:p>
    <w:p>
      <w:pPr>
        <w:adjustRightInd w:val="0"/>
        <w:snapToGrid w:val="0"/>
        <w:spacing w:line="600" w:lineRule="exact"/>
        <w:ind w:firstLine="640" w:firstLineChars="200"/>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1）在110报警联网维护服务过程中均涉及服务人员的使用和管理，我行具体负责服务人员的业务培训和规范操作，指导、监督服务人员按章办事，一是110报警服务人员在执勤中，维护我行的设备正常运行，发现问题及时报告处理；二是利用物联网平台系统，监督检查服务的同时，及时接收处理巡护人员的反馈的情况，防范事（案）件的发生。</w:t>
      </w:r>
    </w:p>
    <w:p>
      <w:pPr>
        <w:adjustRightInd w:val="0"/>
        <w:snapToGrid w:val="0"/>
        <w:spacing w:line="600" w:lineRule="exact"/>
        <w:ind w:firstLine="640" w:firstLineChars="200"/>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（2）每季度至少开展一次供应商公司服务检查，并形成检查报告，召开联席会对检查中发现的问题进行通报，限期整改和落实，每年度结束后形成年度评估报告。</w:t>
      </w:r>
    </w:p>
    <w:p>
      <w:pPr>
        <w:adjustRightInd w:val="0"/>
        <w:snapToGrid w:val="0"/>
        <w:spacing w:line="600" w:lineRule="exact"/>
        <w:ind w:firstLine="640" w:firstLineChars="200"/>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（3）建立健全安全责任制，完善沟通协作机制。根据110报警联网维护服务不同工作性质，明确人员岗位职责，规范流程，不断提升服务人员的业务素质和技能，为我行提供更加安全的110报警服务。</w:t>
      </w:r>
    </w:p>
    <w:p>
      <w:pPr>
        <w:adjustRightInd w:val="0"/>
        <w:snapToGrid w:val="0"/>
        <w:spacing w:line="600" w:lineRule="exact"/>
        <w:ind w:firstLine="640" w:firstLineChars="200"/>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（三）保密要求</w:t>
      </w:r>
    </w:p>
    <w:p>
      <w:pPr>
        <w:adjustRightInd w:val="0"/>
        <w:snapToGrid w:val="0"/>
        <w:spacing w:line="600" w:lineRule="exact"/>
        <w:ind w:firstLine="640" w:firstLineChars="200"/>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1、服务人员只能掌握了解工作需要的相关信息，不得将我行信息资料以任何方式透露给其他任何机构或个人。</w:t>
      </w:r>
    </w:p>
    <w:p>
      <w:pPr>
        <w:adjustRightInd w:val="0"/>
        <w:snapToGrid w:val="0"/>
        <w:spacing w:line="600" w:lineRule="exact"/>
        <w:ind w:firstLine="640" w:firstLineChars="200"/>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2、服务人员须签订保密协议，不得利用工作之便窃取、收买或者非法提供他人申请信息资料进行各种非法活动。</w:t>
      </w:r>
    </w:p>
    <w:p>
      <w:pPr>
        <w:adjustRightInd w:val="0"/>
        <w:snapToGrid w:val="0"/>
        <w:spacing w:line="600" w:lineRule="exact"/>
        <w:ind w:firstLine="640" w:firstLineChars="200"/>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3、由于</w:t>
      </w:r>
      <w:r>
        <w:rPr>
          <w:rFonts w:hint="eastAsia" w:ascii="彩虹粗仿宋" w:hAnsi="彩虹粗仿宋" w:eastAsia="彩虹粗仿宋" w:cs="彩虹粗仿宋"/>
          <w:kern w:val="0"/>
          <w:sz w:val="32"/>
          <w:szCs w:val="32"/>
        </w:rPr>
        <w:t>供应商</w:t>
      </w:r>
      <w:r>
        <w:rPr>
          <w:rFonts w:hint="eastAsia" w:ascii="彩虹粗仿宋" w:hAnsi="彩虹粗仿宋" w:eastAsia="彩虹粗仿宋" w:cs="彩虹粗仿宋"/>
          <w:snapToGrid w:val="0"/>
          <w:kern w:val="0"/>
          <w:sz w:val="32"/>
          <w:szCs w:val="32"/>
        </w:rPr>
        <w:t>公司及公司服务人员原因导致我行及客户信息泄漏的，我行将追究相关法律责任。</w:t>
      </w:r>
    </w:p>
    <w:p>
      <w:pPr>
        <w:adjustRightInd w:val="0"/>
        <w:snapToGrid w:val="0"/>
        <w:spacing w:line="600" w:lineRule="exact"/>
        <w:ind w:firstLine="640" w:firstLineChars="200"/>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4、</w:t>
      </w:r>
      <w:r>
        <w:rPr>
          <w:rFonts w:hint="eastAsia" w:ascii="彩虹粗仿宋" w:hAnsi="彩虹粗仿宋" w:eastAsia="彩虹粗仿宋" w:cs="彩虹粗仿宋"/>
          <w:kern w:val="0"/>
          <w:sz w:val="32"/>
          <w:szCs w:val="32"/>
        </w:rPr>
        <w:t>供应商</w:t>
      </w:r>
      <w:r>
        <w:rPr>
          <w:rFonts w:hint="eastAsia" w:ascii="彩虹粗仿宋" w:hAnsi="彩虹粗仿宋" w:eastAsia="彩虹粗仿宋" w:cs="彩虹粗仿宋"/>
          <w:snapToGrid w:val="0"/>
          <w:kern w:val="0"/>
          <w:sz w:val="32"/>
          <w:szCs w:val="32"/>
        </w:rPr>
        <w:t>应严守我行的商业秘密、技术秘密和其他商业及业务信息，不得泄露。</w:t>
      </w:r>
    </w:p>
    <w:p>
      <w:pPr>
        <w:adjustRightInd w:val="0"/>
        <w:snapToGrid w:val="0"/>
        <w:spacing w:line="600" w:lineRule="exact"/>
        <w:ind w:firstLine="640" w:firstLineChars="200"/>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（四）应急预案要求</w:t>
      </w:r>
    </w:p>
    <w:p>
      <w:pPr>
        <w:adjustRightInd w:val="0"/>
        <w:snapToGrid w:val="0"/>
        <w:spacing w:line="600" w:lineRule="exact"/>
        <w:ind w:firstLine="640" w:firstLineChars="200"/>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1、</w:t>
      </w:r>
      <w:r>
        <w:rPr>
          <w:rFonts w:hint="eastAsia" w:ascii="彩虹粗仿宋" w:hAnsi="彩虹粗仿宋" w:eastAsia="彩虹粗仿宋" w:cs="彩虹粗仿宋"/>
          <w:kern w:val="0"/>
          <w:sz w:val="32"/>
          <w:szCs w:val="32"/>
        </w:rPr>
        <w:t>供应商</w:t>
      </w:r>
      <w:r>
        <w:rPr>
          <w:rFonts w:hint="eastAsia" w:ascii="彩虹粗仿宋" w:hAnsi="彩虹粗仿宋" w:eastAsia="彩虹粗仿宋" w:cs="彩虹粗仿宋"/>
          <w:snapToGrid w:val="0"/>
          <w:kern w:val="0"/>
          <w:sz w:val="32"/>
          <w:szCs w:val="32"/>
        </w:rPr>
        <w:t>公司应制定相关应急预案，演练预案场景、预案分工、预案演练、预案评估，并明确应急处置流程。</w:t>
      </w:r>
    </w:p>
    <w:p>
      <w:pPr>
        <w:adjustRightInd w:val="0"/>
        <w:snapToGrid w:val="0"/>
        <w:spacing w:line="600" w:lineRule="exact"/>
        <w:ind w:firstLine="640" w:firstLineChars="200"/>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2、因服务人员原因造成我行及客户信息泄露、客户投诉等风险，</w:t>
      </w:r>
      <w:r>
        <w:rPr>
          <w:rFonts w:hint="eastAsia" w:ascii="彩虹粗仿宋" w:hAnsi="彩虹粗仿宋" w:eastAsia="彩虹粗仿宋" w:cs="彩虹粗仿宋"/>
          <w:kern w:val="0"/>
          <w:sz w:val="32"/>
          <w:szCs w:val="32"/>
        </w:rPr>
        <w:t>供应商</w:t>
      </w:r>
      <w:r>
        <w:rPr>
          <w:rFonts w:hint="eastAsia" w:ascii="彩虹粗仿宋" w:hAnsi="彩虹粗仿宋" w:eastAsia="彩虹粗仿宋" w:cs="彩虹粗仿宋"/>
          <w:snapToGrid w:val="0"/>
          <w:kern w:val="0"/>
          <w:sz w:val="32"/>
          <w:szCs w:val="32"/>
        </w:rPr>
        <w:t>公司应立即向我行报告，同时启动应急预案，沟通协商解决办法，防止事态扩大。</w:t>
      </w:r>
    </w:p>
    <w:p>
      <w:pPr>
        <w:adjustRightInd w:val="0"/>
        <w:snapToGrid w:val="0"/>
        <w:spacing w:line="600" w:lineRule="exact"/>
        <w:ind w:firstLine="640" w:firstLineChars="200"/>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3、由于</w:t>
      </w:r>
      <w:r>
        <w:rPr>
          <w:rFonts w:hint="eastAsia" w:ascii="彩虹粗仿宋" w:hAnsi="彩虹粗仿宋" w:eastAsia="彩虹粗仿宋" w:cs="彩虹粗仿宋"/>
          <w:kern w:val="0"/>
          <w:sz w:val="32"/>
          <w:szCs w:val="32"/>
        </w:rPr>
        <w:t>供应商</w:t>
      </w:r>
      <w:r>
        <w:rPr>
          <w:rFonts w:hint="eastAsia" w:ascii="彩虹粗仿宋" w:hAnsi="彩虹粗仿宋" w:eastAsia="彩虹粗仿宋" w:cs="彩虹粗仿宋"/>
          <w:snapToGrid w:val="0"/>
          <w:kern w:val="0"/>
          <w:sz w:val="32"/>
          <w:szCs w:val="32"/>
        </w:rPr>
        <w:t>公司原因（如：服务中断）引起突发事件的，我行应立即启动相应应急预案，妥善处置问题，积极争取恢复生产。</w:t>
      </w:r>
    </w:p>
    <w:p>
      <w:pPr>
        <w:adjustRightInd w:val="0"/>
        <w:snapToGrid w:val="0"/>
        <w:spacing w:line="600" w:lineRule="exact"/>
        <w:ind w:firstLine="640" w:firstLineChars="200"/>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4、造成我行经济损失的，应按照相关法律法规、合同约定进行索赔。造成我行声誉损失的，应要求</w:t>
      </w:r>
      <w:r>
        <w:rPr>
          <w:rFonts w:hint="eastAsia" w:ascii="彩虹粗仿宋" w:hAnsi="彩虹粗仿宋" w:eastAsia="彩虹粗仿宋" w:cs="彩虹粗仿宋"/>
          <w:kern w:val="0"/>
          <w:sz w:val="32"/>
          <w:szCs w:val="32"/>
        </w:rPr>
        <w:t>供应商</w:t>
      </w:r>
      <w:r>
        <w:rPr>
          <w:rFonts w:hint="eastAsia" w:ascii="彩虹粗仿宋" w:hAnsi="彩虹粗仿宋" w:eastAsia="彩虹粗仿宋" w:cs="彩虹粗仿宋"/>
          <w:snapToGrid w:val="0"/>
          <w:kern w:val="0"/>
          <w:sz w:val="32"/>
          <w:szCs w:val="32"/>
        </w:rPr>
        <w:t>公司积极配合我行采取措施消除影响、恢复声誉。涉嫌违法犯罪的，应及时向公安机关报案。</w:t>
      </w:r>
    </w:p>
    <w:p>
      <w:pPr>
        <w:adjustRightInd w:val="0"/>
        <w:snapToGrid w:val="0"/>
        <w:spacing w:line="600" w:lineRule="exact"/>
        <w:ind w:firstLine="640" w:firstLineChars="200"/>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5、在处理事（案）件过程中要时刻向我行报告进展情况，待风险解除后，形成书面报告报送我行，我行综合评估后确定是否继续开展此服务事项。</w:t>
      </w:r>
    </w:p>
    <w:p>
      <w:pPr>
        <w:spacing w:line="600" w:lineRule="exact"/>
        <w:ind w:firstLine="640" w:firstLineChars="200"/>
        <w:rPr>
          <w:rFonts w:ascii="彩虹粗仿宋" w:hAnsi="彩虹粗仿宋" w:eastAsia="彩虹粗仿宋" w:cs="彩虹粗仿宋"/>
          <w:sz w:val="32"/>
          <w:szCs w:val="32"/>
        </w:rPr>
      </w:pPr>
      <w:r>
        <w:rPr>
          <w:rFonts w:hint="eastAsia" w:ascii="彩虹粗仿宋" w:hAnsi="彩虹粗仿宋" w:eastAsia="彩虹粗仿宋" w:cs="彩虹粗仿宋"/>
          <w:snapToGrid w:val="0"/>
          <w:kern w:val="0"/>
          <w:sz w:val="32"/>
          <w:szCs w:val="32"/>
        </w:rPr>
        <w:t>（五）</w:t>
      </w:r>
      <w:r>
        <w:rPr>
          <w:rFonts w:hint="eastAsia" w:ascii="彩虹粗仿宋" w:hAnsi="彩虹粗仿宋" w:eastAsia="彩虹粗仿宋" w:cs="彩虹粗仿宋"/>
          <w:sz w:val="32"/>
          <w:szCs w:val="32"/>
        </w:rPr>
        <w:t>消保条款要求</w:t>
      </w:r>
    </w:p>
    <w:p>
      <w:pPr>
        <w:spacing w:line="600" w:lineRule="exact"/>
        <w:ind w:firstLine="640" w:firstLineChars="200"/>
        <w:rPr>
          <w:rFonts w:ascii="彩虹粗仿宋" w:hAnsi="彩虹粗仿宋" w:eastAsia="彩虹粗仿宋" w:cs="彩虹粗仿宋"/>
          <w:sz w:val="32"/>
          <w:szCs w:val="32"/>
        </w:rPr>
      </w:pPr>
      <w:r>
        <w:rPr>
          <w:rFonts w:hint="eastAsia" w:ascii="彩虹粗仿宋" w:hAnsi="彩虹粗仿宋" w:eastAsia="彩虹粗仿宋" w:cs="彩虹粗仿宋"/>
          <w:sz w:val="32"/>
          <w:szCs w:val="32"/>
        </w:rPr>
        <w:t>1.个人信息保护条款</w:t>
      </w:r>
    </w:p>
    <w:p>
      <w:pPr>
        <w:spacing w:line="600" w:lineRule="exact"/>
        <w:ind w:firstLine="640" w:firstLineChars="200"/>
        <w:rPr>
          <w:rFonts w:ascii="彩虹粗仿宋" w:hAnsi="彩虹粗仿宋" w:eastAsia="彩虹粗仿宋" w:cs="彩虹粗仿宋"/>
          <w:sz w:val="32"/>
          <w:szCs w:val="32"/>
        </w:rPr>
      </w:pPr>
      <w:r>
        <w:rPr>
          <w:rFonts w:hint="eastAsia" w:ascii="彩虹粗仿宋" w:hAnsi="彩虹粗仿宋" w:eastAsia="彩虹粗仿宋" w:cs="彩虹粗仿宋"/>
          <w:sz w:val="32"/>
          <w:szCs w:val="32"/>
        </w:rPr>
        <w:t>（1）明确双方职责、保密义务及个人信息保护条款措施、个人信息发生泄露的违约责任；约定合作机构的保密义务不因服务的终止而终止；</w:t>
      </w:r>
    </w:p>
    <w:p>
      <w:pPr>
        <w:spacing w:line="600" w:lineRule="exact"/>
        <w:ind w:firstLine="640" w:firstLineChars="200"/>
        <w:rPr>
          <w:rFonts w:ascii="彩虹粗仿宋" w:hAnsi="彩虹粗仿宋" w:eastAsia="彩虹粗仿宋" w:cs="彩虹粗仿宋"/>
          <w:sz w:val="32"/>
          <w:szCs w:val="32"/>
        </w:rPr>
      </w:pPr>
      <w:r>
        <w:rPr>
          <w:rFonts w:hint="eastAsia" w:ascii="彩虹粗仿宋" w:hAnsi="彩虹粗仿宋" w:eastAsia="彩虹粗仿宋" w:cs="彩虹粗仿宋"/>
          <w:sz w:val="32"/>
          <w:szCs w:val="32"/>
        </w:rPr>
        <w:t>（2）合作机构不得在未获得客户同意的前提下将获得的个人信息进一步提供给其他第三方；</w:t>
      </w:r>
    </w:p>
    <w:p>
      <w:pPr>
        <w:spacing w:line="600" w:lineRule="exact"/>
        <w:ind w:firstLine="640" w:firstLineChars="200"/>
        <w:rPr>
          <w:rFonts w:ascii="彩虹粗仿宋" w:hAnsi="彩虹粗仿宋" w:eastAsia="彩虹粗仿宋" w:cs="彩虹粗仿宋"/>
          <w:sz w:val="32"/>
          <w:szCs w:val="32"/>
        </w:rPr>
      </w:pPr>
      <w:r>
        <w:rPr>
          <w:rFonts w:hint="eastAsia" w:ascii="彩虹粗仿宋" w:hAnsi="彩虹粗仿宋" w:eastAsia="彩虹粗仿宋" w:cs="彩虹粗仿宋"/>
          <w:sz w:val="32"/>
          <w:szCs w:val="32"/>
        </w:rPr>
        <w:t>（3）合作机构向个人信息主体征得收集个人信息的明确同意授权；</w:t>
      </w:r>
    </w:p>
    <w:p>
      <w:pPr>
        <w:spacing w:line="600" w:lineRule="exact"/>
        <w:ind w:firstLine="640" w:firstLineChars="200"/>
        <w:rPr>
          <w:rFonts w:ascii="彩虹粗仿宋" w:hAnsi="彩虹粗仿宋" w:eastAsia="彩虹粗仿宋" w:cs="彩虹粗仿宋"/>
          <w:sz w:val="32"/>
          <w:szCs w:val="32"/>
        </w:rPr>
      </w:pPr>
      <w:r>
        <w:rPr>
          <w:rFonts w:hint="eastAsia" w:ascii="彩虹粗仿宋" w:hAnsi="彩虹粗仿宋" w:eastAsia="彩虹粗仿宋" w:cs="彩虹粗仿宋"/>
          <w:sz w:val="32"/>
          <w:szCs w:val="32"/>
        </w:rPr>
        <w:t>（4）在双方合作关系终止时，应确保其不再存储我行相关个人信息。</w:t>
      </w:r>
    </w:p>
    <w:p>
      <w:pPr>
        <w:spacing w:line="600" w:lineRule="exact"/>
        <w:ind w:firstLine="640" w:firstLineChars="200"/>
        <w:rPr>
          <w:rFonts w:ascii="彩虹粗仿宋" w:hAnsi="彩虹粗仿宋" w:eastAsia="彩虹粗仿宋" w:cs="彩虹粗仿宋"/>
          <w:sz w:val="32"/>
          <w:szCs w:val="32"/>
        </w:rPr>
      </w:pPr>
      <w:r>
        <w:rPr>
          <w:rFonts w:hint="eastAsia" w:ascii="彩虹粗仿宋" w:hAnsi="彩虹粗仿宋" w:eastAsia="彩虹粗仿宋" w:cs="彩虹粗仿宋"/>
          <w:sz w:val="32"/>
          <w:szCs w:val="32"/>
        </w:rPr>
        <w:t>（5）我行从合作机构获取个人信息时，应确保中介机构和第三方机构的数据来源合法合规、真实有效，对外提供数据不违反法律法规要求，并已获得信息主体本人的明确同意授权；</w:t>
      </w:r>
    </w:p>
    <w:p>
      <w:pPr>
        <w:spacing w:line="600" w:lineRule="exact"/>
        <w:ind w:firstLine="640" w:firstLineChars="200"/>
        <w:rPr>
          <w:rFonts w:ascii="彩虹粗仿宋" w:hAnsi="彩虹粗仿宋" w:eastAsia="彩虹粗仿宋" w:cs="彩虹粗仿宋"/>
          <w:sz w:val="32"/>
          <w:szCs w:val="32"/>
        </w:rPr>
      </w:pPr>
      <w:r>
        <w:rPr>
          <w:rFonts w:hint="eastAsia" w:ascii="彩虹粗仿宋" w:hAnsi="彩虹粗仿宋" w:eastAsia="彩虹粗仿宋" w:cs="彩虹粗仿宋"/>
          <w:sz w:val="32"/>
          <w:szCs w:val="32"/>
        </w:rPr>
        <w:t>（6）合作机构承诺其所提供的数据信息已获得相关授权，信息收集合法，且对外提供信息已经被收集者同意；对所提供的外部数据信息的采集、加工、整合、提供过程符合国家相关法律法规规章的规定，具有合法使用权，并有权向我行提供。</w:t>
      </w:r>
    </w:p>
    <w:p>
      <w:pPr>
        <w:spacing w:line="600" w:lineRule="exact"/>
        <w:ind w:firstLine="640" w:firstLineChars="200"/>
        <w:rPr>
          <w:rFonts w:ascii="彩虹粗仿宋" w:hAnsi="彩虹粗仿宋" w:eastAsia="彩虹粗仿宋" w:cs="彩虹粗仿宋"/>
          <w:sz w:val="32"/>
          <w:szCs w:val="32"/>
        </w:rPr>
      </w:pPr>
      <w:r>
        <w:rPr>
          <w:rFonts w:hint="eastAsia" w:ascii="彩虹粗仿宋" w:hAnsi="彩虹粗仿宋" w:eastAsia="彩虹粗仿宋" w:cs="彩虹粗仿宋"/>
          <w:sz w:val="32"/>
          <w:szCs w:val="32"/>
        </w:rPr>
        <w:t>2.信息披露条款</w:t>
      </w:r>
    </w:p>
    <w:p>
      <w:pPr>
        <w:spacing w:line="600" w:lineRule="exact"/>
        <w:ind w:firstLine="640" w:firstLineChars="200"/>
        <w:rPr>
          <w:rFonts w:ascii="彩虹粗仿宋" w:hAnsi="彩虹粗仿宋" w:eastAsia="彩虹粗仿宋" w:cs="彩虹粗仿宋"/>
          <w:sz w:val="32"/>
          <w:szCs w:val="32"/>
        </w:rPr>
      </w:pPr>
      <w:r>
        <w:rPr>
          <w:rFonts w:hint="eastAsia" w:ascii="彩虹粗仿宋" w:hAnsi="彩虹粗仿宋" w:eastAsia="彩虹粗仿宋" w:cs="彩虹粗仿宋"/>
          <w:sz w:val="32"/>
          <w:szCs w:val="32"/>
        </w:rPr>
        <w:t>对于我行与合作机构共同提供产品服务的，应向客户充分披露我行与合作机构信息、合作产品的信息、合作各方权利义务，按照适当性原则充分揭示合作业务风险，避免客户产生品牌混同。</w:t>
      </w:r>
    </w:p>
    <w:p>
      <w:pPr>
        <w:spacing w:line="600" w:lineRule="exact"/>
        <w:ind w:firstLine="640" w:firstLineChars="200"/>
        <w:rPr>
          <w:rFonts w:ascii="彩虹粗仿宋" w:hAnsi="彩虹粗仿宋" w:eastAsia="彩虹粗仿宋" w:cs="彩虹粗仿宋"/>
          <w:sz w:val="32"/>
          <w:szCs w:val="32"/>
        </w:rPr>
      </w:pPr>
      <w:r>
        <w:rPr>
          <w:rFonts w:hint="eastAsia" w:ascii="彩虹粗仿宋" w:hAnsi="彩虹粗仿宋" w:eastAsia="彩虹粗仿宋" w:cs="彩虹粗仿宋"/>
          <w:sz w:val="32"/>
          <w:szCs w:val="32"/>
        </w:rPr>
        <w:t>3.消费者投诉条款</w:t>
      </w:r>
    </w:p>
    <w:p>
      <w:pPr>
        <w:spacing w:line="600" w:lineRule="exact"/>
        <w:ind w:firstLine="640" w:firstLineChars="200"/>
        <w:rPr>
          <w:rFonts w:ascii="彩虹粗仿宋" w:hAnsi="彩虹粗仿宋" w:eastAsia="彩虹粗仿宋" w:cs="彩虹粗仿宋"/>
          <w:sz w:val="32"/>
          <w:szCs w:val="32"/>
        </w:rPr>
      </w:pPr>
      <w:r>
        <w:rPr>
          <w:rFonts w:hint="eastAsia" w:ascii="彩虹粗仿宋" w:hAnsi="彩虹粗仿宋" w:eastAsia="彩虹粗仿宋" w:cs="彩虹粗仿宋"/>
          <w:sz w:val="32"/>
          <w:szCs w:val="32"/>
        </w:rPr>
        <w:t>（1）合作机构应严格落实消费投诉处理工作责任，建立内部沟通协调、信息共享、协同处理的投诉处理工作机制，落实首问负责制，在消费投诉发生的第一时问及时处理、妥善解决，依法合规开展消费投诉处理工作，避免事态扩大产生负面影响。</w:t>
      </w:r>
    </w:p>
    <w:p>
      <w:pPr>
        <w:spacing w:line="600" w:lineRule="exact"/>
        <w:ind w:firstLine="640" w:firstLineChars="200"/>
        <w:rPr>
          <w:rFonts w:ascii="彩虹粗仿宋" w:hAnsi="彩虹粗仿宋" w:eastAsia="彩虹粗仿宋" w:cs="彩虹粗仿宋"/>
          <w:sz w:val="32"/>
          <w:szCs w:val="32"/>
        </w:rPr>
      </w:pPr>
      <w:r>
        <w:rPr>
          <w:rFonts w:hint="eastAsia" w:ascii="彩虹粗仿宋" w:hAnsi="彩虹粗仿宋" w:eastAsia="彩虹粗仿宋" w:cs="彩虹粗仿宋"/>
          <w:sz w:val="32"/>
          <w:szCs w:val="32"/>
        </w:rPr>
        <w:t>（2）对涉及理赔给付的合作机构，应明确其承担的投诉处理义务和责任。</w:t>
      </w:r>
    </w:p>
    <w:p>
      <w:pPr>
        <w:spacing w:line="600" w:lineRule="exact"/>
        <w:ind w:firstLine="640" w:firstLineChars="200"/>
        <w:rPr>
          <w:rFonts w:ascii="彩虹粗仿宋" w:hAnsi="彩虹粗仿宋" w:eastAsia="彩虹粗仿宋" w:cs="彩虹粗仿宋"/>
          <w:sz w:val="32"/>
          <w:szCs w:val="32"/>
        </w:rPr>
      </w:pPr>
      <w:r>
        <w:rPr>
          <w:rFonts w:hint="eastAsia" w:ascii="彩虹粗仿宋" w:hAnsi="彩虹粗仿宋" w:eastAsia="彩虹粗仿宋" w:cs="彩虹粗仿宋"/>
          <w:sz w:val="32"/>
          <w:szCs w:val="32"/>
        </w:rPr>
        <w:t>4.其他行为监督</w:t>
      </w:r>
    </w:p>
    <w:p>
      <w:pPr>
        <w:spacing w:line="600" w:lineRule="exact"/>
        <w:ind w:firstLine="640" w:firstLineChars="200"/>
        <w:rPr>
          <w:rFonts w:ascii="彩虹粗仿宋" w:hAnsi="彩虹粗仿宋" w:eastAsia="彩虹粗仿宋" w:cs="彩虹粗仿宋"/>
          <w:sz w:val="32"/>
          <w:szCs w:val="32"/>
        </w:rPr>
      </w:pPr>
      <w:r>
        <w:rPr>
          <w:rFonts w:hint="eastAsia" w:ascii="彩虹粗仿宋" w:hAnsi="彩虹粗仿宋" w:eastAsia="彩虹粗仿宋" w:cs="彩虹粗仿宋"/>
          <w:sz w:val="32"/>
          <w:szCs w:val="32"/>
        </w:rPr>
        <w:t>我行有权根据监管要求和形势发展变化，不断完善合作机构消费者权益保护监督内容，加强对中介机构和第三方机构涉及我行消费者的其他方面监督，督促中介机构和第三方机构经营行为合法合规，避免发生侵犯消费者权益事件。</w:t>
      </w:r>
    </w:p>
    <w:p>
      <w:pPr>
        <w:spacing w:line="600" w:lineRule="exact"/>
        <w:ind w:firstLine="640" w:firstLineChars="200"/>
        <w:rPr>
          <w:rFonts w:ascii="彩虹粗仿宋" w:hAnsi="彩虹粗仿宋" w:eastAsia="彩虹粗仿宋" w:cs="彩虹粗仿宋"/>
          <w:sz w:val="32"/>
          <w:szCs w:val="32"/>
        </w:rPr>
      </w:pPr>
      <w:r>
        <w:rPr>
          <w:rFonts w:hint="eastAsia" w:ascii="彩虹粗仿宋" w:hAnsi="彩虹粗仿宋" w:eastAsia="彩虹粗仿宋" w:cs="彩虹粗仿宋"/>
          <w:sz w:val="32"/>
          <w:szCs w:val="32"/>
        </w:rPr>
        <w:t>5.黑名单退出机制</w:t>
      </w:r>
    </w:p>
    <w:p>
      <w:pPr>
        <w:spacing w:line="600" w:lineRule="exact"/>
        <w:ind w:firstLine="640" w:firstLineChars="200"/>
        <w:rPr>
          <w:rFonts w:ascii="彩虹粗仿宋" w:hAnsi="彩虹粗仿宋" w:eastAsia="彩虹粗仿宋" w:cs="彩虹粗仿宋"/>
          <w:sz w:val="32"/>
          <w:szCs w:val="32"/>
        </w:rPr>
      </w:pPr>
      <w:r>
        <w:rPr>
          <w:rFonts w:hint="eastAsia" w:ascii="彩虹粗仿宋" w:hAnsi="彩虹粗仿宋" w:eastAsia="彩虹粗仿宋" w:cs="彩虹粗仿宋"/>
          <w:sz w:val="32"/>
          <w:szCs w:val="32"/>
        </w:rPr>
        <w:t>对有下列情形之一的，应取消准入资格；已经准入的，应予以退出。</w:t>
      </w:r>
    </w:p>
    <w:p>
      <w:pPr>
        <w:spacing w:line="600" w:lineRule="exact"/>
        <w:ind w:left="210" w:leftChars="100" w:firstLine="640" w:firstLineChars="200"/>
        <w:rPr>
          <w:rFonts w:ascii="彩虹粗仿宋" w:hAnsi="彩虹粗仿宋" w:eastAsia="彩虹粗仿宋" w:cs="彩虹粗仿宋"/>
          <w:sz w:val="32"/>
          <w:szCs w:val="32"/>
        </w:rPr>
      </w:pPr>
      <w:r>
        <w:rPr>
          <w:rFonts w:hint="eastAsia" w:ascii="彩虹粗仿宋" w:hAnsi="彩虹粗仿宋" w:eastAsia="彩虹粗仿宋" w:cs="彩虹粗仿宋"/>
          <w:sz w:val="32"/>
          <w:szCs w:val="32"/>
        </w:rPr>
        <w:t>（1）存在消费者权益侵权行为，引发较大舆情或重大投诉在社会上造成严重不良影响的；</w:t>
      </w:r>
    </w:p>
    <w:p>
      <w:pPr>
        <w:spacing w:line="600" w:lineRule="exact"/>
        <w:ind w:firstLine="640" w:firstLineChars="200"/>
        <w:rPr>
          <w:rFonts w:ascii="彩虹粗仿宋" w:hAnsi="彩虹粗仿宋" w:eastAsia="彩虹粗仿宋" w:cs="彩虹粗仿宋"/>
          <w:sz w:val="32"/>
          <w:szCs w:val="32"/>
        </w:rPr>
      </w:pPr>
      <w:r>
        <w:rPr>
          <w:rFonts w:hint="eastAsia" w:ascii="彩虹粗仿宋" w:hAnsi="彩虹粗仿宋" w:eastAsia="彩虹粗仿宋" w:cs="彩虹粗仿宋"/>
          <w:sz w:val="32"/>
          <w:szCs w:val="32"/>
        </w:rPr>
        <w:t>（2）存在消费者权益侵权行为，受到监管处罚，给我行造成严重不良影响的；</w:t>
      </w:r>
    </w:p>
    <w:p>
      <w:pPr>
        <w:spacing w:line="600" w:lineRule="exact"/>
        <w:ind w:firstLine="640" w:firstLineChars="200"/>
        <w:rPr>
          <w:rFonts w:ascii="彩虹粗仿宋" w:hAnsi="彩虹粗仿宋" w:eastAsia="彩虹粗仿宋" w:cs="彩虹粗仿宋"/>
          <w:sz w:val="32"/>
          <w:szCs w:val="32"/>
        </w:rPr>
      </w:pPr>
      <w:r>
        <w:rPr>
          <w:rFonts w:hint="eastAsia" w:ascii="彩虹粗仿宋" w:hAnsi="彩虹粗仿宋" w:eastAsia="彩虹粗仿宋" w:cs="彩虹粗仿宋"/>
          <w:sz w:val="32"/>
          <w:szCs w:val="32"/>
        </w:rPr>
        <w:t>（3）存在消费者权益侵权行为，受到公安立案或法院判决，给我行造成严重不良影响的；</w:t>
      </w:r>
    </w:p>
    <w:p>
      <w:pPr>
        <w:spacing w:line="600" w:lineRule="exact"/>
        <w:ind w:firstLine="640" w:firstLineChars="200"/>
        <w:rPr>
          <w:rFonts w:ascii="彩虹粗仿宋" w:hAnsi="彩虹粗仿宋" w:eastAsia="彩虹粗仿宋" w:cs="彩虹粗仿宋"/>
          <w:sz w:val="32"/>
          <w:szCs w:val="32"/>
        </w:rPr>
      </w:pPr>
      <w:r>
        <w:rPr>
          <w:rFonts w:hint="eastAsia" w:ascii="彩虹粗仿宋" w:hAnsi="彩虹粗仿宋" w:eastAsia="彩虹粗仿宋" w:cs="彩虹粗仿宋"/>
          <w:sz w:val="32"/>
          <w:szCs w:val="32"/>
        </w:rPr>
        <w:t>（4）违反法律法规和监管机构规定的其他严重情形。</w:t>
      </w:r>
    </w:p>
    <w:p>
      <w:pPr>
        <w:adjustRightInd w:val="0"/>
        <w:snapToGrid w:val="0"/>
        <w:spacing w:line="600" w:lineRule="exact"/>
        <w:ind w:firstLine="640" w:firstLineChars="200"/>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6.争端的解决</w:t>
      </w:r>
    </w:p>
    <w:p>
      <w:pPr>
        <w:adjustRightInd w:val="0"/>
        <w:snapToGrid w:val="0"/>
        <w:spacing w:line="600" w:lineRule="exact"/>
        <w:ind w:firstLine="640" w:firstLineChars="200"/>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合同协议有效期内若发生争议，应本着友好协商的态度加以妥善解决。协商不成的，向所在地人民法院起诉。诉讼期间，合同不涉及争议的条款，双方仍需继续履行。</w:t>
      </w:r>
    </w:p>
    <w:p>
      <w:pPr>
        <w:adjustRightInd w:val="0"/>
        <w:snapToGrid w:val="0"/>
        <w:spacing w:line="600" w:lineRule="exact"/>
        <w:ind w:firstLine="640" w:firstLineChars="200"/>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（七）验收方法和标准</w:t>
      </w:r>
    </w:p>
    <w:p>
      <w:pPr>
        <w:adjustRightInd w:val="0"/>
        <w:snapToGrid w:val="0"/>
        <w:spacing w:line="600" w:lineRule="exact"/>
        <w:ind w:firstLine="640" w:firstLineChars="200"/>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1.每个点报警主机联网率达到100%,探测设备故障能在24小时内解决按“合格”，总体合格档次支付全额服务费用。</w:t>
      </w:r>
    </w:p>
    <w:p>
      <w:pPr>
        <w:adjustRightInd w:val="0"/>
        <w:snapToGrid w:val="0"/>
        <w:spacing w:line="600" w:lineRule="exact"/>
        <w:ind w:firstLine="640" w:firstLineChars="200"/>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2.单点报警主机联网率未达到100%,探测设备故障不能在24小时内解决按“不合格”，扣除该点报警服务费。</w:t>
      </w:r>
    </w:p>
    <w:p>
      <w:pPr>
        <w:adjustRightInd w:val="0"/>
        <w:snapToGrid w:val="0"/>
        <w:spacing w:line="560" w:lineRule="exact"/>
        <w:ind w:firstLine="640" w:firstLineChars="200"/>
        <w:rPr>
          <w:rFonts w:ascii="彩虹粗仿宋" w:hAnsi="宋体" w:eastAsia="彩虹粗仿宋"/>
          <w:snapToGrid w:val="0"/>
          <w:kern w:val="0"/>
          <w:sz w:val="32"/>
          <w:szCs w:val="32"/>
        </w:rPr>
      </w:pPr>
      <w:r>
        <w:rPr>
          <w:rFonts w:hint="eastAsia" w:ascii="彩虹粗仿宋" w:hAnsi="彩虹粗仿宋" w:eastAsia="彩虹粗仿宋" w:cs="彩虹粗仿宋"/>
          <w:snapToGrid w:val="0"/>
          <w:kern w:val="0"/>
          <w:sz w:val="32"/>
          <w:szCs w:val="32"/>
        </w:rPr>
        <w:t>3.每月由我行使用单位按“合格”、“不合格”对全行报警设备进行测评考核，合格档次支付全额服务费用，不合格档次对</w:t>
      </w:r>
      <w:r>
        <w:rPr>
          <w:rFonts w:hint="eastAsia" w:ascii="彩虹粗仿宋" w:hAnsi="彩虹粗仿宋" w:eastAsia="彩虹粗仿宋" w:cs="彩虹粗仿宋"/>
          <w:kern w:val="0"/>
          <w:sz w:val="32"/>
          <w:szCs w:val="32"/>
        </w:rPr>
        <w:t>供应商</w:t>
      </w:r>
      <w:r>
        <w:rPr>
          <w:rFonts w:hint="eastAsia" w:ascii="彩虹粗仿宋" w:hAnsi="彩虹粗仿宋" w:eastAsia="彩虹粗仿宋" w:cs="彩虹粗仿宋"/>
          <w:snapToGrid w:val="0"/>
          <w:kern w:val="0"/>
          <w:sz w:val="32"/>
          <w:szCs w:val="32"/>
        </w:rPr>
        <w:t>公司进行约谈，按照合同约定扣减相应费用。</w:t>
      </w:r>
    </w:p>
    <w:p>
      <w:pPr>
        <w:adjustRightInd w:val="0"/>
        <w:snapToGrid w:val="0"/>
        <w:spacing w:line="560" w:lineRule="exact"/>
        <w:ind w:firstLine="640" w:firstLineChars="200"/>
        <w:rPr>
          <w:rFonts w:ascii="彩虹黑体" w:hAnsi="宋体" w:eastAsia="彩虹黑体"/>
          <w:snapToGrid w:val="0"/>
          <w:kern w:val="0"/>
          <w:sz w:val="32"/>
          <w:szCs w:val="32"/>
        </w:rPr>
      </w:pPr>
      <w:r>
        <w:rPr>
          <w:rFonts w:hint="eastAsia" w:ascii="彩虹黑体" w:hAnsi="宋体" w:eastAsia="彩虹黑体"/>
          <w:snapToGrid w:val="0"/>
          <w:kern w:val="0"/>
          <w:sz w:val="32"/>
          <w:szCs w:val="32"/>
        </w:rPr>
        <w:t>五、服务供应安排</w:t>
      </w:r>
    </w:p>
    <w:p>
      <w:pPr>
        <w:adjustRightInd w:val="0"/>
        <w:snapToGrid w:val="0"/>
        <w:spacing w:line="600" w:lineRule="exact"/>
        <w:ind w:firstLine="640" w:firstLineChars="200"/>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（一）报警监控</w:t>
      </w:r>
    </w:p>
    <w:p>
      <w:pPr>
        <w:adjustRightInd w:val="0"/>
        <w:snapToGrid w:val="0"/>
        <w:spacing w:line="600" w:lineRule="exact"/>
        <w:ind w:firstLine="640" w:firstLineChars="200"/>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kern w:val="0"/>
          <w:sz w:val="32"/>
          <w:szCs w:val="32"/>
        </w:rPr>
        <w:t>供应商</w:t>
      </w:r>
      <w:r>
        <w:rPr>
          <w:rFonts w:hint="eastAsia" w:ascii="彩虹粗仿宋" w:hAnsi="彩虹粗仿宋" w:eastAsia="彩虹粗仿宋" w:cs="彩虹粗仿宋"/>
          <w:snapToGrid w:val="0"/>
          <w:kern w:val="0"/>
          <w:sz w:val="32"/>
          <w:szCs w:val="32"/>
        </w:rPr>
        <w:t>公司按照报警联网设备合同的约定对我行</w:t>
      </w:r>
      <w:r>
        <w:rPr>
          <w:rFonts w:hint="eastAsia" w:ascii="彩虹粗仿宋" w:hAnsi="彩虹粗仿宋" w:eastAsia="彩虹粗仿宋" w:cs="彩虹粗仿宋"/>
          <w:sz w:val="32"/>
          <w:szCs w:val="32"/>
        </w:rPr>
        <w:t>辖内报警服务点（含网点、自助、金库、档案库房等）</w:t>
      </w:r>
      <w:r>
        <w:rPr>
          <w:rFonts w:hint="eastAsia" w:ascii="彩虹粗仿宋" w:hAnsi="彩虹粗仿宋" w:eastAsia="彩虹粗仿宋" w:cs="彩虹粗仿宋"/>
          <w:snapToGrid w:val="0"/>
          <w:kern w:val="0"/>
          <w:sz w:val="32"/>
          <w:szCs w:val="32"/>
        </w:rPr>
        <w:t>进行撤布防的监控。</w:t>
      </w:r>
    </w:p>
    <w:p>
      <w:pPr>
        <w:adjustRightInd w:val="0"/>
        <w:snapToGrid w:val="0"/>
        <w:spacing w:line="600" w:lineRule="exact"/>
        <w:ind w:firstLine="640" w:firstLineChars="200"/>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（二）设备巡检</w:t>
      </w:r>
    </w:p>
    <w:p>
      <w:pPr>
        <w:adjustRightInd w:val="0"/>
        <w:snapToGrid w:val="0"/>
        <w:spacing w:line="600" w:lineRule="exact"/>
        <w:ind w:firstLine="640" w:firstLineChars="200"/>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全年为我行网点的联网报警系统每季度进行1次全面的检修。</w:t>
      </w:r>
    </w:p>
    <w:p>
      <w:pPr>
        <w:adjustRightInd w:val="0"/>
        <w:snapToGrid w:val="0"/>
        <w:spacing w:line="600" w:lineRule="exact"/>
        <w:ind w:firstLine="640" w:firstLineChars="200"/>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（三）设备日常维修维护</w:t>
      </w:r>
    </w:p>
    <w:p>
      <w:pPr>
        <w:adjustRightInd w:val="0"/>
        <w:snapToGrid w:val="0"/>
        <w:spacing w:line="600" w:lineRule="exact"/>
        <w:ind w:firstLine="640" w:firstLineChars="200"/>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做好营业场所和办公楼等重点部位110联网线路设备和报警系统的的日常维护。</w:t>
      </w:r>
    </w:p>
    <w:p>
      <w:pPr>
        <w:adjustRightInd w:val="0"/>
        <w:snapToGrid w:val="0"/>
        <w:spacing w:line="600" w:lineRule="exact"/>
        <w:ind w:firstLine="640" w:firstLineChars="200"/>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（四）人员培训</w:t>
      </w:r>
    </w:p>
    <w:p>
      <w:pPr>
        <w:adjustRightInd w:val="0"/>
        <w:snapToGrid w:val="0"/>
        <w:spacing w:line="600" w:lineRule="exact"/>
        <w:ind w:firstLine="640" w:firstLineChars="200"/>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每年对我行人员每季度提供1次安保设施设备维护使用培训。</w:t>
      </w:r>
    </w:p>
    <w:p>
      <w:pPr>
        <w:adjustRightInd w:val="0"/>
        <w:snapToGrid w:val="0"/>
        <w:spacing w:line="600" w:lineRule="exact"/>
        <w:ind w:firstLine="640" w:firstLineChars="200"/>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（五）警情处置</w:t>
      </w:r>
    </w:p>
    <w:p>
      <w:pPr>
        <w:ind w:firstLine="640" w:firstLineChars="200"/>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供应商与“110”指挥中心24小时共同接收紧急报警信号，及时通知反馈处理。</w:t>
      </w:r>
    </w:p>
    <w:p>
      <w:pPr>
        <w:adjustRightInd w:val="0"/>
        <w:snapToGrid w:val="0"/>
        <w:spacing w:line="560" w:lineRule="exact"/>
        <w:ind w:firstLine="640" w:firstLineChars="200"/>
        <w:rPr>
          <w:rFonts w:ascii="彩虹黑体" w:hAnsi="宋体" w:eastAsia="彩虹黑体"/>
          <w:snapToGrid w:val="0"/>
          <w:kern w:val="0"/>
          <w:sz w:val="32"/>
          <w:szCs w:val="32"/>
        </w:rPr>
      </w:pPr>
      <w:r>
        <w:rPr>
          <w:rFonts w:hint="eastAsia" w:ascii="彩虹黑体" w:hAnsi="宋体" w:eastAsia="彩虹黑体"/>
          <w:snapToGrid w:val="0"/>
          <w:kern w:val="0"/>
          <w:sz w:val="32"/>
          <w:szCs w:val="32"/>
        </w:rPr>
        <w:t>六、服务数量要求</w:t>
      </w:r>
    </w:p>
    <w:tbl>
      <w:tblPr>
        <w:tblStyle w:val="3"/>
        <w:tblW w:w="4998" w:type="pct"/>
        <w:tblInd w:w="0" w:type="dxa"/>
        <w:tblLayout w:type="autofit"/>
        <w:tblCellMar>
          <w:top w:w="0" w:type="dxa"/>
          <w:left w:w="108" w:type="dxa"/>
          <w:bottom w:w="0" w:type="dxa"/>
          <w:right w:w="108" w:type="dxa"/>
        </w:tblCellMar>
      </w:tblPr>
      <w:tblGrid>
        <w:gridCol w:w="584"/>
        <w:gridCol w:w="1135"/>
        <w:gridCol w:w="2729"/>
        <w:gridCol w:w="1280"/>
        <w:gridCol w:w="2791"/>
      </w:tblGrid>
      <w:tr>
        <w:tblPrEx>
          <w:tblCellMar>
            <w:top w:w="0" w:type="dxa"/>
            <w:left w:w="108" w:type="dxa"/>
            <w:bottom w:w="0" w:type="dxa"/>
            <w:right w:w="108" w:type="dxa"/>
          </w:tblCellMar>
        </w:tblPrEx>
        <w:trPr>
          <w:trHeight w:val="540" w:hRule="atLeast"/>
        </w:trPr>
        <w:tc>
          <w:tcPr>
            <w:tcW w:w="343" w:type="pct"/>
            <w:tcBorders>
              <w:top w:val="single" w:color="000000" w:sz="4" w:space="0"/>
              <w:left w:val="single" w:color="000000" w:sz="4" w:space="0"/>
              <w:bottom w:val="single" w:color="000000" w:sz="4" w:space="0"/>
              <w:right w:val="single" w:color="000000" w:sz="4" w:space="0"/>
            </w:tcBorders>
            <w:noWrap w:val="0"/>
            <w:vAlign w:val="center"/>
          </w:tcPr>
          <w:p>
            <w:pPr>
              <w:widowControl/>
              <w:textAlignment w:val="center"/>
              <w:rPr>
                <w:rFonts w:ascii="宋体" w:hAnsi="宋体" w:cs="宋体"/>
                <w:b/>
                <w:bCs/>
                <w:sz w:val="22"/>
              </w:rPr>
            </w:pPr>
            <w:r>
              <w:rPr>
                <w:rFonts w:hint="eastAsia" w:ascii="宋体" w:hAnsi="宋体" w:cs="宋体"/>
                <w:b/>
                <w:bCs/>
                <w:kern w:val="0"/>
                <w:sz w:val="22"/>
                <w:lang w:bidi="ar"/>
              </w:rPr>
              <w:t>序号</w:t>
            </w:r>
          </w:p>
        </w:tc>
        <w:tc>
          <w:tcPr>
            <w:tcW w:w="666" w:type="pct"/>
            <w:tcBorders>
              <w:top w:val="single" w:color="000000" w:sz="4" w:space="0"/>
              <w:left w:val="single" w:color="000000" w:sz="4" w:space="0"/>
              <w:bottom w:val="single" w:color="000000" w:sz="4" w:space="0"/>
              <w:right w:val="single" w:color="000000" w:sz="4" w:space="0"/>
            </w:tcBorders>
            <w:noWrap w:val="0"/>
            <w:vAlign w:val="center"/>
          </w:tcPr>
          <w:p>
            <w:pPr>
              <w:widowControl/>
              <w:textAlignment w:val="center"/>
              <w:rPr>
                <w:rFonts w:ascii="宋体" w:hAnsi="宋体" w:cs="宋体"/>
                <w:b/>
                <w:bCs/>
                <w:sz w:val="22"/>
              </w:rPr>
            </w:pPr>
            <w:r>
              <w:rPr>
                <w:rFonts w:hint="eastAsia" w:ascii="宋体" w:hAnsi="宋体" w:cs="宋体"/>
                <w:b/>
                <w:bCs/>
                <w:kern w:val="0"/>
                <w:sz w:val="22"/>
                <w:lang w:bidi="ar"/>
              </w:rPr>
              <w:t>二级行</w:t>
            </w:r>
          </w:p>
        </w:tc>
        <w:tc>
          <w:tcPr>
            <w:tcW w:w="1602" w:type="pct"/>
            <w:tcBorders>
              <w:top w:val="single" w:color="000000" w:sz="4" w:space="0"/>
              <w:left w:val="single" w:color="000000" w:sz="4" w:space="0"/>
              <w:bottom w:val="single" w:color="000000" w:sz="4" w:space="0"/>
              <w:right w:val="single" w:color="000000" w:sz="4" w:space="0"/>
            </w:tcBorders>
            <w:noWrap w:val="0"/>
            <w:vAlign w:val="center"/>
          </w:tcPr>
          <w:p>
            <w:pPr>
              <w:widowControl/>
              <w:textAlignment w:val="center"/>
              <w:rPr>
                <w:rFonts w:ascii="宋体" w:hAnsi="宋体" w:cs="宋体"/>
                <w:b/>
                <w:bCs/>
                <w:sz w:val="22"/>
              </w:rPr>
            </w:pPr>
            <w:r>
              <w:rPr>
                <w:rFonts w:hint="eastAsia" w:ascii="宋体" w:hAnsi="宋体" w:cs="宋体"/>
                <w:b/>
                <w:bCs/>
                <w:kern w:val="0"/>
                <w:sz w:val="22"/>
                <w:lang w:bidi="ar"/>
              </w:rPr>
              <w:t>服务区域</w:t>
            </w:r>
          </w:p>
        </w:tc>
        <w:tc>
          <w:tcPr>
            <w:tcW w:w="751" w:type="pct"/>
            <w:tcBorders>
              <w:top w:val="single" w:color="000000" w:sz="4" w:space="0"/>
              <w:left w:val="single" w:color="000000" w:sz="4" w:space="0"/>
              <w:bottom w:val="single" w:color="000000" w:sz="4" w:space="0"/>
              <w:right w:val="single" w:color="000000" w:sz="4" w:space="0"/>
            </w:tcBorders>
            <w:noWrap w:val="0"/>
            <w:vAlign w:val="center"/>
          </w:tcPr>
          <w:p>
            <w:pPr>
              <w:widowControl/>
              <w:textAlignment w:val="center"/>
              <w:rPr>
                <w:rFonts w:ascii="宋体" w:hAnsi="宋体" w:cs="宋体"/>
                <w:b/>
                <w:bCs/>
                <w:sz w:val="22"/>
              </w:rPr>
            </w:pPr>
            <w:r>
              <w:rPr>
                <w:rFonts w:hint="eastAsia" w:ascii="宋体" w:hAnsi="宋体" w:cs="宋体"/>
                <w:b/>
                <w:bCs/>
                <w:kern w:val="0"/>
                <w:sz w:val="22"/>
                <w:lang w:bidi="ar"/>
              </w:rPr>
              <w:t>点位数量</w:t>
            </w:r>
          </w:p>
        </w:tc>
        <w:tc>
          <w:tcPr>
            <w:tcW w:w="1638" w:type="pct"/>
            <w:tcBorders>
              <w:top w:val="single" w:color="000000" w:sz="4" w:space="0"/>
              <w:left w:val="single" w:color="000000" w:sz="4" w:space="0"/>
              <w:bottom w:val="single" w:color="000000" w:sz="4" w:space="0"/>
              <w:right w:val="single" w:color="000000" w:sz="4" w:space="0"/>
            </w:tcBorders>
            <w:noWrap w:val="0"/>
            <w:vAlign w:val="center"/>
          </w:tcPr>
          <w:p>
            <w:pPr>
              <w:widowControl/>
              <w:textAlignment w:val="center"/>
              <w:rPr>
                <w:rFonts w:ascii="宋体" w:hAnsi="宋体" w:cs="宋体"/>
                <w:b/>
                <w:bCs/>
                <w:sz w:val="22"/>
              </w:rPr>
            </w:pPr>
            <w:r>
              <w:rPr>
                <w:rFonts w:hint="eastAsia" w:ascii="宋体" w:hAnsi="宋体" w:cs="宋体"/>
                <w:b/>
                <w:bCs/>
                <w:kern w:val="0"/>
                <w:sz w:val="22"/>
                <w:lang w:bidi="ar"/>
              </w:rPr>
              <w:t>备注</w:t>
            </w:r>
          </w:p>
        </w:tc>
      </w:tr>
      <w:tr>
        <w:tblPrEx>
          <w:tblCellMar>
            <w:top w:w="0" w:type="dxa"/>
            <w:left w:w="108" w:type="dxa"/>
            <w:bottom w:w="0" w:type="dxa"/>
            <w:right w:w="108" w:type="dxa"/>
          </w:tblCellMar>
        </w:tblPrEx>
        <w:trPr>
          <w:trHeight w:val="1500" w:hRule="atLeast"/>
        </w:trPr>
        <w:tc>
          <w:tcPr>
            <w:tcW w:w="343" w:type="pct"/>
            <w:tcBorders>
              <w:top w:val="single" w:color="000000" w:sz="4" w:space="0"/>
              <w:left w:val="single" w:color="000000" w:sz="4" w:space="0"/>
              <w:bottom w:val="single" w:color="000000" w:sz="4" w:space="0"/>
              <w:right w:val="single" w:color="000000" w:sz="4" w:space="0"/>
            </w:tcBorders>
            <w:noWrap w:val="0"/>
            <w:vAlign w:val="center"/>
          </w:tcPr>
          <w:p>
            <w:pPr>
              <w:widowControl/>
              <w:textAlignment w:val="center"/>
              <w:rPr>
                <w:rFonts w:ascii="宋体" w:hAnsi="宋体" w:cs="宋体"/>
                <w:sz w:val="22"/>
              </w:rPr>
            </w:pPr>
            <w:r>
              <w:rPr>
                <w:rFonts w:hint="eastAsia" w:ascii="宋体" w:hAnsi="宋体" w:cs="宋体"/>
                <w:kern w:val="0"/>
                <w:sz w:val="22"/>
                <w:lang w:bidi="ar"/>
              </w:rPr>
              <w:t>1</w:t>
            </w:r>
          </w:p>
        </w:tc>
        <w:tc>
          <w:tcPr>
            <w:tcW w:w="666" w:type="pct"/>
            <w:tcBorders>
              <w:top w:val="single" w:color="000000" w:sz="4" w:space="0"/>
              <w:left w:val="single" w:color="000000" w:sz="4" w:space="0"/>
              <w:bottom w:val="single" w:color="000000" w:sz="4" w:space="0"/>
              <w:right w:val="single" w:color="000000" w:sz="4" w:space="0"/>
            </w:tcBorders>
            <w:noWrap w:val="0"/>
            <w:vAlign w:val="center"/>
          </w:tcPr>
          <w:p>
            <w:pPr>
              <w:widowControl/>
              <w:textAlignment w:val="center"/>
              <w:rPr>
                <w:rFonts w:ascii="宋体" w:hAnsi="宋体" w:cs="宋体"/>
                <w:sz w:val="22"/>
              </w:rPr>
            </w:pPr>
            <w:r>
              <w:rPr>
                <w:rFonts w:hint="eastAsia" w:ascii="宋体" w:hAnsi="宋体" w:cs="宋体"/>
                <w:kern w:val="0"/>
                <w:sz w:val="22"/>
                <w:lang w:bidi="ar"/>
              </w:rPr>
              <w:t>商丘分行</w:t>
            </w:r>
          </w:p>
        </w:tc>
        <w:tc>
          <w:tcPr>
            <w:tcW w:w="1602" w:type="pct"/>
            <w:tcBorders>
              <w:top w:val="single" w:color="000000" w:sz="4" w:space="0"/>
              <w:left w:val="single" w:color="000000" w:sz="4" w:space="0"/>
              <w:bottom w:val="single" w:color="000000" w:sz="4" w:space="0"/>
              <w:right w:val="single" w:color="000000" w:sz="4" w:space="0"/>
            </w:tcBorders>
            <w:noWrap w:val="0"/>
            <w:vAlign w:val="center"/>
          </w:tcPr>
          <w:p>
            <w:pPr>
              <w:widowControl/>
              <w:textAlignment w:val="center"/>
              <w:rPr>
                <w:rFonts w:ascii="宋体" w:hAnsi="宋体" w:cs="宋体"/>
                <w:sz w:val="22"/>
              </w:rPr>
            </w:pPr>
            <w:r>
              <w:rPr>
                <w:rFonts w:hint="eastAsia" w:ascii="宋体" w:hAnsi="宋体" w:cs="宋体"/>
                <w:kern w:val="0"/>
                <w:sz w:val="22"/>
                <w:lang w:bidi="ar"/>
              </w:rPr>
              <w:t>对夏邑营业网点（含自助）和离行式自助银行进行报警监控、警情处置等服务</w:t>
            </w:r>
          </w:p>
        </w:tc>
        <w:tc>
          <w:tcPr>
            <w:tcW w:w="751" w:type="pct"/>
            <w:tcBorders>
              <w:top w:val="single" w:color="000000" w:sz="4" w:space="0"/>
              <w:left w:val="single" w:color="000000" w:sz="4" w:space="0"/>
              <w:bottom w:val="single" w:color="000000" w:sz="4" w:space="0"/>
              <w:right w:val="single" w:color="000000" w:sz="4" w:space="0"/>
            </w:tcBorders>
            <w:noWrap w:val="0"/>
            <w:vAlign w:val="center"/>
          </w:tcPr>
          <w:p>
            <w:pPr>
              <w:widowControl/>
              <w:textAlignment w:val="center"/>
              <w:rPr>
                <w:rFonts w:hint="eastAsia" w:ascii="宋体" w:hAnsi="宋体" w:eastAsia="宋体" w:cs="宋体"/>
                <w:sz w:val="22"/>
                <w:lang w:eastAsia="zh-CN"/>
              </w:rPr>
            </w:pPr>
            <w:r>
              <w:rPr>
                <w:rFonts w:hint="eastAsia" w:ascii="宋体" w:hAnsi="宋体" w:cs="宋体"/>
                <w:sz w:val="22"/>
                <w:lang w:val="en-US" w:eastAsia="zh-CN"/>
              </w:rPr>
              <w:t>5</w:t>
            </w:r>
          </w:p>
        </w:tc>
        <w:tc>
          <w:tcPr>
            <w:tcW w:w="1638" w:type="pct"/>
            <w:tcBorders>
              <w:top w:val="single" w:color="000000" w:sz="4" w:space="0"/>
              <w:left w:val="single" w:color="000000" w:sz="4" w:space="0"/>
              <w:bottom w:val="single" w:color="000000" w:sz="4" w:space="0"/>
              <w:right w:val="single" w:color="000000" w:sz="4" w:space="0"/>
            </w:tcBorders>
            <w:noWrap w:val="0"/>
            <w:vAlign w:val="center"/>
          </w:tcPr>
          <w:p>
            <w:pPr>
              <w:widowControl/>
              <w:textAlignment w:val="center"/>
              <w:rPr>
                <w:rFonts w:ascii="宋体" w:hAnsi="宋体" w:cs="宋体"/>
                <w:sz w:val="22"/>
              </w:rPr>
            </w:pPr>
            <w:r>
              <w:rPr>
                <w:rFonts w:hint="eastAsia" w:ascii="宋体" w:hAnsi="宋体" w:cs="宋体"/>
                <w:kern w:val="0"/>
                <w:sz w:val="22"/>
                <w:lang w:bidi="ar"/>
              </w:rPr>
              <w:t>夏邑支行2个营业网点，2个离行自助银行。</w:t>
            </w:r>
            <w:r>
              <w:rPr>
                <w:rFonts w:ascii="宋体" w:hAnsi="宋体" w:cs="宋体"/>
                <w:sz w:val="22"/>
              </w:rPr>
              <w:t xml:space="preserve"> </w:t>
            </w:r>
          </w:p>
        </w:tc>
      </w:tr>
    </w:tbl>
    <w:p>
      <w:pPr>
        <w:adjustRightInd w:val="0"/>
        <w:snapToGrid w:val="0"/>
        <w:spacing w:line="560" w:lineRule="exact"/>
        <w:ind w:firstLine="640" w:firstLineChars="200"/>
        <w:rPr>
          <w:rFonts w:ascii="彩虹黑体" w:hAnsi="宋体" w:eastAsia="彩虹黑体"/>
          <w:snapToGrid w:val="0"/>
          <w:kern w:val="0"/>
          <w:sz w:val="32"/>
          <w:szCs w:val="32"/>
        </w:rPr>
      </w:pPr>
      <w:r>
        <w:rPr>
          <w:rFonts w:hint="eastAsia" w:ascii="彩虹黑体" w:hAnsi="宋体" w:eastAsia="彩虹黑体"/>
          <w:snapToGrid w:val="0"/>
          <w:kern w:val="0"/>
          <w:sz w:val="32"/>
          <w:szCs w:val="32"/>
        </w:rPr>
        <w:t>七、款项支付要求</w:t>
      </w:r>
    </w:p>
    <w:p>
      <w:pPr>
        <w:adjustRightInd w:val="0"/>
        <w:snapToGrid w:val="0"/>
        <w:spacing w:line="560" w:lineRule="exact"/>
        <w:ind w:firstLine="640" w:firstLineChars="200"/>
        <w:rPr>
          <w:rFonts w:ascii="彩虹粗仿宋" w:hAnsi="宋体" w:eastAsia="彩虹粗仿宋"/>
          <w:snapToGrid w:val="0"/>
          <w:kern w:val="0"/>
          <w:sz w:val="32"/>
          <w:szCs w:val="32"/>
        </w:rPr>
      </w:pPr>
      <w:r>
        <w:rPr>
          <w:rFonts w:hint="eastAsia" w:ascii="彩虹粗仿宋" w:hAnsi="宋体" w:eastAsia="彩虹粗仿宋"/>
          <w:snapToGrid w:val="0"/>
          <w:kern w:val="0"/>
          <w:sz w:val="32"/>
          <w:szCs w:val="32"/>
        </w:rPr>
        <w:t>按月据实结算费用，供应商在完成我行辖内各重点部位110报警任务完成后，提供符合我行账务处理要求的增值税专用发票，经使用单位确认，无遗留问题，根据服务情况和考核结果，将上月度110报警服务费用转入供应商指定银行账户，如遇增加或减少维护数量,按实际每处单价进行调增或调减。</w:t>
      </w:r>
    </w:p>
    <w:p>
      <w:pPr>
        <w:adjustRightInd w:val="0"/>
        <w:snapToGrid w:val="0"/>
        <w:spacing w:line="560" w:lineRule="exact"/>
        <w:ind w:firstLine="640" w:firstLineChars="200"/>
        <w:rPr>
          <w:rFonts w:ascii="彩虹黑体" w:hAnsi="宋体" w:eastAsia="彩虹黑体"/>
          <w:snapToGrid w:val="0"/>
          <w:kern w:val="0"/>
          <w:sz w:val="32"/>
          <w:szCs w:val="32"/>
        </w:rPr>
      </w:pPr>
      <w:r>
        <w:rPr>
          <w:rFonts w:hint="eastAsia" w:ascii="彩虹黑体" w:hAnsi="宋体" w:eastAsia="彩虹黑体"/>
          <w:snapToGrid w:val="0"/>
          <w:kern w:val="0"/>
          <w:sz w:val="32"/>
          <w:szCs w:val="32"/>
        </w:rPr>
        <w:t>八、报价要求</w:t>
      </w:r>
    </w:p>
    <w:p>
      <w:pPr>
        <w:adjustRightInd w:val="0"/>
        <w:snapToGrid w:val="0"/>
        <w:spacing w:line="560" w:lineRule="exact"/>
        <w:ind w:firstLine="640" w:firstLineChars="200"/>
        <w:rPr>
          <w:rFonts w:ascii="彩虹粗仿宋" w:hAnsi="宋体" w:eastAsia="彩虹粗仿宋"/>
          <w:snapToGrid w:val="0"/>
          <w:kern w:val="0"/>
          <w:sz w:val="32"/>
          <w:szCs w:val="32"/>
        </w:rPr>
      </w:pPr>
      <w:r>
        <w:rPr>
          <w:rFonts w:hint="eastAsia" w:ascii="彩虹粗仿宋" w:hAnsi="宋体" w:eastAsia="彩虹粗仿宋"/>
          <w:snapToGrid w:val="0"/>
          <w:kern w:val="0"/>
          <w:sz w:val="32"/>
          <w:szCs w:val="32"/>
        </w:rPr>
        <w:t>按照每点每月报含税单价和总价，超过预算为无效报价。</w:t>
      </w:r>
    </w:p>
    <w:tbl>
      <w:tblPr>
        <w:tblStyle w:val="3"/>
        <w:tblW w:w="8379" w:type="dxa"/>
        <w:tblInd w:w="93" w:type="dxa"/>
        <w:tblLayout w:type="autofit"/>
        <w:tblCellMar>
          <w:top w:w="0" w:type="dxa"/>
          <w:left w:w="108" w:type="dxa"/>
          <w:bottom w:w="0" w:type="dxa"/>
          <w:right w:w="108" w:type="dxa"/>
        </w:tblCellMar>
      </w:tblPr>
      <w:tblGrid>
        <w:gridCol w:w="2000"/>
        <w:gridCol w:w="3118"/>
        <w:gridCol w:w="1418"/>
        <w:gridCol w:w="1843"/>
      </w:tblGrid>
      <w:tr>
        <w:tblPrEx>
          <w:tblCellMar>
            <w:top w:w="0" w:type="dxa"/>
            <w:left w:w="108" w:type="dxa"/>
            <w:bottom w:w="0" w:type="dxa"/>
            <w:right w:w="108" w:type="dxa"/>
          </w:tblCellMar>
        </w:tblPrEx>
        <w:trPr>
          <w:trHeight w:val="652" w:hRule="atLeast"/>
        </w:trPr>
        <w:tc>
          <w:tcPr>
            <w:tcW w:w="2000" w:type="dxa"/>
            <w:tcBorders>
              <w:top w:val="single" w:color="auto" w:sz="4" w:space="0"/>
              <w:left w:val="single" w:color="auto" w:sz="4" w:space="0"/>
              <w:bottom w:val="single" w:color="auto" w:sz="4" w:space="0"/>
              <w:right w:val="single" w:color="auto" w:sz="4" w:space="0"/>
            </w:tcBorders>
            <w:noWrap w:val="0"/>
            <w:vAlign w:val="center"/>
          </w:tcPr>
          <w:p>
            <w:pPr>
              <w:widowControl/>
              <w:rPr>
                <w:rFonts w:ascii="宋体" w:hAnsi="宋体" w:cs="宋体"/>
                <w:b/>
                <w:bCs/>
                <w:kern w:val="0"/>
                <w:sz w:val="22"/>
              </w:rPr>
            </w:pPr>
            <w:r>
              <w:rPr>
                <w:rFonts w:hint="eastAsia" w:ascii="宋体" w:hAnsi="宋体" w:cs="宋体"/>
                <w:b/>
                <w:bCs/>
                <w:kern w:val="0"/>
                <w:sz w:val="22"/>
              </w:rPr>
              <w:t>序号</w:t>
            </w:r>
          </w:p>
        </w:tc>
        <w:tc>
          <w:tcPr>
            <w:tcW w:w="3118" w:type="dxa"/>
            <w:tcBorders>
              <w:top w:val="single" w:color="auto" w:sz="4" w:space="0"/>
              <w:left w:val="nil"/>
              <w:bottom w:val="single" w:color="auto" w:sz="4" w:space="0"/>
              <w:right w:val="single" w:color="auto" w:sz="4" w:space="0"/>
            </w:tcBorders>
            <w:noWrap w:val="0"/>
            <w:vAlign w:val="center"/>
          </w:tcPr>
          <w:p>
            <w:pPr>
              <w:widowControl/>
              <w:rPr>
                <w:rFonts w:ascii="宋体" w:hAnsi="宋体" w:cs="宋体"/>
                <w:kern w:val="0"/>
                <w:sz w:val="22"/>
              </w:rPr>
            </w:pPr>
            <w:r>
              <w:rPr>
                <w:rFonts w:hint="eastAsia" w:ascii="宋体" w:hAnsi="宋体" w:cs="宋体"/>
                <w:b/>
                <w:bCs/>
                <w:kern w:val="0"/>
                <w:sz w:val="22"/>
              </w:rPr>
              <w:t>单位</w:t>
            </w:r>
          </w:p>
        </w:tc>
        <w:tc>
          <w:tcPr>
            <w:tcW w:w="1418" w:type="dxa"/>
            <w:tcBorders>
              <w:top w:val="single" w:color="auto" w:sz="4" w:space="0"/>
              <w:left w:val="nil"/>
              <w:bottom w:val="single" w:color="auto" w:sz="4" w:space="0"/>
              <w:right w:val="single" w:color="auto" w:sz="4" w:space="0"/>
            </w:tcBorders>
            <w:noWrap w:val="0"/>
            <w:vAlign w:val="center"/>
          </w:tcPr>
          <w:p>
            <w:pPr>
              <w:widowControl/>
              <w:rPr>
                <w:rFonts w:ascii="宋体" w:hAnsi="宋体" w:cs="宋体"/>
                <w:kern w:val="0"/>
                <w:sz w:val="22"/>
              </w:rPr>
            </w:pPr>
            <w:r>
              <w:rPr>
                <w:rFonts w:hint="eastAsia" w:ascii="彩虹小标宋" w:hAnsi="宋体" w:eastAsia="彩虹小标宋" w:cs="宋体"/>
                <w:sz w:val="22"/>
              </w:rPr>
              <w:t>点位</w:t>
            </w:r>
            <w:r>
              <w:rPr>
                <w:rFonts w:hint="eastAsia" w:ascii="彩虹小标宋" w:hAnsi="宋体" w:eastAsia="彩虹小标宋" w:cs="宋体"/>
                <w:kern w:val="0"/>
                <w:sz w:val="22"/>
              </w:rPr>
              <w:t>数量</w:t>
            </w:r>
          </w:p>
        </w:tc>
        <w:tc>
          <w:tcPr>
            <w:tcW w:w="1843" w:type="dxa"/>
            <w:tcBorders>
              <w:top w:val="single" w:color="auto" w:sz="4" w:space="0"/>
              <w:left w:val="nil"/>
              <w:bottom w:val="single" w:color="auto" w:sz="4" w:space="0"/>
              <w:right w:val="single" w:color="auto" w:sz="4" w:space="0"/>
            </w:tcBorders>
            <w:noWrap w:val="0"/>
            <w:vAlign w:val="center"/>
          </w:tcPr>
          <w:p>
            <w:pPr>
              <w:widowControl/>
              <w:rPr>
                <w:rFonts w:ascii="宋体" w:hAnsi="宋体" w:cs="宋体"/>
                <w:kern w:val="0"/>
                <w:sz w:val="22"/>
              </w:rPr>
            </w:pPr>
            <w:r>
              <w:rPr>
                <w:rFonts w:hint="eastAsia" w:ascii="彩虹小标宋" w:hAnsi="宋体" w:eastAsia="彩虹小标宋" w:cs="宋体"/>
                <w:kern w:val="0"/>
                <w:sz w:val="22"/>
              </w:rPr>
              <w:t>限价（元/</w:t>
            </w:r>
            <w:r>
              <w:rPr>
                <w:rFonts w:hint="eastAsia" w:ascii="彩虹小标宋" w:hAnsi="宋体" w:eastAsia="彩虹小标宋" w:cs="宋体"/>
                <w:sz w:val="22"/>
              </w:rPr>
              <w:t>点</w:t>
            </w:r>
            <w:r>
              <w:rPr>
                <w:rFonts w:hint="eastAsia" w:ascii="彩虹小标宋" w:hAnsi="宋体" w:eastAsia="彩虹小标宋" w:cs="宋体"/>
                <w:kern w:val="0"/>
                <w:sz w:val="22"/>
              </w:rPr>
              <w:t>/月）</w:t>
            </w:r>
          </w:p>
        </w:tc>
      </w:tr>
      <w:tr>
        <w:tblPrEx>
          <w:tblCellMar>
            <w:top w:w="0" w:type="dxa"/>
            <w:left w:w="108" w:type="dxa"/>
            <w:bottom w:w="0" w:type="dxa"/>
            <w:right w:w="108" w:type="dxa"/>
          </w:tblCellMar>
        </w:tblPrEx>
        <w:trPr>
          <w:trHeight w:val="643" w:hRule="atLeast"/>
        </w:trPr>
        <w:tc>
          <w:tcPr>
            <w:tcW w:w="2000" w:type="dxa"/>
            <w:tcBorders>
              <w:top w:val="nil"/>
              <w:left w:val="single" w:color="auto" w:sz="4" w:space="0"/>
              <w:bottom w:val="single" w:color="auto" w:sz="4" w:space="0"/>
              <w:right w:val="single" w:color="auto" w:sz="4" w:space="0"/>
            </w:tcBorders>
            <w:noWrap w:val="0"/>
            <w:vAlign w:val="center"/>
          </w:tcPr>
          <w:p>
            <w:pPr>
              <w:widowControl/>
              <w:rPr>
                <w:rFonts w:ascii="宋体" w:hAnsi="宋体" w:cs="宋体"/>
                <w:kern w:val="0"/>
                <w:sz w:val="22"/>
              </w:rPr>
            </w:pPr>
            <w:r>
              <w:rPr>
                <w:rFonts w:hint="eastAsia" w:ascii="宋体" w:hAnsi="宋体" w:cs="宋体"/>
                <w:kern w:val="0"/>
                <w:sz w:val="22"/>
              </w:rPr>
              <w:t>1</w:t>
            </w:r>
          </w:p>
        </w:tc>
        <w:tc>
          <w:tcPr>
            <w:tcW w:w="3118" w:type="dxa"/>
            <w:tcBorders>
              <w:top w:val="nil"/>
              <w:left w:val="nil"/>
              <w:bottom w:val="single" w:color="auto" w:sz="4" w:space="0"/>
              <w:right w:val="single" w:color="auto" w:sz="4" w:space="0"/>
            </w:tcBorders>
            <w:noWrap w:val="0"/>
            <w:vAlign w:val="center"/>
          </w:tcPr>
          <w:p>
            <w:pPr>
              <w:widowControl/>
              <w:rPr>
                <w:rFonts w:ascii="宋体" w:hAnsi="宋体" w:cs="宋体"/>
                <w:kern w:val="0"/>
                <w:sz w:val="22"/>
              </w:rPr>
            </w:pPr>
            <w:r>
              <w:rPr>
                <w:rFonts w:hint="eastAsia" w:ascii="宋体" w:hAnsi="宋体" w:cs="宋体"/>
                <w:kern w:val="0"/>
                <w:sz w:val="22"/>
              </w:rPr>
              <w:t>商丘分行夏邑支行110联网报警</w:t>
            </w:r>
          </w:p>
        </w:tc>
        <w:tc>
          <w:tcPr>
            <w:tcW w:w="1418" w:type="dxa"/>
            <w:tcBorders>
              <w:top w:val="nil"/>
              <w:left w:val="nil"/>
              <w:bottom w:val="single" w:color="auto" w:sz="4" w:space="0"/>
              <w:right w:val="single" w:color="auto" w:sz="4" w:space="0"/>
            </w:tcBorders>
            <w:noWrap w:val="0"/>
            <w:vAlign w:val="center"/>
          </w:tcPr>
          <w:p>
            <w:pPr>
              <w:widowControl/>
              <w:rPr>
                <w:rFonts w:hint="eastAsia" w:ascii="宋体" w:hAnsi="宋体" w:eastAsia="宋体" w:cs="宋体"/>
                <w:kern w:val="0"/>
                <w:sz w:val="22"/>
                <w:lang w:eastAsia="zh-CN"/>
              </w:rPr>
            </w:pPr>
            <w:r>
              <w:rPr>
                <w:rFonts w:hint="eastAsia" w:ascii="宋体" w:hAnsi="宋体" w:cs="宋体"/>
                <w:kern w:val="0"/>
                <w:sz w:val="22"/>
                <w:lang w:val="en-US" w:eastAsia="zh-CN"/>
              </w:rPr>
              <w:t>5</w:t>
            </w:r>
          </w:p>
        </w:tc>
        <w:tc>
          <w:tcPr>
            <w:tcW w:w="1843" w:type="dxa"/>
            <w:tcBorders>
              <w:top w:val="nil"/>
              <w:left w:val="nil"/>
              <w:bottom w:val="single" w:color="auto" w:sz="4" w:space="0"/>
              <w:right w:val="single" w:color="auto" w:sz="4" w:space="0"/>
            </w:tcBorders>
            <w:noWrap w:val="0"/>
            <w:vAlign w:val="center"/>
          </w:tcPr>
          <w:p>
            <w:pPr>
              <w:widowControl/>
              <w:rPr>
                <w:rFonts w:hint="default" w:ascii="宋体" w:hAnsi="宋体" w:eastAsia="宋体" w:cs="宋体"/>
                <w:kern w:val="0"/>
                <w:sz w:val="22"/>
                <w:lang w:val="en-US" w:eastAsia="zh-CN"/>
              </w:rPr>
            </w:pPr>
            <w:r>
              <w:rPr>
                <w:rFonts w:hint="eastAsia" w:ascii="宋体" w:hAnsi="宋体" w:cs="宋体"/>
                <w:kern w:val="0"/>
                <w:sz w:val="22"/>
                <w:lang w:val="en-US" w:eastAsia="zh-CN"/>
              </w:rPr>
              <w:t>700</w:t>
            </w:r>
          </w:p>
        </w:tc>
      </w:tr>
    </w:tbl>
    <w:p>
      <w:pPr>
        <w:adjustRightInd w:val="0"/>
        <w:snapToGrid w:val="0"/>
        <w:spacing w:line="560" w:lineRule="exact"/>
        <w:ind w:firstLine="640" w:firstLineChars="200"/>
        <w:rPr>
          <w:rFonts w:ascii="彩虹黑体" w:hAnsi="宋体" w:eastAsia="彩虹黑体"/>
          <w:snapToGrid w:val="0"/>
          <w:kern w:val="0"/>
          <w:sz w:val="32"/>
          <w:szCs w:val="32"/>
        </w:rPr>
      </w:pPr>
      <w:r>
        <w:rPr>
          <w:rFonts w:hint="eastAsia" w:ascii="彩虹黑体" w:hAnsi="宋体" w:eastAsia="彩虹黑体"/>
          <w:snapToGrid w:val="0"/>
          <w:kern w:val="0"/>
          <w:sz w:val="32"/>
          <w:szCs w:val="32"/>
        </w:rPr>
        <w:t>九、其他要求</w:t>
      </w:r>
    </w:p>
    <w:p>
      <w:pPr>
        <w:adjustRightInd w:val="0"/>
        <w:snapToGrid w:val="0"/>
        <w:spacing w:line="360" w:lineRule="auto"/>
        <w:ind w:firstLine="640" w:firstLineChars="200"/>
      </w:pPr>
      <w:r>
        <w:rPr>
          <w:rFonts w:hint="eastAsia" w:ascii="彩虹粗仿宋" w:hAnsi="宋体" w:eastAsia="彩虹粗仿宋"/>
          <w:snapToGrid w:val="0"/>
          <w:sz w:val="32"/>
          <w:szCs w:val="32"/>
        </w:rPr>
        <w:t>无。</w:t>
      </w:r>
    </w:p>
    <w:p>
      <w:pPr>
        <w:widowControl/>
        <w:ind w:firstLine="420" w:firstLineChars="200"/>
        <w:rPr>
          <w:b/>
          <w:bCs/>
          <w:snapToGrid w:val="0"/>
          <w:kern w:val="44"/>
          <w:sz w:val="44"/>
          <w:szCs w:val="44"/>
        </w:rPr>
      </w:pPr>
      <w:r>
        <w:rPr>
          <w:snapToGrid w:val="0"/>
        </w:rPr>
        <w:br w:type="page"/>
      </w:r>
    </w:p>
    <w:p>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彩虹黑体">
    <w:panose1 w:val="03000509000000000000"/>
    <w:charset w:val="86"/>
    <w:family w:val="script"/>
    <w:pitch w:val="default"/>
    <w:sig w:usb0="00000001" w:usb1="080E0000" w:usb2="00000000" w:usb3="00000000" w:csb0="00040000" w:csb1="00000000"/>
  </w:font>
  <w:font w:name="彩虹粗仿宋">
    <w:panose1 w:val="03000509000000000000"/>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彩虹小标宋">
    <w:panose1 w:val="03000509000000000000"/>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725E55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qFormat/>
    <w:uiPriority w:val="9"/>
    <w:pPr>
      <w:keepNext/>
      <w:keepLines/>
      <w:spacing w:before="340" w:after="330" w:line="578" w:lineRule="auto"/>
      <w:outlineLvl w:val="0"/>
    </w:pPr>
    <w:rPr>
      <w:b/>
      <w:bCs/>
      <w:kern w:val="44"/>
      <w:sz w:val="44"/>
      <w:szCs w:val="44"/>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character" w:customStyle="1" w:styleId="5">
    <w:name w:val="im-content1"/>
    <w:qFormat/>
    <w:uiPriority w:val="0"/>
    <w:rPr>
      <w:color w:val="000000"/>
    </w:rPr>
  </w:style>
  <w:style w:type="paragraph" w:styleId="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Office_12.8.2.15209_F1E327BC-269C-435d-A152-05C5408002CA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2024-05-24T01:30:28Z</dcterms:created>
  <dc:creator>haccb</dc:creator>
  <cp:lastModifiedBy>haccb</cp:lastModifiedBy>
  <dcterms:modified xsi:type="dcterms:W3CDTF">2024-05-24T01:31:11Z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2052-12.8.2.15209</vt:lpwstr>
  </property>
  <property fmtid="{D5CDD505-2E9C-101B-9397-08002B2CF9AE}" pid="3" name="ICV">
    <vt:lpwstr>068D73527B1D4975A37FF012D349D4D7_12</vt:lpwstr>
  </property>
</Properties>
</file>