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彩虹小标宋" w:hAnsi="Times New Roman" w:eastAsia="彩虹小标宋" w:cs="Times New Roman"/>
          <w:bCs/>
          <w:sz w:val="44"/>
          <w:szCs w:val="44"/>
        </w:rPr>
      </w:pPr>
      <w:r>
        <w:rPr>
          <w:rFonts w:hint="eastAsia" w:ascii="彩虹小标宋" w:hAnsi="Times New Roman" w:eastAsia="彩虹小标宋" w:cs="Times New Roman"/>
          <w:bCs/>
          <w:sz w:val="44"/>
          <w:szCs w:val="44"/>
        </w:rPr>
        <w:t>关于2025年葫芦岛分行</w:t>
      </w:r>
      <w:r>
        <w:rPr>
          <w:rFonts w:hint="eastAsia" w:ascii="彩虹小标宋" w:eastAsia="彩虹小标宋"/>
          <w:sz w:val="44"/>
          <w:szCs w:val="44"/>
        </w:rPr>
        <w:t>更换配电室低压柜及增设变电箱站的</w:t>
      </w:r>
      <w:r>
        <w:rPr>
          <w:rFonts w:hint="eastAsia" w:ascii="彩虹小标宋" w:hAnsi="Times New Roman" w:eastAsia="彩虹小标宋" w:cs="Times New Roman"/>
          <w:bCs/>
          <w:sz w:val="44"/>
          <w:szCs w:val="44"/>
        </w:rPr>
        <w:t>采购需求书</w:t>
      </w:r>
    </w:p>
    <w:p>
      <w:pPr>
        <w:adjustRightInd w:val="0"/>
        <w:snapToGrid w:val="0"/>
        <w:spacing w:line="360" w:lineRule="auto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项目服务范围</w:t>
      </w:r>
    </w:p>
    <w:p>
      <w:pPr>
        <w:adjustRightInd w:val="0"/>
        <w:snapToGrid w:val="0"/>
        <w:spacing w:line="360" w:lineRule="auto"/>
        <w:ind w:left="640" w:firstLine="640" w:firstLineChars="200"/>
        <w:rPr>
          <w:rFonts w:hint="default" w:ascii="彩虹粗仿宋" w:hAnsi="宋体" w:eastAsia="彩虹粗仿宋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彩虹粗仿宋" w:hAnsi="Times New Roman" w:eastAsia="彩虹粗仿宋" w:cs="Times New Roman"/>
          <w:bCs/>
          <w:color w:val="auto"/>
          <w:sz w:val="32"/>
          <w:szCs w:val="32"/>
        </w:rPr>
        <w:t>葫芦岛分行</w:t>
      </w:r>
      <w:r>
        <w:rPr>
          <w:rFonts w:hint="eastAsia" w:ascii="彩虹粗仿宋" w:hAnsi="Times New Roman" w:eastAsia="彩虹粗仿宋" w:cs="Times New Roman"/>
          <w:bCs/>
          <w:color w:val="auto"/>
          <w:sz w:val="32"/>
          <w:szCs w:val="32"/>
          <w:lang w:eastAsia="zh-CN"/>
        </w:rPr>
        <w:t>市行本部</w:t>
      </w:r>
      <w:r>
        <w:rPr>
          <w:rFonts w:hint="eastAsia" w:ascii="彩虹粗仿宋" w:eastAsia="彩虹粗仿宋"/>
          <w:color w:val="auto"/>
          <w:sz w:val="32"/>
          <w:szCs w:val="32"/>
        </w:rPr>
        <w:t>更换配电室低压柜及增设变电箱站</w:t>
      </w:r>
      <w:r>
        <w:rPr>
          <w:rFonts w:hint="eastAsia" w:ascii="彩虹粗仿宋" w:eastAsia="彩虹粗仿宋"/>
          <w:color w:val="auto"/>
          <w:sz w:val="32"/>
          <w:szCs w:val="32"/>
          <w:lang w:eastAsia="zh-CN"/>
        </w:rPr>
        <w:t>（</w:t>
      </w:r>
      <w:r>
        <w:rPr>
          <w:rFonts w:hint="eastAsia" w:ascii="彩虹粗仿宋" w:eastAsia="彩虹粗仿宋"/>
          <w:color w:val="auto"/>
          <w:sz w:val="32"/>
          <w:szCs w:val="32"/>
          <w:lang w:val="en-US" w:eastAsia="zh-CN"/>
        </w:rPr>
        <w:t>设备费用部分含机械安装调试费用</w:t>
      </w:r>
      <w:r>
        <w:rPr>
          <w:rFonts w:hint="eastAsia" w:ascii="彩虹粗仿宋" w:eastAsia="彩虹粗仿宋"/>
          <w:color w:val="auto"/>
          <w:sz w:val="32"/>
          <w:szCs w:val="32"/>
          <w:lang w:eastAsia="zh-CN"/>
        </w:rPr>
        <w:t>）。</w:t>
      </w:r>
      <w:r>
        <w:rPr>
          <w:rFonts w:hint="eastAsia" w:ascii="彩虹粗仿宋" w:eastAsia="彩虹粗仿宋"/>
          <w:color w:val="auto"/>
          <w:sz w:val="32"/>
          <w:szCs w:val="32"/>
          <w:lang w:val="en-US" w:eastAsia="zh-CN"/>
        </w:rPr>
        <w:t>本项目服务范围不含电增容设计费。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服务品类</w:t>
      </w:r>
    </w:p>
    <w:p>
      <w:pPr>
        <w:adjustRightInd w:val="0"/>
        <w:snapToGrid w:val="0"/>
        <w:spacing w:line="360" w:lineRule="auto"/>
        <w:ind w:left="640" w:leftChars="305" w:firstLine="640" w:firstLineChars="200"/>
        <w:rPr>
          <w:rFonts w:ascii="彩虹粗仿宋" w:hAnsi="宋体" w:eastAsia="彩虹粗仿宋" w:cs="Times New Roman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更换配电室低压柜及增设变电箱站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服务内容</w:t>
      </w:r>
    </w:p>
    <w:p>
      <w:pPr>
        <w:adjustRightInd w:val="0"/>
        <w:snapToGrid w:val="0"/>
        <w:spacing w:line="360" w:lineRule="auto"/>
        <w:ind w:left="640" w:leftChars="305" w:firstLine="640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</w:rPr>
        <w:t>购置配电室低压柜及变电箱站设备</w:t>
      </w:r>
      <w:r>
        <w:rPr>
          <w:rFonts w:hint="eastAsia" w:ascii="彩虹粗仿宋" w:eastAsia="彩虹粗仿宋"/>
          <w:color w:val="auto"/>
          <w:sz w:val="32"/>
          <w:szCs w:val="32"/>
        </w:rPr>
        <w:t>并安装测试，电业局验收合格并送电。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服务质量要求</w:t>
      </w:r>
    </w:p>
    <w:p>
      <w:pPr>
        <w:adjustRightInd w:val="0"/>
        <w:snapToGrid w:val="0"/>
        <w:spacing w:line="360" w:lineRule="auto"/>
        <w:ind w:left="640" w:leftChars="305" w:firstLine="640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color w:val="auto"/>
          <w:sz w:val="32"/>
          <w:szCs w:val="32"/>
        </w:rPr>
        <w:t>以国家或行业的质量检验评定标准为依据，质量标准到达优良，严格按照国家及辽宁省等相关法律法规执行，获得电业局的验收合格资质，同时要符合建设单位提出的所有功能需求。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供应商资质</w:t>
      </w:r>
    </w:p>
    <w:p>
      <w:pPr>
        <w:rPr>
          <w:rFonts w:hint="eastAsia" w:ascii="彩虹粗仿宋" w:hAnsi="仿宋" w:eastAsia="彩虹粗仿宋" w:cs="仿宋"/>
          <w:color w:val="auto"/>
          <w:sz w:val="32"/>
          <w:szCs w:val="32"/>
        </w:rPr>
      </w:pP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1.必须是依照国家有关法律设立，具有独立法人地位的公司(企业)，具有独立承担民事责任的能力，及良好的商业信誉和健全的财务会计制度，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lang w:val="en-US" w:eastAsia="zh-CN"/>
        </w:rPr>
        <w:t>公司（企业）成立2年以上，</w:t>
      </w: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具有履行合同所必须的设备和专业技术能力（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highlight w:val="yellow"/>
        </w:rPr>
        <w:t>输变电工程专业承包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highlight w:val="yellow"/>
          <w:lang w:eastAsia="zh-CN"/>
        </w:rPr>
        <w:t>二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highlight w:val="yellow"/>
        </w:rPr>
        <w:t>级及以上或者电力工程施工总承包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highlight w:val="yellow"/>
          <w:lang w:eastAsia="zh-CN"/>
        </w:rPr>
        <w:t>二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highlight w:val="yellow"/>
        </w:rPr>
        <w:t>级及以上；同时，具备《承装（修、试）电力设施许可证》</w:t>
      </w:r>
      <w:r>
        <w:rPr>
          <w:rFonts w:hint="eastAsia" w:ascii="彩虹粗仿宋" w:eastAsia="彩虹粗仿宋"/>
          <w:color w:val="auto"/>
          <w:sz w:val="32"/>
          <w:szCs w:val="32"/>
          <w:highlight w:val="yellow"/>
        </w:rPr>
        <w:t xml:space="preserve"> 承装</w:t>
      </w:r>
      <w:r>
        <w:rPr>
          <w:rFonts w:hint="eastAsia" w:ascii="彩虹粗仿宋" w:eastAsia="彩虹粗仿宋"/>
          <w:color w:val="auto"/>
          <w:sz w:val="32"/>
          <w:szCs w:val="32"/>
          <w:highlight w:val="yellow"/>
          <w:lang w:eastAsia="zh-CN"/>
        </w:rPr>
        <w:t>二级、承修三级、承试三级及以</w:t>
      </w:r>
      <w:r>
        <w:rPr>
          <w:rFonts w:hint="eastAsia" w:ascii="彩虹粗仿宋" w:eastAsia="彩虹粗仿宋"/>
          <w:color w:val="auto"/>
          <w:sz w:val="32"/>
          <w:szCs w:val="32"/>
          <w:highlight w:val="yellow"/>
        </w:rPr>
        <w:t>上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highlight w:val="yellow"/>
        </w:rPr>
        <w:t>），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highlight w:val="yellow"/>
          <w:lang w:eastAsia="zh-CN"/>
        </w:rPr>
        <w:t>并且具有有效的安全生产许可证，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highlight w:val="yellow"/>
        </w:rPr>
        <w:t>须提供有效期内的营业执照副本</w:t>
      </w: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;</w:t>
      </w:r>
      <w:r>
        <w:rPr>
          <w:rFonts w:hint="eastAsia" w:ascii="彩虹粗仿宋" w:eastAsia="彩虹粗仿宋" w:cs="Times New Roman"/>
          <w:snapToGrid w:val="0"/>
          <w:kern w:val="0"/>
          <w:sz w:val="32"/>
          <w:szCs w:val="32"/>
          <w:lang w:eastAsia="zh-CN"/>
        </w:rPr>
        <w:t>【</w:t>
      </w:r>
      <w:r>
        <w:rPr>
          <w:rFonts w:hint="eastAsia" w:ascii="彩虹粗仿宋" w:eastAsia="彩虹粗仿宋" w:cs="Times New Roman"/>
          <w:snapToGrid w:val="0"/>
          <w:color w:val="FF0000"/>
          <w:kern w:val="0"/>
          <w:sz w:val="32"/>
          <w:szCs w:val="32"/>
          <w:lang w:eastAsia="zh-CN"/>
        </w:rPr>
        <w:t>需</w:t>
      </w:r>
      <w:r>
        <w:rPr>
          <w:rFonts w:hint="eastAsia" w:ascii="彩虹粗仿宋" w:hAnsi="宋体" w:eastAsia="彩虹粗仿宋" w:cs="Times New Roman"/>
          <w:snapToGrid w:val="0"/>
          <w:color w:val="FF0000"/>
          <w:kern w:val="0"/>
          <w:sz w:val="32"/>
          <w:szCs w:val="32"/>
        </w:rPr>
        <w:t>上传至龙集采网站-企业信息维护-资质</w:t>
      </w:r>
      <w:r>
        <w:rPr>
          <w:rFonts w:hint="eastAsia" w:ascii="彩虹粗仿宋" w:eastAsia="彩虹粗仿宋" w:cs="Times New Roman"/>
          <w:snapToGrid w:val="0"/>
          <w:color w:val="FF0000"/>
          <w:kern w:val="0"/>
          <w:sz w:val="32"/>
          <w:szCs w:val="32"/>
          <w:lang w:eastAsia="zh-CN"/>
        </w:rPr>
        <w:t>信息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。</w:t>
      </w:r>
      <w:r>
        <w:rPr>
          <w:rFonts w:hint="eastAsia" w:ascii="彩虹粗仿宋" w:eastAsia="彩虹粗仿宋" w:cs="Times New Roman"/>
          <w:snapToGrid w:val="0"/>
          <w:sz w:val="32"/>
          <w:szCs w:val="32"/>
          <w:lang w:eastAsia="zh-CN"/>
        </w:rPr>
        <w:t>】</w:t>
      </w:r>
    </w:p>
    <w:p>
      <w:pPr>
        <w:spacing w:line="360" w:lineRule="auto"/>
        <w:ind w:firstLine="640" w:firstLineChars="200"/>
        <w:rPr>
          <w:rFonts w:ascii="彩虹粗仿宋" w:hAnsi="仿宋" w:eastAsia="彩虹粗仿宋" w:cs="仿宋"/>
          <w:color w:val="auto"/>
          <w:sz w:val="32"/>
          <w:szCs w:val="32"/>
        </w:rPr>
      </w:pPr>
      <w:r>
        <w:rPr>
          <w:rFonts w:hint="eastAsia" w:ascii="彩虹粗仿宋" w:hAnsi="仿宋" w:eastAsia="彩虹粗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.能够按照我行要求开具正规真实增值税专用发票，有依法缴纳税收的良好记录;</w:t>
      </w:r>
    </w:p>
    <w:p>
      <w:pPr>
        <w:spacing w:line="360" w:lineRule="auto"/>
        <w:ind w:firstLine="640" w:firstLineChars="200"/>
        <w:rPr>
          <w:rFonts w:ascii="彩虹粗仿宋" w:hAnsi="仿宋" w:eastAsia="彩虹粗仿宋" w:cs="仿宋"/>
          <w:color w:val="auto"/>
          <w:sz w:val="32"/>
          <w:szCs w:val="32"/>
        </w:rPr>
      </w:pPr>
      <w:r>
        <w:rPr>
          <w:rFonts w:hint="eastAsia" w:ascii="彩虹粗仿宋" w:hAnsi="仿宋" w:eastAsia="彩虹粗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.供应商在近三年内在经营活动中没有严重违法记录，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lang w:eastAsia="zh-CN"/>
        </w:rPr>
        <w:t>在“信用中国”（</w:t>
      </w:r>
      <w:r>
        <w:rPr>
          <w:rFonts w:hint="default" w:ascii="彩虹粗仿宋" w:hAnsi="仿宋" w:eastAsia="彩虹粗仿宋" w:cs="仿宋"/>
          <w:color w:val="auto"/>
          <w:sz w:val="32"/>
          <w:szCs w:val="32"/>
          <w:lang w:val="en-US" w:eastAsia="zh-CN"/>
        </w:rPr>
        <w:t>http://www.creditchina.gov.cn/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lang w:eastAsia="zh-CN"/>
        </w:rPr>
        <w:t>）网站及“中国政府采购网”（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lang w:val="en-US" w:eastAsia="zh-CN"/>
        </w:rPr>
        <w:t>www.ccgp.gov.cn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lang w:eastAsia="zh-CN"/>
        </w:rPr>
        <w:t>）或者与此相关的网站中没有被列入失信被执行人、重大税收违法案件当事人名单、政府采购严重违法失信行为记录名单。同时</w:t>
      </w: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须提供经会计师事务所审计的近三年财务审计报告(202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年至今)。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彩虹粗仿宋" w:hAnsi="仿宋" w:eastAsia="彩虹粗仿宋" w:cs="仿宋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彩虹粗仿宋" w:hAnsi="仿宋" w:eastAsia="彩虹粗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.在2015年至今，至少有一项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lang w:eastAsia="zh-CN"/>
        </w:rPr>
        <w:t>同电压等级，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highlight w:val="none"/>
          <w:lang w:eastAsia="zh-CN"/>
        </w:rPr>
        <w:t>合同金额</w:t>
      </w:r>
      <w:r>
        <w:rPr>
          <w:rFonts w:hint="eastAsia" w:ascii="彩虹粗仿宋" w:hAnsi="仿宋" w:eastAsia="彩虹粗仿宋" w:cs="仿宋"/>
          <w:color w:val="auto"/>
          <w:sz w:val="32"/>
          <w:szCs w:val="32"/>
          <w:highlight w:val="none"/>
          <w:lang w:val="en-US" w:eastAsia="zh-CN"/>
        </w:rPr>
        <w:t>在100万以上的</w:t>
      </w:r>
      <w:r>
        <w:rPr>
          <w:rFonts w:hint="eastAsia" w:ascii="彩虹粗仿宋" w:hAnsi="仿宋" w:eastAsia="彩虹粗仿宋" w:cs="仿宋"/>
          <w:strike w:val="0"/>
          <w:dstrike w:val="0"/>
          <w:color w:val="auto"/>
          <w:sz w:val="32"/>
          <w:szCs w:val="32"/>
          <w:highlight w:val="none"/>
          <w:lang w:eastAsia="zh-CN"/>
        </w:rPr>
        <w:t>合作案例</w:t>
      </w:r>
      <w:r>
        <w:rPr>
          <w:rFonts w:hint="eastAsia" w:ascii="彩虹粗仿宋" w:hAnsi="仿宋" w:eastAsia="彩虹粗仿宋" w:cs="仿宋"/>
          <w:strike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对拟采购设备要求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供应商所提供的相关产品</w:t>
      </w: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  <w:lang w:val="en-US" w:eastAsia="zh-CN"/>
        </w:rPr>
        <w:t>必</w:t>
      </w: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须符合电业局相关要求，具体内容见设计图。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七、设计施工要求</w:t>
      </w:r>
    </w:p>
    <w:p>
      <w:pPr>
        <w:spacing w:line="360" w:lineRule="auto"/>
        <w:ind w:firstLine="640" w:firstLineChars="200"/>
        <w:rPr>
          <w:rFonts w:ascii="彩虹粗仿宋" w:hAnsi="仿宋" w:eastAsia="彩虹粗仿宋" w:cs="仿宋"/>
          <w:b/>
          <w:bCs/>
          <w:color w:val="auto"/>
          <w:sz w:val="32"/>
          <w:szCs w:val="32"/>
        </w:rPr>
      </w:pP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1、供应商应承担安装调</w:t>
      </w:r>
      <w:r>
        <w:rPr>
          <w:rFonts w:hint="eastAsia" w:ascii="彩虹粗仿宋" w:hAnsi="仿宋" w:eastAsia="彩虹粗仿宋" w:cs="仿宋"/>
          <w:snapToGrid w:val="0"/>
          <w:color w:val="auto"/>
          <w:kern w:val="0"/>
          <w:sz w:val="32"/>
          <w:szCs w:val="32"/>
        </w:rPr>
        <w:t>试</w:t>
      </w: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过程中的一切费用（含材料和人工等费用、不含电源到位的费用）。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2、施工安装前，应先同分行沟通，在规定的时间进行安装。供应商应确保合同约定下所有设备正常工作，若发生损坏，或安装不当造成人员受伤等负责事故，供应商需要承担全部责任。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八、款项支付要求</w:t>
      </w:r>
    </w:p>
    <w:p>
      <w:pPr>
        <w:spacing w:line="360" w:lineRule="auto"/>
        <w:ind w:firstLine="640" w:firstLineChars="200"/>
        <w:rPr>
          <w:rFonts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1、甲方采用银行转账</w:t>
      </w: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或电汇方式向乙方支付合同价款；</w:t>
      </w:r>
    </w:p>
    <w:p>
      <w:pPr>
        <w:pStyle w:val="8"/>
        <w:spacing w:line="360" w:lineRule="auto"/>
        <w:ind w:firstLine="640"/>
        <w:rPr>
          <w:rFonts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2、付款方式</w:t>
      </w:r>
    </w:p>
    <w:p>
      <w:pPr>
        <w:spacing w:line="360" w:lineRule="auto"/>
        <w:ind w:firstLine="640" w:firstLineChars="200"/>
        <w:rPr>
          <w:rFonts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（1）验收款：合同项目所有设备到场、安装调试完成并通过甲方验收后的3日内，甲方向乙方支付合同总金额的95%项目验收款。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（2）履约保证金：合同金额的5%为履约保证金，免费维保期满后如无质量问题，经甲方审核同意后无息支付。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（3）开具增值税专用发票，并于收到货款后的3个工作日之内将发票寄出。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九、售后服务要求</w:t>
      </w:r>
    </w:p>
    <w:p>
      <w:pPr>
        <w:pStyle w:val="8"/>
        <w:spacing w:line="360" w:lineRule="auto"/>
        <w:ind w:firstLine="640"/>
        <w:rPr>
          <w:rFonts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1、维修响应时间： 设7×24小时售后服务热线电话，提供快速售后服务。在接到维修通知后，及时派遣技术人员在1小时内与用户取得联系。如需现场服务，应及时赶赴现场，应在8小时（工作时）内到位维修，并尽快使产品正常使用。</w:t>
      </w:r>
    </w:p>
    <w:p>
      <w:pPr>
        <w:pStyle w:val="8"/>
        <w:spacing w:line="360" w:lineRule="auto"/>
        <w:ind w:firstLine="640"/>
        <w:rPr>
          <w:rFonts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2、回访和主动巡检机制，定期了解客户的使用情况，为客户排除潜在隐患。</w:t>
      </w:r>
    </w:p>
    <w:p>
      <w:pPr>
        <w:pStyle w:val="8"/>
        <w:spacing w:line="360" w:lineRule="auto"/>
        <w:ind w:firstLine="640"/>
        <w:rPr>
          <w:rFonts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3、备品备件：合同质保期内在当地常驻售后服务机构常备不少于合同配置5%的备品备件；在合同货物质保期过后、设备寿命使用期内，向买方提供所需设备的备品备件，按要求在5个工作日内发出，价格以备件合同价格为准。在产品退市前事先告知客户。</w:t>
      </w:r>
    </w:p>
    <w:p>
      <w:pPr>
        <w:pStyle w:val="8"/>
        <w:spacing w:line="360" w:lineRule="auto"/>
        <w:ind w:firstLine="640"/>
        <w:rPr>
          <w:rFonts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4、技术人员配备：当地常驻售后服务机构中设该项目售后技术人员2人。</w:t>
      </w:r>
    </w:p>
    <w:p>
      <w:pPr>
        <w:pStyle w:val="8"/>
        <w:spacing w:line="360" w:lineRule="auto"/>
        <w:ind w:firstLine="640"/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5、维保期限：对提供的设备提供正常使用质保，对质保期内发生的产品质量问题提供免费维修和更换服务，质保期后提供收费服务。质保期为系统验收交付之日起</w:t>
      </w: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  <w:u w:val="single"/>
        </w:rPr>
        <w:t>2</w:t>
      </w: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年。对不可抗力，如战争、地震引起的设备和系统使用问题不在质保范围之内。提供不少于</w:t>
      </w:r>
      <w:r>
        <w:rPr>
          <w:rFonts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3</w:t>
      </w: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年的有偿维修服务。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仿宋" w:eastAsia="彩虹粗仿宋" w:cs="仿宋"/>
          <w:color w:val="auto"/>
          <w:sz w:val="32"/>
          <w:szCs w:val="32"/>
        </w:rPr>
      </w:pPr>
      <w:r>
        <w:rPr>
          <w:rFonts w:hint="eastAsia" w:ascii="彩虹粗仿宋" w:hAnsi="仿宋" w:eastAsia="彩虹粗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.具有专业电力维修能力，保证设备发生故障后2小时能够到达现场。</w:t>
      </w:r>
    </w:p>
    <w:p>
      <w:pPr>
        <w:pStyle w:val="7"/>
        <w:rPr>
          <w:color w:val="auto"/>
        </w:rPr>
      </w:pPr>
    </w:p>
    <w:p>
      <w:p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十、报价要求</w:t>
      </w:r>
    </w:p>
    <w:p>
      <w:pPr>
        <w:spacing w:line="360" w:lineRule="auto"/>
        <w:ind w:firstLine="640" w:firstLineChars="200"/>
        <w:rPr>
          <w:rFonts w:hint="default" w:ascii="彩虹粗仿宋" w:hAnsi="仿宋" w:eastAsia="彩虹粗仿宋" w:cs="仿宋"/>
          <w:bCs/>
          <w:snapToGrid w:val="0"/>
          <w:color w:val="auto"/>
          <w:kern w:val="0"/>
          <w:sz w:val="32"/>
          <w:szCs w:val="32"/>
          <w:lang w:val="en-US"/>
        </w:rPr>
      </w:pPr>
      <w:r>
        <w:rPr>
          <w:rFonts w:hint="eastAsia" w:ascii="彩虹粗仿宋" w:hAnsi="仿宋" w:eastAsia="彩虹粗仿宋" w:cs="仿宋"/>
          <w:color w:val="auto"/>
          <w:sz w:val="32"/>
          <w:szCs w:val="32"/>
        </w:rPr>
        <w:t>1、本次报价包含全套设备</w:t>
      </w: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的供货及安装、调试、送电等，综合单价中应包括设备费、运输费、税费、安装调试及培训所需的人工费用、质保、管理费、保险费、利润等各项费用</w:t>
      </w:r>
      <w:r>
        <w:rPr>
          <w:rFonts w:hint="default" w:ascii="彩虹粗仿宋" w:hAnsi="仿宋" w:eastAsia="彩虹粗仿宋" w:cs="仿宋"/>
          <w:bCs/>
          <w:snapToGrid w:val="0"/>
          <w:color w:val="auto"/>
          <w:kern w:val="0"/>
          <w:sz w:val="32"/>
          <w:szCs w:val="32"/>
          <w:lang w:val="en-US"/>
        </w:rPr>
        <w:t>/</w:t>
      </w:r>
    </w:p>
    <w:p>
      <w:pPr>
        <w:pStyle w:val="8"/>
        <w:spacing w:line="360" w:lineRule="auto"/>
        <w:ind w:firstLine="640"/>
        <w:rPr>
          <w:rFonts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仿宋" w:eastAsia="彩虹粗仿宋" w:cs="仿宋"/>
          <w:bCs/>
          <w:snapToGrid w:val="0"/>
          <w:color w:val="auto"/>
          <w:kern w:val="0"/>
          <w:sz w:val="32"/>
          <w:szCs w:val="32"/>
        </w:rPr>
        <w:t>2、供应商在报价表中未明列的项目，属于产品成品应含配置，视同已包含于相关产品报价中，采购方不再承担其他任何费用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微软雅黑" w:cs="Times New Roman"/>
          <w:b/>
          <w:bCs/>
          <w:snapToGrid w:val="0"/>
          <w:color w:val="auto"/>
          <w:kern w:val="0"/>
          <w:sz w:val="32"/>
          <w:szCs w:val="32"/>
        </w:rPr>
        <w:t>十一、其他要求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彩虹粗仿宋" w:hAnsi="宋体" w:eastAsia="彩虹粗仿宋" w:cs="Times New Roman"/>
          <w:snapToGrid w:val="0"/>
          <w:color w:val="auto"/>
          <w:sz w:val="32"/>
          <w:szCs w:val="32"/>
          <w:lang w:val="en-US"/>
        </w:rPr>
      </w:pPr>
      <w:r>
        <w:rPr>
          <w:rFonts w:hint="default" w:ascii="彩虹粗仿宋" w:hAnsi="宋体" w:eastAsia="彩虹粗仿宋" w:cs="Times New Roman"/>
          <w:snapToGrid w:val="0"/>
          <w:color w:val="auto"/>
          <w:sz w:val="32"/>
          <w:szCs w:val="32"/>
          <w:lang w:val="en-US"/>
        </w:rPr>
        <w:t>/</w:t>
      </w:r>
    </w:p>
    <w:p>
      <w:pPr>
        <w:ind w:firstLine="640" w:firstLineChars="200"/>
        <w:rPr>
          <w:highlight w:val="yellow"/>
        </w:rPr>
      </w:pPr>
      <w:r>
        <w:rPr>
          <w:rFonts w:hint="eastAsia" w:ascii="彩虹粗仿宋" w:hAnsi="宋体" w:eastAsia="彩虹粗仿宋" w:cs="Times New Roman"/>
          <w:b w:val="0"/>
          <w:bCs w:val="0"/>
          <w:snapToGrid w:val="0"/>
          <w:color w:val="auto"/>
          <w:sz w:val="32"/>
          <w:szCs w:val="32"/>
          <w:highlight w:val="none"/>
          <w:lang w:val="en-US" w:eastAsia="zh-CN"/>
        </w:rPr>
        <w:t>3.</w:t>
      </w:r>
      <w:bookmarkStart w:id="0" w:name="_GoBack"/>
      <w:r>
        <w:rPr>
          <w:rFonts w:hint="eastAsia" w:ascii="彩虹粗仿宋" w:hAnsi="宋体" w:eastAsia="彩虹粗仿宋" w:cs="Times New Roman"/>
          <w:b w:val="0"/>
          <w:bCs w:val="0"/>
          <w:snapToGrid w:val="0"/>
          <w:color w:val="auto"/>
          <w:sz w:val="32"/>
          <w:szCs w:val="32"/>
          <w:highlight w:val="yellow"/>
          <w:lang w:val="en-US" w:eastAsia="zh-CN"/>
        </w:rPr>
        <w:t>需经葫芦岛电业局验收合格并送电后付款。</w:t>
      </w:r>
    </w:p>
    <w:bookmarkEnd w:id="0"/>
    <w:p/>
    <w:p>
      <w:pPr>
        <w:rPr>
          <w:rFonts w:hint="eastAsia" w:ascii="彩虹粗仿宋" w:eastAsia="彩虹粗仿宋" w:cs="Times New Roman"/>
          <w:snapToGrid w:val="0"/>
          <w:kern w:val="0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方正宋体-人口信息-P2">
    <w:panose1 w:val="03000509000000000000"/>
    <w:charset w:val="86"/>
    <w:family w:val="auto"/>
    <w:pitch w:val="default"/>
    <w:sig w:usb0="10002003" w:usb1="BB1E0800" w:usb2="000A004E" w:usb3="00000000" w:csb0="003C0041" w:csb1="A0080000"/>
  </w:font>
  <w:font w:name="仿宋">
    <w:altName w:val="宋体"/>
    <w:panose1 w:val="02010609060101010101"/>
    <w:charset w:val="00"/>
    <w:family w:val="modern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39C4D4"/>
    <w:multiLevelType w:val="singleLevel"/>
    <w:tmpl w:val="A139C4D4"/>
    <w:lvl w:ilvl="0" w:tentative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DF8293"/>
    <w:rsid w:val="25BDC10D"/>
    <w:rsid w:val="32F73821"/>
    <w:rsid w:val="35FB6739"/>
    <w:rsid w:val="3B79423D"/>
    <w:rsid w:val="3DE9798F"/>
    <w:rsid w:val="3EDD2EFC"/>
    <w:rsid w:val="3F6B63C7"/>
    <w:rsid w:val="3FDFCF32"/>
    <w:rsid w:val="462F5330"/>
    <w:rsid w:val="4B9F23E2"/>
    <w:rsid w:val="4EEB014F"/>
    <w:rsid w:val="4F7EA003"/>
    <w:rsid w:val="4F975673"/>
    <w:rsid w:val="527F4528"/>
    <w:rsid w:val="53FD1092"/>
    <w:rsid w:val="577F7CA0"/>
    <w:rsid w:val="57BF177F"/>
    <w:rsid w:val="59CED5C5"/>
    <w:rsid w:val="59F5571D"/>
    <w:rsid w:val="5A7A5334"/>
    <w:rsid w:val="5DFB4CAC"/>
    <w:rsid w:val="5F3BF836"/>
    <w:rsid w:val="5FCF93EE"/>
    <w:rsid w:val="5FDF7263"/>
    <w:rsid w:val="677D1227"/>
    <w:rsid w:val="67EFF1B7"/>
    <w:rsid w:val="6D65055C"/>
    <w:rsid w:val="6DFF8EB3"/>
    <w:rsid w:val="6E77D2FA"/>
    <w:rsid w:val="6F7FF2EF"/>
    <w:rsid w:val="6FBFC2C1"/>
    <w:rsid w:val="6FF7CACA"/>
    <w:rsid w:val="714F8A06"/>
    <w:rsid w:val="71FB987A"/>
    <w:rsid w:val="71FFD3E8"/>
    <w:rsid w:val="74FF5952"/>
    <w:rsid w:val="76431A50"/>
    <w:rsid w:val="767A8FCA"/>
    <w:rsid w:val="77F6DFC6"/>
    <w:rsid w:val="77FB32B3"/>
    <w:rsid w:val="7A7CB05A"/>
    <w:rsid w:val="7BDAC17C"/>
    <w:rsid w:val="7CBF5AB8"/>
    <w:rsid w:val="7D7B49EA"/>
    <w:rsid w:val="7DAD5727"/>
    <w:rsid w:val="7DEF3287"/>
    <w:rsid w:val="7DFD817E"/>
    <w:rsid w:val="7E77BD80"/>
    <w:rsid w:val="7EFFB2C5"/>
    <w:rsid w:val="7F1F639C"/>
    <w:rsid w:val="7F89F093"/>
    <w:rsid w:val="7FBB8DF6"/>
    <w:rsid w:val="7FBBDFDE"/>
    <w:rsid w:val="7FDF3953"/>
    <w:rsid w:val="7FE32C0F"/>
    <w:rsid w:val="7FEB1CA8"/>
    <w:rsid w:val="7FEFF77E"/>
    <w:rsid w:val="7FF3914B"/>
    <w:rsid w:val="7FFF7274"/>
    <w:rsid w:val="7FFFAC65"/>
    <w:rsid w:val="85FFA33A"/>
    <w:rsid w:val="9AFF929E"/>
    <w:rsid w:val="A7F7F737"/>
    <w:rsid w:val="AB7D2B20"/>
    <w:rsid w:val="ABD371F7"/>
    <w:rsid w:val="AC7520C9"/>
    <w:rsid w:val="AFDF6B1B"/>
    <w:rsid w:val="B5F505AE"/>
    <w:rsid w:val="B7878D27"/>
    <w:rsid w:val="B7A363CC"/>
    <w:rsid w:val="B7BEF8DA"/>
    <w:rsid w:val="B8FF1A35"/>
    <w:rsid w:val="BCFEC7BE"/>
    <w:rsid w:val="BDBBE146"/>
    <w:rsid w:val="BEBD3AD8"/>
    <w:rsid w:val="BF7F0DA4"/>
    <w:rsid w:val="BFB7C172"/>
    <w:rsid w:val="BFFEF8F9"/>
    <w:rsid w:val="BFFF34A0"/>
    <w:rsid w:val="C7DFA655"/>
    <w:rsid w:val="CDFF9C3D"/>
    <w:rsid w:val="D99FFBE3"/>
    <w:rsid w:val="DBE70350"/>
    <w:rsid w:val="DBEC249B"/>
    <w:rsid w:val="DDCBA64F"/>
    <w:rsid w:val="DE8303DE"/>
    <w:rsid w:val="DF3B705D"/>
    <w:rsid w:val="DF7F842F"/>
    <w:rsid w:val="DFFE5471"/>
    <w:rsid w:val="DFFFE599"/>
    <w:rsid w:val="EBBB9822"/>
    <w:rsid w:val="EBBFE1B7"/>
    <w:rsid w:val="EBDF94AB"/>
    <w:rsid w:val="EDF59541"/>
    <w:rsid w:val="EE37EFC6"/>
    <w:rsid w:val="EF7B692F"/>
    <w:rsid w:val="EFBE7BF0"/>
    <w:rsid w:val="EFE78333"/>
    <w:rsid w:val="F3FFB1CB"/>
    <w:rsid w:val="F7B38390"/>
    <w:rsid w:val="F7DBDD0E"/>
    <w:rsid w:val="F7EF6287"/>
    <w:rsid w:val="F7F40B0B"/>
    <w:rsid w:val="F95CA7B1"/>
    <w:rsid w:val="F9EF288D"/>
    <w:rsid w:val="FBF30BE5"/>
    <w:rsid w:val="FBFF44A5"/>
    <w:rsid w:val="FC7C9898"/>
    <w:rsid w:val="FD1D40E9"/>
    <w:rsid w:val="FD2F6BAC"/>
    <w:rsid w:val="FE7AD668"/>
    <w:rsid w:val="FEFFBAF2"/>
    <w:rsid w:val="FF4F467D"/>
    <w:rsid w:val="FFB320AD"/>
    <w:rsid w:val="FFBFD3D3"/>
    <w:rsid w:val="FFCF5828"/>
    <w:rsid w:val="FFD31265"/>
    <w:rsid w:val="FFD75F96"/>
    <w:rsid w:val="FFDB7474"/>
    <w:rsid w:val="FFDF1D04"/>
    <w:rsid w:val="FFEF6EDA"/>
    <w:rsid w:val="FFF9AAFE"/>
    <w:rsid w:val="FFFBC787"/>
    <w:rsid w:val="FFFF7606"/>
    <w:rsid w:val="FFFF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Normal_4"/>
    <w:qFormat/>
    <w:uiPriority w:val="0"/>
    <w:pPr>
      <w:widowControl w:val="0"/>
      <w:jc w:val="both"/>
    </w:pPr>
    <w:rPr>
      <w:rFonts w:ascii="Calibri" w:hAnsi="Calibri" w:eastAsia="仿宋" w:cs="Calibri"/>
      <w:kern w:val="2"/>
      <w:sz w:val="21"/>
      <w:szCs w:val="24"/>
      <w:lang w:val="en-US" w:eastAsia="zh-CN" w:bidi="ar-SA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_Style 11"/>
    <w:basedOn w:val="1"/>
    <w:next w:val="7"/>
    <w:qFormat/>
    <w:uiPriority w:val="34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2023-12-29T17:42:00Z</dcterms:created>
  <dc:creator>ccb</dc:creator>
  <cp:lastModifiedBy>ccb</cp:lastModifiedBy>
  <dcterms:modified xsi:type="dcterms:W3CDTF">2025-12-01T08:29:33Z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50A3C3F71A421AD3185A856536BFB20E</vt:lpwstr>
  </property>
</Properties>
</file>