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济源</w:t>
      </w:r>
      <w:r>
        <w:rPr>
          <w:rFonts w:hint="eastAsia"/>
          <w:color w:val="000000" w:themeColor="text1"/>
          <w14:textFill>
            <w14:solidFill>
              <w14:schemeClr w14:val="tx1"/>
            </w14:solidFill>
          </w14:textFill>
        </w:rPr>
        <w:t>分行公安</w:t>
      </w:r>
      <w:r>
        <w:rPr>
          <w:color w:val="000000" w:themeColor="text1"/>
          <w14:textFill>
            <w14:solidFill>
              <w14:schemeClr w14:val="tx1"/>
            </w14:solidFill>
          </w14:textFill>
        </w:rPr>
        <w:t>110联网报警服务</w:t>
      </w:r>
    </w:p>
    <w:p>
      <w:pPr>
        <w:adjustRightInd w:val="0"/>
        <w:snapToGrid w:val="0"/>
        <w:spacing w:line="560" w:lineRule="exact"/>
        <w:ind w:firstLine="640" w:firstLineChars="200"/>
        <w:rPr>
          <w:rFonts w:ascii="彩虹黑体" w:hAnsi="宋体" w:eastAsia="彩虹黑体" w:cs="Times New Roman"/>
          <w:snapToGrid w:val="0"/>
          <w:color w:val="000000" w:themeColor="text1"/>
          <w:kern w:val="0"/>
          <w:sz w:val="32"/>
          <w:szCs w:val="32"/>
          <w14:textFill>
            <w14:solidFill>
              <w14:schemeClr w14:val="tx1"/>
            </w14:solidFill>
          </w14:textFill>
        </w:rPr>
      </w:pPr>
      <w:r>
        <w:rPr>
          <w:rFonts w:hint="eastAsia" w:ascii="彩虹黑体" w:hAnsi="宋体" w:eastAsia="彩虹黑体" w:cs="Times New Roman"/>
          <w:snapToGrid w:val="0"/>
          <w:color w:val="000000" w:themeColor="text1"/>
          <w:kern w:val="0"/>
          <w:sz w:val="32"/>
          <w:szCs w:val="32"/>
          <w14:textFill>
            <w14:solidFill>
              <w14:schemeClr w14:val="tx1"/>
            </w14:solidFill>
          </w14:textFill>
        </w:rPr>
        <w:t>一、对候选供应商的要求</w:t>
      </w:r>
    </w:p>
    <w:p>
      <w:pPr>
        <w:spacing w:line="520" w:lineRule="exact"/>
        <w:ind w:firstLine="640" w:firstLineChars="200"/>
        <w:rPr>
          <w:rFonts w:ascii="彩虹粗仿宋" w:eastAsia="彩虹粗仿宋"/>
          <w:sz w:val="32"/>
          <w:szCs w:val="32"/>
        </w:rPr>
      </w:pPr>
      <w:r>
        <w:rPr>
          <w:rFonts w:hint="eastAsia" w:ascii="彩虹粗仿宋" w:eastAsia="彩虹粗仿宋"/>
          <w:sz w:val="32"/>
          <w:szCs w:val="32"/>
        </w:rPr>
        <w:t>（一）具有独立法人资格，有效的营业执照。</w:t>
      </w:r>
    </w:p>
    <w:p>
      <w:pPr>
        <w:spacing w:line="520" w:lineRule="exact"/>
        <w:ind w:firstLine="640" w:firstLineChars="200"/>
        <w:rPr>
          <w:rFonts w:ascii="彩虹粗仿宋" w:eastAsia="彩虹粗仿宋"/>
          <w:sz w:val="32"/>
          <w:szCs w:val="32"/>
        </w:rPr>
      </w:pPr>
      <w:r>
        <w:rPr>
          <w:rFonts w:hint="eastAsia" w:ascii="彩虹粗仿宋" w:eastAsia="彩虹粗仿宋"/>
          <w:sz w:val="32"/>
          <w:szCs w:val="32"/>
        </w:rPr>
        <w:t>（二）正常经营，财务状况良好，提供近三年（202</w:t>
      </w:r>
      <w:r>
        <w:rPr>
          <w:rFonts w:hint="eastAsia" w:ascii="彩虹粗仿宋" w:eastAsia="彩虹粗仿宋"/>
          <w:sz w:val="32"/>
          <w:szCs w:val="32"/>
          <w:lang w:val="en-US" w:eastAsia="zh-CN"/>
        </w:rPr>
        <w:t>0</w:t>
      </w:r>
      <w:r>
        <w:rPr>
          <w:rFonts w:hint="eastAsia" w:ascii="彩虹粗仿宋" w:eastAsia="彩虹粗仿宋"/>
          <w:sz w:val="32"/>
          <w:szCs w:val="32"/>
        </w:rPr>
        <w:t>年-202</w:t>
      </w:r>
      <w:r>
        <w:rPr>
          <w:rFonts w:hint="eastAsia" w:ascii="彩虹粗仿宋" w:eastAsia="彩虹粗仿宋"/>
          <w:sz w:val="32"/>
          <w:szCs w:val="32"/>
          <w:lang w:val="en-US" w:eastAsia="zh-CN"/>
        </w:rPr>
        <w:t>2</w:t>
      </w:r>
      <w:r>
        <w:rPr>
          <w:rFonts w:hint="eastAsia" w:ascii="彩虹粗仿宋" w:eastAsia="彩虹粗仿宋"/>
          <w:sz w:val="32"/>
          <w:szCs w:val="32"/>
        </w:rPr>
        <w:t>年）的经审计的财务报告或财务报表（新成立企业从成立日计算）</w:t>
      </w:r>
    </w:p>
    <w:p>
      <w:pPr>
        <w:spacing w:line="520" w:lineRule="exact"/>
        <w:ind w:firstLine="640" w:firstLineChars="200"/>
        <w:rPr>
          <w:rFonts w:ascii="彩虹粗仿宋" w:eastAsia="彩虹粗仿宋"/>
          <w:sz w:val="32"/>
          <w:szCs w:val="32"/>
        </w:rPr>
      </w:pPr>
      <w:r>
        <w:rPr>
          <w:rFonts w:hint="eastAsia" w:ascii="彩虹粗仿宋" w:eastAsia="彩虹粗仿宋"/>
          <w:sz w:val="32"/>
          <w:szCs w:val="32"/>
        </w:rPr>
        <w:t>（三）</w:t>
      </w:r>
      <w:r>
        <w:rPr>
          <w:rStyle w:val="6"/>
          <w:rFonts w:hint="eastAsia" w:ascii="彩虹粗仿宋" w:hAnsi="微软雅黑" w:eastAsia="彩虹粗仿宋"/>
          <w:sz w:val="32"/>
          <w:szCs w:val="32"/>
        </w:rPr>
        <w:t>2021年1月1日以来</w:t>
      </w:r>
      <w:r>
        <w:rPr>
          <w:rFonts w:hint="eastAsia" w:ascii="彩虹粗仿宋" w:eastAsia="彩虹粗仿宋"/>
          <w:sz w:val="32"/>
          <w:szCs w:val="32"/>
        </w:rPr>
        <w:t>具有银行</w:t>
      </w:r>
      <w:bookmarkStart w:id="0" w:name="_GoBack"/>
      <w:r>
        <w:rPr>
          <w:rFonts w:hint="eastAsia" w:ascii="彩虹粗仿宋" w:eastAsia="彩虹粗仿宋"/>
          <w:sz w:val="32"/>
          <w:szCs w:val="32"/>
        </w:rPr>
        <w:t>110联网报警</w:t>
      </w:r>
      <w:bookmarkEnd w:id="0"/>
      <w:r>
        <w:rPr>
          <w:rFonts w:hint="eastAsia" w:ascii="彩虹粗仿宋" w:eastAsia="彩虹粗仿宋"/>
          <w:sz w:val="32"/>
          <w:szCs w:val="32"/>
        </w:rPr>
        <w:t>同类项目经验（提供合同）。</w:t>
      </w:r>
    </w:p>
    <w:p>
      <w:pPr>
        <w:spacing w:line="520" w:lineRule="exact"/>
        <w:ind w:firstLine="640" w:firstLineChars="200"/>
        <w:rPr>
          <w:rFonts w:ascii="彩虹粗仿宋" w:eastAsia="彩虹粗仿宋"/>
          <w:sz w:val="32"/>
          <w:szCs w:val="32"/>
        </w:rPr>
      </w:pPr>
      <w:r>
        <w:rPr>
          <w:rFonts w:hint="eastAsia" w:ascii="彩虹粗仿宋" w:eastAsia="彩虹粗仿宋"/>
          <w:sz w:val="32"/>
          <w:szCs w:val="32"/>
        </w:rPr>
        <w:t>（四）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exact"/>
        <w:ind w:firstLine="640" w:firstLineChars="200"/>
        <w:rPr>
          <w:rFonts w:ascii="彩虹黑体" w:hAnsi="宋体" w:eastAsia="彩虹黑体" w:cs="Times New Roman"/>
          <w:snapToGrid w:val="0"/>
          <w:color w:val="000000" w:themeColor="text1"/>
          <w:kern w:val="0"/>
          <w:sz w:val="32"/>
          <w:szCs w:val="32"/>
          <w14:textFill>
            <w14:solidFill>
              <w14:schemeClr w14:val="tx1"/>
            </w14:solidFill>
          </w14:textFill>
        </w:rPr>
      </w:pPr>
      <w:r>
        <w:rPr>
          <w:rFonts w:hint="eastAsia" w:ascii="彩虹黑体" w:hAnsi="宋体" w:eastAsia="彩虹黑体" w:cs="Times New Roman"/>
          <w:snapToGrid w:val="0"/>
          <w:color w:val="000000" w:themeColor="text1"/>
          <w:kern w:val="0"/>
          <w:sz w:val="32"/>
          <w:szCs w:val="32"/>
          <w14:textFill>
            <w14:solidFill>
              <w14:schemeClr w14:val="tx1"/>
            </w14:solidFill>
          </w14:textFill>
        </w:rPr>
        <w:t>二、服务基本内容</w:t>
      </w:r>
    </w:p>
    <w:p>
      <w:pPr>
        <w:adjustRightInd w:val="0"/>
        <w:snapToGrid w:val="0"/>
        <w:spacing w:line="600" w:lineRule="exact"/>
        <w:ind w:firstLine="640" w:firstLineChars="200"/>
        <w:rPr>
          <w:rFonts w:ascii="彩虹粗仿宋" w:hAnsi="宋体" w:eastAsia="彩虹粗仿宋" w:cs="Times New Roman"/>
          <w:snapToGrid w:val="0"/>
          <w:color w:val="000000" w:themeColor="text1"/>
          <w:kern w:val="0"/>
          <w:sz w:val="32"/>
          <w:szCs w:val="32"/>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（一）商品品类</w:t>
      </w:r>
    </w:p>
    <w:tbl>
      <w:tblPr>
        <w:tblStyle w:val="4"/>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3"/>
        <w:gridCol w:w="3240"/>
        <w:gridCol w:w="1659"/>
        <w:gridCol w:w="2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color w:val="000000" w:themeColor="text1"/>
                <w:kern w:val="0"/>
                <w:sz w:val="32"/>
                <w:szCs w:val="32"/>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品类编码</w:t>
            </w:r>
          </w:p>
        </w:tc>
        <w:tc>
          <w:tcPr>
            <w:tcW w:w="3240" w:type="dxa"/>
            <w:vAlign w:val="center"/>
          </w:tcPr>
          <w:p>
            <w:pPr>
              <w:adjustRightInd w:val="0"/>
              <w:snapToGrid w:val="0"/>
              <w:spacing w:line="560" w:lineRule="exact"/>
              <w:jc w:val="center"/>
              <w:rPr>
                <w:rFonts w:ascii="彩虹粗仿宋" w:hAnsi="宋体" w:eastAsia="彩虹粗仿宋" w:cs="Times New Roman"/>
                <w:snapToGrid w:val="0"/>
                <w:color w:val="000000" w:themeColor="text1"/>
                <w:kern w:val="0"/>
                <w:sz w:val="32"/>
                <w:szCs w:val="32"/>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品类</w:t>
            </w:r>
          </w:p>
        </w:tc>
        <w:tc>
          <w:tcPr>
            <w:tcW w:w="1659" w:type="dxa"/>
            <w:vAlign w:val="center"/>
          </w:tcPr>
          <w:p>
            <w:pPr>
              <w:adjustRightInd w:val="0"/>
              <w:snapToGrid w:val="0"/>
              <w:spacing w:line="560" w:lineRule="exact"/>
              <w:jc w:val="center"/>
              <w:rPr>
                <w:rFonts w:ascii="彩虹粗仿宋" w:hAnsi="宋体" w:eastAsia="彩虹粗仿宋" w:cs="Times New Roman"/>
                <w:snapToGrid w:val="0"/>
                <w:color w:val="000000" w:themeColor="text1"/>
                <w:kern w:val="0"/>
                <w:sz w:val="32"/>
                <w:szCs w:val="32"/>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品类编码</w:t>
            </w:r>
          </w:p>
        </w:tc>
        <w:tc>
          <w:tcPr>
            <w:tcW w:w="2686" w:type="dxa"/>
            <w:vAlign w:val="center"/>
          </w:tcPr>
          <w:p>
            <w:pPr>
              <w:adjustRightInd w:val="0"/>
              <w:snapToGrid w:val="0"/>
              <w:spacing w:line="560" w:lineRule="exact"/>
              <w:jc w:val="center"/>
              <w:rPr>
                <w:rFonts w:ascii="彩虹粗仿宋" w:hAnsi="宋体" w:eastAsia="彩虹粗仿宋" w:cs="Times New Roman"/>
                <w:snapToGrid w:val="0"/>
                <w:color w:val="000000" w:themeColor="text1"/>
                <w:kern w:val="0"/>
                <w:sz w:val="32"/>
                <w:szCs w:val="32"/>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品类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color w:val="000000" w:themeColor="text1"/>
                <w:kern w:val="0"/>
                <w:sz w:val="32"/>
                <w:szCs w:val="32"/>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C21</w:t>
            </w:r>
          </w:p>
        </w:tc>
        <w:tc>
          <w:tcPr>
            <w:tcW w:w="3240" w:type="dxa"/>
            <w:vAlign w:val="center"/>
          </w:tcPr>
          <w:p>
            <w:pPr>
              <w:adjustRightInd w:val="0"/>
              <w:snapToGrid w:val="0"/>
              <w:spacing w:line="560" w:lineRule="exact"/>
              <w:jc w:val="center"/>
              <w:rPr>
                <w:rFonts w:ascii="彩虹粗仿宋" w:hAnsi="宋体" w:eastAsia="彩虹粗仿宋" w:cs="Times New Roman"/>
                <w:snapToGrid w:val="0"/>
                <w:color w:val="000000" w:themeColor="text1"/>
                <w:kern w:val="0"/>
                <w:sz w:val="32"/>
                <w:szCs w:val="32"/>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安防、值守及巡查服务</w:t>
            </w:r>
          </w:p>
        </w:tc>
        <w:tc>
          <w:tcPr>
            <w:tcW w:w="1659" w:type="dxa"/>
            <w:vAlign w:val="center"/>
          </w:tcPr>
          <w:p>
            <w:pPr>
              <w:adjustRightInd w:val="0"/>
              <w:snapToGrid w:val="0"/>
              <w:spacing w:line="560" w:lineRule="exact"/>
              <w:jc w:val="center"/>
              <w:rPr>
                <w:rFonts w:ascii="彩虹粗仿宋" w:hAnsi="宋体" w:eastAsia="彩虹粗仿宋" w:cs="Times New Roman"/>
                <w:snapToGrid w:val="0"/>
                <w:color w:val="000000" w:themeColor="text1"/>
                <w:kern w:val="0"/>
                <w:sz w:val="32"/>
                <w:szCs w:val="32"/>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C2109</w:t>
            </w:r>
          </w:p>
        </w:tc>
        <w:tc>
          <w:tcPr>
            <w:tcW w:w="2686" w:type="dxa"/>
            <w:vAlign w:val="center"/>
          </w:tcPr>
          <w:p>
            <w:pPr>
              <w:adjustRightInd w:val="0"/>
              <w:snapToGrid w:val="0"/>
              <w:spacing w:line="560" w:lineRule="exact"/>
              <w:jc w:val="center"/>
              <w:rPr>
                <w:rFonts w:ascii="彩虹粗仿宋" w:hAnsi="宋体" w:eastAsia="彩虹粗仿宋" w:cs="Times New Roman"/>
                <w:snapToGrid w:val="0"/>
                <w:color w:val="000000" w:themeColor="text1"/>
                <w:kern w:val="0"/>
                <w:sz w:val="32"/>
                <w:szCs w:val="32"/>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监控报警专线服务</w:t>
            </w:r>
          </w:p>
        </w:tc>
      </w:tr>
    </w:tbl>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（二）服务内容</w:t>
      </w:r>
    </w:p>
    <w:p>
      <w:pPr>
        <w:adjustRightInd w:val="0"/>
        <w:snapToGrid w:val="0"/>
        <w:spacing w:line="560" w:lineRule="exact"/>
        <w:ind w:firstLine="640" w:firstLineChars="200"/>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lang w:eastAsia="zh-CN"/>
          <w14:textFill>
            <w14:solidFill>
              <w14:schemeClr w14:val="tx1"/>
            </w14:solidFill>
          </w14:textFill>
        </w:rPr>
        <w:t>济源</w:t>
      </w: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市所辖重点部位（金库）、营业网点、离行式自助银行（自助设备）、办公楼、档案库、计算机房等</w:t>
      </w:r>
      <w:r>
        <w:rPr>
          <w:rFonts w:hint="eastAsia" w:ascii="彩虹粗仿宋" w:hAnsi="彩虹粗仿宋" w:eastAsia="彩虹粗仿宋" w:cs="彩虹粗仿宋"/>
          <w:snapToGrid w:val="0"/>
          <w:color w:val="000000" w:themeColor="text1"/>
          <w:kern w:val="0"/>
          <w:sz w:val="32"/>
          <w:szCs w:val="32"/>
          <w:lang w:val="en-US" w:eastAsia="zh-CN"/>
          <w14:textFill>
            <w14:solidFill>
              <w14:schemeClr w14:val="tx1"/>
            </w14:solidFill>
          </w14:textFill>
        </w:rPr>
        <w:t>21</w:t>
      </w: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个重点部位联网报警设施、设备及相关配件的安装、更换、调试、维修、巡检及迁移，对联网报警设备进行报警测试、监控、警情处置等服务项目，</w:t>
      </w:r>
      <w:r>
        <w:rPr>
          <w:rFonts w:hint="eastAsia" w:ascii="彩虹粗仿宋" w:hAnsi="彩虹粗仿宋" w:eastAsia="彩虹粗仿宋" w:cs="彩虹粗仿宋"/>
          <w:color w:val="000000" w:themeColor="text1"/>
          <w:sz w:val="32"/>
          <w:szCs w:val="32"/>
          <w14:textFill>
            <w14:solidFill>
              <w14:schemeClr w14:val="tx1"/>
            </w14:solidFill>
          </w14:textFill>
        </w:rPr>
        <w:t>对报警设备巡检维修维护及时，确保守护目标的安全。</w:t>
      </w:r>
    </w:p>
    <w:p>
      <w:pPr>
        <w:adjustRightInd w:val="0"/>
        <w:snapToGrid w:val="0"/>
        <w:spacing w:line="560" w:lineRule="exact"/>
        <w:ind w:firstLine="640" w:firstLineChars="200"/>
        <w:rPr>
          <w:rFonts w:ascii="彩虹黑体" w:hAnsi="宋体" w:eastAsia="彩虹黑体" w:cs="Times New Roman"/>
          <w:snapToGrid w:val="0"/>
          <w:color w:val="000000" w:themeColor="text1"/>
          <w:kern w:val="0"/>
          <w:sz w:val="32"/>
          <w:szCs w:val="32"/>
          <w14:textFill>
            <w14:solidFill>
              <w14:schemeClr w14:val="tx1"/>
            </w14:solidFill>
          </w14:textFill>
        </w:rPr>
      </w:pPr>
      <w:r>
        <w:rPr>
          <w:rFonts w:hint="eastAsia" w:ascii="彩虹黑体" w:hAnsi="宋体" w:eastAsia="彩虹黑体" w:cs="Times New Roman"/>
          <w:snapToGrid w:val="0"/>
          <w:color w:val="000000" w:themeColor="text1"/>
          <w:kern w:val="0"/>
          <w:sz w:val="32"/>
          <w:szCs w:val="32"/>
          <w14:textFill>
            <w14:solidFill>
              <w14:schemeClr w14:val="tx1"/>
            </w14:solidFill>
          </w14:textFill>
        </w:rPr>
        <w:t>三、服务团队要求</w:t>
      </w:r>
    </w:p>
    <w:p>
      <w:pPr>
        <w:adjustRightInd w:val="0"/>
        <w:snapToGrid w:val="0"/>
        <w:spacing w:line="600" w:lineRule="exact"/>
        <w:ind w:firstLine="640" w:firstLineChars="200"/>
        <w:jc w:val="left"/>
        <w:rPr>
          <w:rFonts w:ascii="彩虹粗仿宋" w:hAnsi="彩虹粗仿宋" w:eastAsia="彩虹粗仿宋" w:cs="彩虹粗仿宋"/>
          <w:color w:val="000000" w:themeColor="text1"/>
          <w:kern w:val="0"/>
          <w:sz w:val="32"/>
          <w:szCs w:val="32"/>
          <w14:textFill>
            <w14:solidFill>
              <w14:schemeClr w14:val="tx1"/>
            </w14:solidFill>
          </w14:textFill>
        </w:rPr>
      </w:pPr>
      <w:r>
        <w:rPr>
          <w:rFonts w:hint="eastAsia" w:ascii="彩虹粗仿宋" w:hAnsi="彩虹粗仿宋" w:eastAsia="彩虹粗仿宋" w:cs="彩虹粗仿宋"/>
          <w:color w:val="000000" w:themeColor="text1"/>
          <w:kern w:val="0"/>
          <w:sz w:val="32"/>
          <w:szCs w:val="32"/>
          <w14:textFill>
            <w14:solidFill>
              <w14:schemeClr w14:val="tx1"/>
            </w14:solidFill>
          </w14:textFill>
        </w:rPr>
        <w:t>（一）供应商安排1名团队负责人做日常对接，且具有110联网报警服务经验2年以上；</w:t>
      </w:r>
    </w:p>
    <w:p>
      <w:pPr>
        <w:adjustRightInd w:val="0"/>
        <w:snapToGrid w:val="0"/>
        <w:spacing w:line="600" w:lineRule="exact"/>
        <w:ind w:firstLine="640" w:firstLineChars="200"/>
        <w:jc w:val="left"/>
        <w:rPr>
          <w:rFonts w:ascii="彩虹粗仿宋" w:hAnsi="彩虹粗仿宋" w:eastAsia="彩虹粗仿宋" w:cs="彩虹粗仿宋"/>
          <w:color w:val="000000" w:themeColor="text1"/>
          <w:kern w:val="0"/>
          <w:sz w:val="32"/>
          <w:szCs w:val="32"/>
          <w14:textFill>
            <w14:solidFill>
              <w14:schemeClr w14:val="tx1"/>
            </w14:solidFill>
          </w14:textFill>
        </w:rPr>
      </w:pPr>
      <w:r>
        <w:rPr>
          <w:rFonts w:hint="eastAsia" w:ascii="彩虹粗仿宋" w:hAnsi="彩虹粗仿宋" w:eastAsia="彩虹粗仿宋" w:cs="彩虹粗仿宋"/>
          <w:color w:val="000000" w:themeColor="text1"/>
          <w:kern w:val="0"/>
          <w:sz w:val="32"/>
          <w:szCs w:val="32"/>
          <w14:textFill>
            <w14:solidFill>
              <w14:schemeClr w14:val="tx1"/>
            </w14:solidFill>
          </w14:textFill>
        </w:rPr>
        <w:t>（二）团队人员经过专业培训，能正常维修设备故障；</w:t>
      </w:r>
    </w:p>
    <w:p>
      <w:pPr>
        <w:adjustRightInd w:val="0"/>
        <w:snapToGrid w:val="0"/>
        <w:spacing w:line="600" w:lineRule="exact"/>
        <w:ind w:firstLine="640" w:firstLineChars="200"/>
        <w:jc w:val="left"/>
        <w:rPr>
          <w:rFonts w:ascii="彩虹粗仿宋" w:hAnsi="彩虹粗仿宋" w:eastAsia="彩虹粗仿宋" w:cs="彩虹粗仿宋"/>
          <w:color w:val="000000" w:themeColor="text1"/>
          <w:kern w:val="0"/>
          <w:sz w:val="32"/>
          <w:szCs w:val="32"/>
          <w14:textFill>
            <w14:solidFill>
              <w14:schemeClr w14:val="tx1"/>
            </w14:solidFill>
          </w14:textFill>
        </w:rPr>
      </w:pPr>
      <w:r>
        <w:rPr>
          <w:rFonts w:hint="eastAsia" w:ascii="彩虹粗仿宋" w:hAnsi="彩虹粗仿宋" w:eastAsia="彩虹粗仿宋" w:cs="彩虹粗仿宋"/>
          <w:color w:val="000000" w:themeColor="text1"/>
          <w:kern w:val="0"/>
          <w:sz w:val="32"/>
          <w:szCs w:val="32"/>
          <w14:textFill>
            <w14:solidFill>
              <w14:schemeClr w14:val="tx1"/>
            </w14:solidFill>
          </w14:textFill>
        </w:rPr>
        <w:t>（三）供应商公司服务人员按照我行的要求完成每次的工作任务，遵章守纪，合规履职；</w:t>
      </w:r>
    </w:p>
    <w:p>
      <w:pPr>
        <w:adjustRightInd w:val="0"/>
        <w:snapToGrid w:val="0"/>
        <w:spacing w:line="600" w:lineRule="exact"/>
        <w:ind w:firstLine="640" w:firstLineChars="200"/>
        <w:jc w:val="left"/>
        <w:rPr>
          <w:rFonts w:ascii="彩虹粗仿宋" w:hAnsi="彩虹粗仿宋" w:eastAsia="彩虹粗仿宋" w:cs="彩虹粗仿宋"/>
          <w:color w:val="000000" w:themeColor="text1"/>
          <w:kern w:val="0"/>
          <w:sz w:val="32"/>
          <w:szCs w:val="32"/>
          <w14:textFill>
            <w14:solidFill>
              <w14:schemeClr w14:val="tx1"/>
            </w14:solidFill>
          </w14:textFill>
        </w:rPr>
      </w:pPr>
      <w:r>
        <w:rPr>
          <w:rFonts w:hint="eastAsia" w:ascii="彩虹粗仿宋" w:hAnsi="彩虹粗仿宋" w:eastAsia="彩虹粗仿宋" w:cs="彩虹粗仿宋"/>
          <w:color w:val="000000" w:themeColor="text1"/>
          <w:kern w:val="0"/>
          <w:sz w:val="32"/>
          <w:szCs w:val="32"/>
          <w14:textFill>
            <w14:solidFill>
              <w14:schemeClr w14:val="tx1"/>
            </w14:solidFill>
          </w14:textFill>
        </w:rPr>
        <w:t>（四）服务团队为我行服务人员提供营运期间的支持保障及应急工作；</w:t>
      </w:r>
    </w:p>
    <w:p>
      <w:pPr>
        <w:adjustRightInd w:val="0"/>
        <w:snapToGrid w:val="0"/>
        <w:spacing w:line="560" w:lineRule="exact"/>
        <w:ind w:firstLine="640" w:firstLineChars="200"/>
        <w:rPr>
          <w:rFonts w:ascii="彩虹粗仿宋" w:hAnsi="彩虹粗仿宋" w:eastAsia="彩虹粗仿宋" w:cs="彩虹粗仿宋"/>
          <w:color w:val="000000" w:themeColor="text1"/>
          <w:kern w:val="0"/>
          <w:sz w:val="32"/>
          <w:szCs w:val="32"/>
          <w14:textFill>
            <w14:solidFill>
              <w14:schemeClr w14:val="tx1"/>
            </w14:solidFill>
          </w14:textFill>
        </w:rPr>
      </w:pPr>
      <w:r>
        <w:rPr>
          <w:rFonts w:hint="eastAsia" w:ascii="彩虹粗仿宋" w:hAnsi="彩虹粗仿宋" w:eastAsia="彩虹粗仿宋" w:cs="彩虹粗仿宋"/>
          <w:color w:val="000000" w:themeColor="text1"/>
          <w:kern w:val="0"/>
          <w:sz w:val="32"/>
          <w:szCs w:val="32"/>
          <w14:textFill>
            <w14:solidFill>
              <w14:schemeClr w14:val="tx1"/>
            </w14:solidFill>
          </w14:textFill>
        </w:rPr>
        <w:t>（五）团队人员具备一定的专业技能，能正确处理服务中出现的各种情况并进行有效处置。</w:t>
      </w:r>
    </w:p>
    <w:p>
      <w:pPr>
        <w:adjustRightInd w:val="0"/>
        <w:snapToGrid w:val="0"/>
        <w:spacing w:line="560" w:lineRule="exact"/>
        <w:ind w:firstLine="640" w:firstLineChars="200"/>
        <w:rPr>
          <w:rFonts w:ascii="彩虹黑体" w:hAnsi="宋体" w:eastAsia="彩虹黑体" w:cs="Times New Roman"/>
          <w:snapToGrid w:val="0"/>
          <w:color w:val="000000" w:themeColor="text1"/>
          <w:kern w:val="0"/>
          <w:sz w:val="32"/>
          <w:szCs w:val="32"/>
          <w14:textFill>
            <w14:solidFill>
              <w14:schemeClr w14:val="tx1"/>
            </w14:solidFill>
          </w14:textFill>
        </w:rPr>
      </w:pPr>
      <w:r>
        <w:rPr>
          <w:rFonts w:hint="eastAsia" w:ascii="彩虹黑体" w:hAnsi="宋体" w:eastAsia="彩虹黑体" w:cs="Times New Roman"/>
          <w:snapToGrid w:val="0"/>
          <w:color w:val="000000" w:themeColor="text1"/>
          <w:kern w:val="0"/>
          <w:sz w:val="32"/>
          <w:szCs w:val="32"/>
          <w14:textFill>
            <w14:solidFill>
              <w14:schemeClr w14:val="tx1"/>
            </w14:solidFill>
          </w14:textFill>
        </w:rPr>
        <w:t>四、服务质量要求</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（一）服务质量标准</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1、供应商承诺按照协议约定的服务内容向我行提供合格的服务，接受我行对其工作的指导和监督。</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2、按照我行的服务需求，配备和提供服务人员。不得泄漏因服务而取得的任何我行的业务信息。</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3、供应商负责制定与受托业务相关的内控制度、操作规程、人员考核等办法，并报我行备案；供应商不得将其在协议约定项下任一事项转让或分包给第三方。</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4、供应商负责与服务人员签订符合《劳动法》的正式合同，负责劳动用工以及涉及劳动关系管理的所有事宜。供应商应承诺服务人员的基本保障性工资不低于所在工作地区最低工资标准，按照国家规定缴纳社会保险等。</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5、供应商应确保与公安局“110”报警服务平台的信息畅通，达到公安部门服务的要求。做好所辖110报警设备日常的故障排查工作，确保技术人员配备，保障设备良好运行。</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（二）风险控制要求</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供应商不得以我行名义进行用工管理或开展生产经营活动，服务人员应与供应商公司依法订立劳动合同，防范服务类业务用工风险。</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1）在110报警联网维护服务过程中均涉及服务人员的使用和管理，我行具体负责服务人员的业务培训和规范操作，指导、监督服务人员按章办事，一是110报警服务人员在执勤中，维护我行的设备正常运行，发现问题及时报告处理；二是利用物联网平台系统，监督检查服务的同时，及时接收处理巡护人员的反馈的情况，防范事（案）件的发生。</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（2）每季度至少开展一次供应商公司服务检查，并形成检查报告，召开联席会对检查中发现的问题进行通报，限期整改和落实，每年度结束后形成年度评估报告。</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（3）建立健全安全责任制，完善沟通协作机制。根据110报警联网维护服务不同工作性质，明确人员岗位职责，规范流程，不断提升服务人员的业务素质和技能，为我行提供更加安全的110报警服务。</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（三）保密要求</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1、服务人员只能掌握了解工作需要的相关信息，不得将我行信息资料以任何方式透露给其他任何机构或个人。</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2、服务人员须签订保密协议，不得利用工作之便窃取、收买或者非法提供他人申请信息资料进行各种非法活动。</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3、由于</w:t>
      </w:r>
      <w:r>
        <w:rPr>
          <w:rFonts w:hint="eastAsia" w:ascii="彩虹粗仿宋" w:hAnsi="彩虹粗仿宋" w:eastAsia="彩虹粗仿宋" w:cs="彩虹粗仿宋"/>
          <w:color w:val="000000" w:themeColor="text1"/>
          <w:kern w:val="0"/>
          <w:sz w:val="32"/>
          <w:szCs w:val="32"/>
          <w14:textFill>
            <w14:solidFill>
              <w14:schemeClr w14:val="tx1"/>
            </w14:solidFill>
          </w14:textFill>
        </w:rPr>
        <w:t>供应商</w:t>
      </w: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公司及公司服务人员原因导致我行及客户信息泄漏的，我行将追究相关法律责任。</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4、</w:t>
      </w:r>
      <w:r>
        <w:rPr>
          <w:rFonts w:hint="eastAsia" w:ascii="彩虹粗仿宋" w:hAnsi="彩虹粗仿宋" w:eastAsia="彩虹粗仿宋" w:cs="彩虹粗仿宋"/>
          <w:color w:val="000000" w:themeColor="text1"/>
          <w:kern w:val="0"/>
          <w:sz w:val="32"/>
          <w:szCs w:val="32"/>
          <w14:textFill>
            <w14:solidFill>
              <w14:schemeClr w14:val="tx1"/>
            </w14:solidFill>
          </w14:textFill>
        </w:rPr>
        <w:t>供应商</w:t>
      </w: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应严守我行的商业秘密、技术秘密和其他商业及业务信息，不得泄露。</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（四）应急预案要求</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1、</w:t>
      </w:r>
      <w:r>
        <w:rPr>
          <w:rFonts w:hint="eastAsia" w:ascii="彩虹粗仿宋" w:hAnsi="彩虹粗仿宋" w:eastAsia="彩虹粗仿宋" w:cs="彩虹粗仿宋"/>
          <w:color w:val="000000" w:themeColor="text1"/>
          <w:kern w:val="0"/>
          <w:sz w:val="32"/>
          <w:szCs w:val="32"/>
          <w14:textFill>
            <w14:solidFill>
              <w14:schemeClr w14:val="tx1"/>
            </w14:solidFill>
          </w14:textFill>
        </w:rPr>
        <w:t>供应商</w:t>
      </w: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公司应制定相关应急预案，演练预案场景、预案分工、预案演练、预案评估，并明确应急处置流程。</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2、因服务人员原因造成我行及客户信息泄露、客户投诉等风险，</w:t>
      </w:r>
      <w:r>
        <w:rPr>
          <w:rFonts w:hint="eastAsia" w:ascii="彩虹粗仿宋" w:hAnsi="彩虹粗仿宋" w:eastAsia="彩虹粗仿宋" w:cs="彩虹粗仿宋"/>
          <w:color w:val="000000" w:themeColor="text1"/>
          <w:kern w:val="0"/>
          <w:sz w:val="32"/>
          <w:szCs w:val="32"/>
          <w14:textFill>
            <w14:solidFill>
              <w14:schemeClr w14:val="tx1"/>
            </w14:solidFill>
          </w14:textFill>
        </w:rPr>
        <w:t>供应商</w:t>
      </w: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公司应立即向我行报告，同时启动应急预案，沟通协商解决办法，防止事态扩大。</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3、由于</w:t>
      </w:r>
      <w:r>
        <w:rPr>
          <w:rFonts w:hint="eastAsia" w:ascii="彩虹粗仿宋" w:hAnsi="彩虹粗仿宋" w:eastAsia="彩虹粗仿宋" w:cs="彩虹粗仿宋"/>
          <w:color w:val="000000" w:themeColor="text1"/>
          <w:kern w:val="0"/>
          <w:sz w:val="32"/>
          <w:szCs w:val="32"/>
          <w14:textFill>
            <w14:solidFill>
              <w14:schemeClr w14:val="tx1"/>
            </w14:solidFill>
          </w14:textFill>
        </w:rPr>
        <w:t>供应商</w:t>
      </w: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公司原因（如：服务中断）引起突发事件的，我行应立即启动相应应急预案，妥善处置问题，积极争取恢复生产。</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4、造成我行经济损失的，应按照相关法律法规、合同约定进行索赔。造成我行声誉损失的，应要求</w:t>
      </w:r>
      <w:r>
        <w:rPr>
          <w:rFonts w:hint="eastAsia" w:ascii="彩虹粗仿宋" w:hAnsi="彩虹粗仿宋" w:eastAsia="彩虹粗仿宋" w:cs="彩虹粗仿宋"/>
          <w:color w:val="000000" w:themeColor="text1"/>
          <w:kern w:val="0"/>
          <w:sz w:val="32"/>
          <w:szCs w:val="32"/>
          <w14:textFill>
            <w14:solidFill>
              <w14:schemeClr w14:val="tx1"/>
            </w14:solidFill>
          </w14:textFill>
        </w:rPr>
        <w:t>供应商</w:t>
      </w: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公司积极配合我行采取措施消除影响、恢复声誉。涉嫌违法犯罪的，应及时向公安机关报案。</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5、在处理事（案）件过程中要时刻向我行报告进展情况，待风险解除后，形成书面报告报送我行，我行综合评估后确定是否继续开展此服务事项。</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（五）</w:t>
      </w:r>
      <w:r>
        <w:rPr>
          <w:rFonts w:hint="eastAsia" w:ascii="彩虹粗仿宋" w:hAnsi="彩虹粗仿宋" w:eastAsia="彩虹粗仿宋" w:cs="彩虹粗仿宋"/>
          <w:color w:val="000000" w:themeColor="text1"/>
          <w:sz w:val="32"/>
          <w:szCs w:val="32"/>
          <w14:textFill>
            <w14:solidFill>
              <w14:schemeClr w14:val="tx1"/>
            </w14:solidFill>
          </w14:textFill>
        </w:rPr>
        <w:t>消保条款要求</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1.个人信息保护条款</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（1）明确双方职责、保密义务及个人信息保护条款措施、个人信息发生泄露的违约责任；约定合作机构的保密义务不因服务的终止而终止；</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（2）合作机构不得在未获得客户同意的前提下将获得的个人信息进一步提供给其他第三方；</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（3）合作机构向个人信息主体征得收集个人信息的明确同意授权；</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（4）在双方合作关系终止时，应确保其不再存储我行相关个人信息。</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（5）我行从合作机构获取个人信息时，应确保中介机构和第三方机构的数据来源合法合规、真实有效，对外提供数据不违反法律法规要求，并已获得信息主体本人的明确同意授权；</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2.信息披露条款</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对于我行与合作机构共同提供产品服务的，应向客户充分披露我行与合作机构信息、合作产品的信息、合作各方权利义务，按照适当性原则充分揭示合作业务风险，避免客户产生品牌混同。</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 xml:space="preserve">3.消费者投诉条款 </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（2）对涉及理赔给付的合作机构，应明确其承担的投诉处理义务和责任。</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 xml:space="preserve">4.其他行为监督 </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5.黑名单退出机制</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对有下列情形之一的，应取消准入资格；已经准入的，应予以退出。</w:t>
      </w:r>
    </w:p>
    <w:p>
      <w:pPr>
        <w:spacing w:line="600" w:lineRule="exact"/>
        <w:ind w:left="210" w:leftChars="100"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（1）存在消费者权益侵权行为，引发较大舆情或重大投诉在社会上造成严重不良影响的；</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（2）存在消费者权益侵权行为，受到监管处罚，给我行造成严重不良影响的；</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（3）存在消费者权益侵权行为，受到公安立案或法院判决，给我行造成严重不良影响的；</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（4）违反法律法规和监管机构规定的其他严重情形。</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6.争端的解决</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合同协议有效期内若发生争议，应本着友好协商的态度加以妥善解决。协商不成的，向所在地人民法院起诉。诉讼期间，合同不涉及争议的条款，双方仍需继续履行。</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（七）验收方法和标准</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1.每个点报警主机联网率达到100%,探测设备故障能在24小时内解决按“合格”，总体合格档次支付全额服务费用。</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 xml:space="preserve">2.单点报警主机联网率未达到100%,探测设备故障不能在24小时内解决按“不合格”，扣除该点报警服务费。 </w:t>
      </w:r>
    </w:p>
    <w:p>
      <w:pPr>
        <w:adjustRightInd w:val="0"/>
        <w:snapToGrid w:val="0"/>
        <w:spacing w:line="560" w:lineRule="exact"/>
        <w:ind w:firstLine="640" w:firstLineChars="200"/>
        <w:rPr>
          <w:rFonts w:ascii="彩虹粗仿宋" w:hAnsi="宋体" w:eastAsia="彩虹粗仿宋" w:cs="Times New Roman"/>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3.每月由我行使用单位按“合格”、“不合格”对全行报警设备进行测评考核，合格档次支付全额服务费用，不合格档次对</w:t>
      </w:r>
      <w:r>
        <w:rPr>
          <w:rFonts w:hint="eastAsia" w:ascii="彩虹粗仿宋" w:hAnsi="彩虹粗仿宋" w:eastAsia="彩虹粗仿宋" w:cs="彩虹粗仿宋"/>
          <w:color w:val="000000" w:themeColor="text1"/>
          <w:kern w:val="0"/>
          <w:sz w:val="32"/>
          <w:szCs w:val="32"/>
          <w14:textFill>
            <w14:solidFill>
              <w14:schemeClr w14:val="tx1"/>
            </w14:solidFill>
          </w14:textFill>
        </w:rPr>
        <w:t>供应商</w:t>
      </w: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公司进行约谈，按照合同约定扣减相应费用。</w:t>
      </w:r>
    </w:p>
    <w:p>
      <w:pPr>
        <w:adjustRightInd w:val="0"/>
        <w:snapToGrid w:val="0"/>
        <w:spacing w:line="560" w:lineRule="exact"/>
        <w:ind w:firstLine="640" w:firstLineChars="200"/>
        <w:rPr>
          <w:rFonts w:ascii="彩虹黑体" w:hAnsi="宋体" w:eastAsia="彩虹黑体" w:cs="Times New Roman"/>
          <w:snapToGrid w:val="0"/>
          <w:color w:val="000000" w:themeColor="text1"/>
          <w:kern w:val="0"/>
          <w:sz w:val="32"/>
          <w:szCs w:val="32"/>
          <w14:textFill>
            <w14:solidFill>
              <w14:schemeClr w14:val="tx1"/>
            </w14:solidFill>
          </w14:textFill>
        </w:rPr>
      </w:pPr>
      <w:r>
        <w:rPr>
          <w:rFonts w:hint="eastAsia" w:ascii="彩虹黑体" w:hAnsi="宋体" w:eastAsia="彩虹黑体" w:cs="Times New Roman"/>
          <w:snapToGrid w:val="0"/>
          <w:color w:val="000000" w:themeColor="text1"/>
          <w:kern w:val="0"/>
          <w:sz w:val="32"/>
          <w:szCs w:val="32"/>
          <w14:textFill>
            <w14:solidFill>
              <w14:schemeClr w14:val="tx1"/>
            </w14:solidFill>
          </w14:textFill>
        </w:rPr>
        <w:t>五、服务供应安排</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（一）报警监控</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color w:val="000000" w:themeColor="text1"/>
          <w:kern w:val="0"/>
          <w:sz w:val="32"/>
          <w:szCs w:val="32"/>
          <w14:textFill>
            <w14:solidFill>
              <w14:schemeClr w14:val="tx1"/>
            </w14:solidFill>
          </w14:textFill>
        </w:rPr>
        <w:t>供应商</w:t>
      </w: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公司按照报警联网设备合同的约定对我行</w:t>
      </w:r>
      <w:r>
        <w:rPr>
          <w:rFonts w:hint="eastAsia" w:ascii="彩虹粗仿宋" w:hAnsi="彩虹粗仿宋" w:eastAsia="彩虹粗仿宋" w:cs="彩虹粗仿宋"/>
          <w:color w:val="000000" w:themeColor="text1"/>
          <w:sz w:val="32"/>
          <w:szCs w:val="32"/>
          <w14:textFill>
            <w14:solidFill>
              <w14:schemeClr w14:val="tx1"/>
            </w14:solidFill>
          </w14:textFill>
        </w:rPr>
        <w:t>辖内报警服务点（含网点、自助、金库、档案库房等）</w:t>
      </w: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进行撤布防的监控。</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（二）设备巡检</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全年为我行网点的联网报警系统每季度进行1次全面的检修。</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（三）设备日常维修维护</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做好营业场所和办公楼等重点部位110联网线路设备和报警系统的的日常维护。</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（四）人员培训</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每年对我行人员每季度提供1次安保设施设备维护使用培训。</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（五）警情处置</w:t>
      </w:r>
    </w:p>
    <w:p>
      <w:pPr>
        <w:adjustRightInd w:val="0"/>
        <w:snapToGrid w:val="0"/>
        <w:spacing w:line="560" w:lineRule="exact"/>
        <w:ind w:firstLine="640" w:firstLineChars="200"/>
        <w:rPr>
          <w:rFonts w:ascii="彩虹粗仿宋" w:hAnsi="宋体" w:eastAsia="彩虹粗仿宋" w:cs="Times New Roman"/>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供应商与“110”指挥中心24小时共同接收紧急报警信号，及时通知反馈处理。</w:t>
      </w:r>
    </w:p>
    <w:p>
      <w:pPr>
        <w:numPr>
          <w:ilvl w:val="0"/>
          <w:numId w:val="1"/>
        </w:numPr>
        <w:adjustRightInd w:val="0"/>
        <w:snapToGrid w:val="0"/>
        <w:spacing w:line="560" w:lineRule="exact"/>
        <w:ind w:firstLine="640" w:firstLineChars="200"/>
        <w:rPr>
          <w:rFonts w:hint="eastAsia" w:ascii="彩虹黑体" w:hAnsi="宋体" w:eastAsia="彩虹黑体" w:cs="Times New Roman"/>
          <w:snapToGrid w:val="0"/>
          <w:color w:val="000000" w:themeColor="text1"/>
          <w:kern w:val="0"/>
          <w:sz w:val="32"/>
          <w:szCs w:val="32"/>
          <w14:textFill>
            <w14:solidFill>
              <w14:schemeClr w14:val="tx1"/>
            </w14:solidFill>
          </w14:textFill>
        </w:rPr>
      </w:pPr>
      <w:r>
        <w:rPr>
          <w:rFonts w:hint="eastAsia" w:ascii="彩虹黑体" w:hAnsi="宋体" w:eastAsia="彩虹黑体" w:cs="Times New Roman"/>
          <w:snapToGrid w:val="0"/>
          <w:color w:val="000000" w:themeColor="text1"/>
          <w:kern w:val="0"/>
          <w:sz w:val="32"/>
          <w:szCs w:val="32"/>
          <w14:textFill>
            <w14:solidFill>
              <w14:schemeClr w14:val="tx1"/>
            </w14:solidFill>
          </w14:textFill>
        </w:rPr>
        <w:t>服务数量要求</w:t>
      </w:r>
    </w:p>
    <w:p>
      <w:pPr>
        <w:numPr>
          <w:ilvl w:val="0"/>
          <w:numId w:val="0"/>
        </w:numPr>
        <w:adjustRightInd w:val="0"/>
        <w:snapToGrid w:val="0"/>
        <w:spacing w:line="560" w:lineRule="exact"/>
        <w:rPr>
          <w:rFonts w:hint="default" w:ascii="彩虹黑体" w:hAnsi="宋体" w:eastAsia="彩虹黑体" w:cs="Times New Roman"/>
          <w:snapToGrid w:val="0"/>
          <w:color w:val="000000" w:themeColor="text1"/>
          <w:kern w:val="0"/>
          <w:sz w:val="32"/>
          <w:szCs w:val="32"/>
          <w:lang w:val="en-US" w:eastAsia="zh-CN"/>
          <w14:textFill>
            <w14:solidFill>
              <w14:schemeClr w14:val="tx1"/>
            </w14:solidFill>
          </w14:textFill>
        </w:rPr>
      </w:pPr>
      <w:r>
        <w:rPr>
          <w:rFonts w:hint="eastAsia" w:ascii="彩虹黑体" w:hAnsi="宋体" w:eastAsia="彩虹黑体" w:cs="Times New Roman"/>
          <w:snapToGrid w:val="0"/>
          <w:color w:val="000000" w:themeColor="text1"/>
          <w:kern w:val="0"/>
          <w:sz w:val="32"/>
          <w:szCs w:val="32"/>
          <w:lang w:val="en-US" w:eastAsia="zh-CN"/>
          <w14:textFill>
            <w14:solidFill>
              <w14:schemeClr w14:val="tx1"/>
            </w14:solidFill>
          </w14:textFill>
        </w:rPr>
        <w:t xml:space="preserve">   全行21个点位。</w:t>
      </w:r>
    </w:p>
    <w:p>
      <w:pPr>
        <w:adjustRightInd w:val="0"/>
        <w:snapToGrid w:val="0"/>
        <w:spacing w:line="560" w:lineRule="exact"/>
        <w:ind w:firstLine="640" w:firstLineChars="200"/>
        <w:rPr>
          <w:rFonts w:ascii="彩虹黑体" w:hAnsi="宋体" w:eastAsia="彩虹黑体" w:cs="Times New Roman"/>
          <w:snapToGrid w:val="0"/>
          <w:color w:val="000000" w:themeColor="text1"/>
          <w:kern w:val="0"/>
          <w:sz w:val="32"/>
          <w:szCs w:val="32"/>
          <w14:textFill>
            <w14:solidFill>
              <w14:schemeClr w14:val="tx1"/>
            </w14:solidFill>
          </w14:textFill>
        </w:rPr>
      </w:pPr>
      <w:r>
        <w:rPr>
          <w:rFonts w:hint="eastAsia" w:ascii="彩虹黑体" w:hAnsi="宋体" w:eastAsia="彩虹黑体" w:cs="Times New Roman"/>
          <w:snapToGrid w:val="0"/>
          <w:color w:val="000000" w:themeColor="text1"/>
          <w:kern w:val="0"/>
          <w:sz w:val="32"/>
          <w:szCs w:val="32"/>
          <w14:textFill>
            <w14:solidFill>
              <w14:schemeClr w14:val="tx1"/>
            </w14:solidFill>
          </w14:textFill>
        </w:rPr>
        <w:t>七、款项支付要求</w:t>
      </w:r>
    </w:p>
    <w:p>
      <w:pPr>
        <w:adjustRightInd w:val="0"/>
        <w:snapToGrid w:val="0"/>
        <w:spacing w:line="560" w:lineRule="exact"/>
        <w:ind w:firstLine="640" w:firstLineChars="200"/>
        <w:rPr>
          <w:rFonts w:ascii="彩虹粗仿宋" w:hAnsi="宋体" w:eastAsia="彩虹粗仿宋" w:cs="Times New Roman"/>
          <w:snapToGrid w:val="0"/>
          <w:color w:val="FF0000"/>
          <w:kern w:val="0"/>
          <w:sz w:val="32"/>
          <w:szCs w:val="32"/>
        </w:rPr>
      </w:pP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按月据实结算费用，供应商在完成我行辖内各重点部位110报警任务完成后，提供符合我行账务处理要求的增值税专用发票，经使用单位确认，无遗留问题，根据服务情况和考核结果，将上月度110报警服务费用转入供应商指定银行账户，如遇增加或减少维护数量,按实际每处单价进行调增或调减。</w:t>
      </w:r>
    </w:p>
    <w:p>
      <w:pPr>
        <w:adjustRightInd w:val="0"/>
        <w:snapToGrid w:val="0"/>
        <w:spacing w:line="560" w:lineRule="exact"/>
        <w:ind w:firstLine="640" w:firstLineChars="200"/>
        <w:rPr>
          <w:rFonts w:ascii="彩虹黑体" w:hAnsi="宋体" w:eastAsia="彩虹黑体" w:cs="Times New Roman"/>
          <w:snapToGrid w:val="0"/>
          <w:color w:val="000000" w:themeColor="text1"/>
          <w:kern w:val="0"/>
          <w:sz w:val="32"/>
          <w:szCs w:val="32"/>
          <w14:textFill>
            <w14:solidFill>
              <w14:schemeClr w14:val="tx1"/>
            </w14:solidFill>
          </w14:textFill>
        </w:rPr>
      </w:pPr>
      <w:r>
        <w:rPr>
          <w:rFonts w:hint="eastAsia" w:ascii="彩虹黑体" w:hAnsi="宋体" w:eastAsia="彩虹黑体" w:cs="Times New Roman"/>
          <w:snapToGrid w:val="0"/>
          <w:color w:val="000000" w:themeColor="text1"/>
          <w:kern w:val="0"/>
          <w:sz w:val="32"/>
          <w:szCs w:val="32"/>
          <w14:textFill>
            <w14:solidFill>
              <w14:schemeClr w14:val="tx1"/>
            </w14:solidFill>
          </w14:textFill>
        </w:rPr>
        <w:t>八、报价要求</w:t>
      </w:r>
    </w:p>
    <w:p>
      <w:pPr>
        <w:adjustRightInd w:val="0"/>
        <w:snapToGrid w:val="0"/>
        <w:spacing w:line="560" w:lineRule="exact"/>
        <w:ind w:firstLine="633" w:firstLineChars="198"/>
        <w:rPr>
          <w:rFonts w:ascii="彩虹黑体" w:hAnsi="宋体" w:eastAsia="彩虹黑体" w:cs="Times New Roman"/>
          <w:snapToGrid w:val="0"/>
          <w:color w:val="000000" w:themeColor="text1"/>
          <w:kern w:val="0"/>
          <w:sz w:val="32"/>
          <w:szCs w:val="32"/>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按照每点每月报含税单价和总价，超过预算为无效报价。</w:t>
      </w:r>
      <w:r>
        <w:rPr>
          <w:rFonts w:hint="eastAsia" w:ascii="彩虹粗仿宋" w:hAnsi="彩虹粗仿宋" w:eastAsia="彩虹粗仿宋" w:cs="彩虹粗仿宋"/>
          <w:snapToGrid w:val="0"/>
          <w:color w:val="000000" w:themeColor="text1"/>
          <w:sz w:val="32"/>
          <w:szCs w:val="32"/>
          <w14:textFill>
            <w14:solidFill>
              <w14:schemeClr w14:val="tx1"/>
            </w14:solidFill>
          </w14:textFill>
        </w:rPr>
        <w:t>预算为</w:t>
      </w:r>
      <w:r>
        <w:rPr>
          <w:rFonts w:hint="eastAsia" w:ascii="彩虹粗仿宋" w:hAnsi="宋体" w:eastAsia="彩虹粗仿宋"/>
          <w:snapToGrid w:val="0"/>
          <w:color w:val="000000" w:themeColor="text1"/>
          <w:kern w:val="0"/>
          <w:sz w:val="30"/>
          <w:szCs w:val="30"/>
          <w:lang w:val="en-US" w:eastAsia="zh-CN"/>
          <w14:textFill>
            <w14:solidFill>
              <w14:schemeClr w14:val="tx1"/>
            </w14:solidFill>
          </w14:textFill>
        </w:rPr>
        <w:t>250元/月/点位</w:t>
      </w:r>
      <w:r>
        <w:rPr>
          <w:rFonts w:hint="eastAsia" w:ascii="彩虹粗仿宋" w:hAnsi="彩虹粗仿宋" w:eastAsia="彩虹粗仿宋" w:cs="彩虹粗仿宋"/>
          <w:snapToGrid w:val="0"/>
          <w:color w:val="000000" w:themeColor="text1"/>
          <w:sz w:val="32"/>
          <w:szCs w:val="32"/>
          <w14:textFill>
            <w14:solidFill>
              <w14:schemeClr w14:val="tx1"/>
            </w14:solidFill>
          </w14:textFill>
        </w:rPr>
        <w:t>（含税）</w:t>
      </w:r>
      <w:r>
        <w:rPr>
          <w:rFonts w:hint="eastAsia" w:ascii="彩虹粗仿宋" w:hAnsi="彩虹粗仿宋" w:eastAsia="彩虹粗仿宋" w:cs="彩虹粗仿宋"/>
          <w:snapToGrid w:val="0"/>
          <w:color w:val="000000" w:themeColor="text1"/>
          <w:sz w:val="32"/>
          <w:szCs w:val="32"/>
          <w:lang w:eastAsia="zh-CN"/>
          <w14:textFill>
            <w14:solidFill>
              <w14:schemeClr w14:val="tx1"/>
            </w14:solidFill>
          </w14:textFill>
        </w:rPr>
        <w:t>，</w:t>
      </w:r>
      <w:r>
        <w:rPr>
          <w:rFonts w:hint="eastAsia" w:ascii="彩虹粗仿宋" w:hAnsi="彩虹粗仿宋" w:eastAsia="彩虹粗仿宋" w:cs="彩虹粗仿宋"/>
          <w:snapToGrid w:val="0"/>
          <w:color w:val="000000" w:themeColor="text1"/>
          <w:sz w:val="32"/>
          <w:szCs w:val="32"/>
          <w:lang w:val="en-US" w:eastAsia="zh-CN"/>
          <w14:textFill>
            <w14:solidFill>
              <w14:schemeClr w14:val="tx1"/>
            </w14:solidFill>
          </w14:textFill>
        </w:rPr>
        <w:t>21个点位，全部预算</w:t>
      </w:r>
      <w:r>
        <w:rPr>
          <w:rFonts w:hint="eastAsia" w:ascii="彩虹粗仿宋" w:hAnsi="等线" w:eastAsia="彩虹粗仿宋"/>
          <w:color w:val="000000" w:themeColor="text1"/>
          <w:sz w:val="32"/>
          <w:szCs w:val="32"/>
          <w:lang w:val="en-US" w:eastAsia="zh-CN"/>
          <w14:textFill>
            <w14:solidFill>
              <w14:schemeClr w14:val="tx1"/>
            </w14:solidFill>
          </w14:textFill>
        </w:rPr>
        <w:t>63000</w:t>
      </w:r>
      <w:r>
        <w:rPr>
          <w:rFonts w:hint="eastAsia" w:ascii="彩虹粗仿宋" w:hAnsi="等线" w:eastAsia="彩虹粗仿宋"/>
          <w:color w:val="000000" w:themeColor="text1"/>
          <w:sz w:val="32"/>
          <w:szCs w:val="32"/>
          <w14:textFill>
            <w14:solidFill>
              <w14:schemeClr w14:val="tx1"/>
            </w14:solidFill>
          </w14:textFill>
        </w:rPr>
        <w:t>元</w:t>
      </w:r>
      <w:r>
        <w:rPr>
          <w:rFonts w:hint="eastAsia" w:ascii="彩虹粗仿宋" w:hAnsi="等线" w:eastAsia="彩虹粗仿宋"/>
          <w:color w:val="000000" w:themeColor="text1"/>
          <w:sz w:val="32"/>
          <w:szCs w:val="32"/>
          <w:lang w:eastAsia="zh-CN"/>
          <w14:textFill>
            <w14:solidFill>
              <w14:schemeClr w14:val="tx1"/>
            </w14:solidFill>
          </w14:textFill>
        </w:rPr>
        <w:t>。</w:t>
      </w:r>
    </w:p>
    <w:p>
      <w:pPr>
        <w:adjustRightInd w:val="0"/>
        <w:snapToGrid w:val="0"/>
        <w:spacing w:line="560" w:lineRule="exact"/>
        <w:ind w:firstLine="640" w:firstLineChars="200"/>
        <w:rPr>
          <w:rFonts w:ascii="彩虹黑体" w:hAnsi="宋体" w:eastAsia="彩虹黑体" w:cs="Times New Roman"/>
          <w:snapToGrid w:val="0"/>
          <w:color w:val="000000" w:themeColor="text1"/>
          <w:kern w:val="0"/>
          <w:sz w:val="32"/>
          <w:szCs w:val="32"/>
          <w14:textFill>
            <w14:solidFill>
              <w14:schemeClr w14:val="tx1"/>
            </w14:solidFill>
          </w14:textFill>
        </w:rPr>
      </w:pPr>
      <w:r>
        <w:rPr>
          <w:rFonts w:hint="eastAsia" w:ascii="彩虹黑体" w:hAnsi="宋体" w:eastAsia="彩虹黑体" w:cs="Times New Roman"/>
          <w:snapToGrid w:val="0"/>
          <w:color w:val="000000" w:themeColor="text1"/>
          <w:kern w:val="0"/>
          <w:sz w:val="32"/>
          <w:szCs w:val="32"/>
          <w14:textFill>
            <w14:solidFill>
              <w14:schemeClr w14:val="tx1"/>
            </w14:solidFill>
          </w14:textFill>
        </w:rPr>
        <w:t>九、其他要求</w:t>
      </w:r>
    </w:p>
    <w:p>
      <w:pPr>
        <w:adjustRightInd w:val="0"/>
        <w:snapToGrid w:val="0"/>
        <w:spacing w:line="360" w:lineRule="auto"/>
        <w:ind w:firstLine="640" w:firstLineChars="200"/>
        <w:jc w:val="left"/>
        <w:rPr>
          <w:color w:val="000000" w:themeColor="text1"/>
          <w14:textFill>
            <w14:solidFill>
              <w14:schemeClr w14:val="tx1"/>
            </w14:solidFill>
          </w14:textFill>
        </w:rPr>
      </w:pPr>
      <w:r>
        <w:rPr>
          <w:rFonts w:hint="eastAsia" w:ascii="彩虹粗仿宋" w:hAnsi="宋体" w:eastAsia="彩虹粗仿宋"/>
          <w:snapToGrid w:val="0"/>
          <w:color w:val="000000" w:themeColor="text1"/>
          <w:sz w:val="32"/>
          <w:szCs w:val="32"/>
          <w14:textFill>
            <w14:solidFill>
              <w14:schemeClr w14:val="tx1"/>
            </w14:solidFill>
          </w14:textFill>
        </w:rPr>
        <w:t>无。</w:t>
      </w:r>
    </w:p>
    <w:p>
      <w:pPr>
        <w:widowControl/>
        <w:jc w:val="left"/>
      </w:pPr>
    </w:p>
    <w:p>
      <w:pPr>
        <w:adjustRightInd w:val="0"/>
        <w:snapToGrid w:val="0"/>
        <w:spacing w:line="360" w:lineRule="auto"/>
        <w:jc w:val="cente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169B9EA"/>
    <w:multiLevelType w:val="singleLevel"/>
    <w:tmpl w:val="7169B9EA"/>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47044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table" w:styleId="4">
    <w:name w:val="Table Grid"/>
    <w:basedOn w:val="3"/>
    <w:qFormat/>
    <w:uiPriority w:val="5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6">
    <w:name w:val="im-content1"/>
    <w:basedOn w:val="5"/>
    <w:qFormat/>
    <w:uiPriority w:val="0"/>
    <w:rPr>
      <w:color w:val="00000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2024-05-23T01:47:10Z</dcterms:created>
  <dc:creator>haccb</dc:creator>
  <cp:lastModifiedBy>haccb</cp:lastModifiedBy>
  <dcterms:modified xsi:type="dcterms:W3CDTF">2024-05-23T01:48:49Z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64FC16E5067049B78F87E954CFB58286_12</vt:lpwstr>
  </property>
</Properties>
</file>