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outlineLvl w:val="0"/>
        <w:rPr>
          <w:rFonts w:ascii="彩虹小标宋" w:hAnsi="宋体" w:eastAsia="彩虹小标宋" w:cs="Times New Roman"/>
          <w:bCs/>
          <w:snapToGrid w:val="0"/>
          <w:kern w:val="0"/>
          <w:sz w:val="44"/>
          <w:szCs w:val="44"/>
        </w:rPr>
      </w:pPr>
      <w:r>
        <w:rPr>
          <w:rFonts w:hint="eastAsia" w:ascii="彩虹小标宋" w:hAnsi="宋体" w:eastAsia="彩虹小标宋" w:cs="Times New Roman"/>
          <w:bCs/>
          <w:snapToGrid w:val="0"/>
          <w:kern w:val="0"/>
          <w:sz w:val="36"/>
          <w:szCs w:val="36"/>
          <w:highlight w:val="yellow"/>
        </w:rPr>
        <w:t>新乡封丘支行安保服务采购需求</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（一）具有独立法人资格，能独立承担民事责任。</w:t>
      </w:r>
    </w:p>
    <w:p>
      <w:pPr>
        <w:adjustRightInd w:val="0"/>
        <w:snapToGrid w:val="0"/>
        <w:spacing w:line="560" w:lineRule="atLeast"/>
        <w:ind w:firstLine="320" w:firstLineChars="100"/>
        <w:rPr>
          <w:rFonts w:ascii="彩虹粗仿宋" w:hAnsi="微软雅黑" w:eastAsia="彩虹粗仿宋" w:cs="宋体"/>
          <w:b/>
          <w:kern w:val="0"/>
          <w:sz w:val="32"/>
          <w:szCs w:val="32"/>
        </w:rPr>
      </w:pPr>
      <w:r>
        <w:rPr>
          <w:rFonts w:hint="eastAsia" w:ascii="彩虹粗仿宋" w:eastAsia="彩虹粗仿宋"/>
          <w:sz w:val="32"/>
        </w:rPr>
        <w:t>（二）取得合法有效的</w:t>
      </w:r>
      <w:r>
        <w:rPr>
          <w:rFonts w:hint="eastAsia" w:ascii="彩虹粗仿宋" w:hAnsi="Times New Roman" w:eastAsia="彩虹粗仿宋"/>
          <w:kern w:val="0"/>
          <w:sz w:val="32"/>
          <w:szCs w:val="20"/>
        </w:rPr>
        <w:t>保安服务许可证</w:t>
      </w:r>
      <w:r>
        <w:rPr>
          <w:rFonts w:hint="eastAsia" w:ascii="彩虹粗仿宋" w:eastAsia="彩虹粗仿宋"/>
          <w:kern w:val="0"/>
          <w:sz w:val="32"/>
        </w:rPr>
        <w:t>。</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（三）财务状况良好，提供近三年（</w:t>
      </w:r>
      <w:r>
        <w:rPr>
          <w:rFonts w:hint="eastAsia" w:ascii="彩虹粗仿宋" w:eastAsia="彩虹粗仿宋"/>
          <w:sz w:val="32"/>
          <w:lang w:eastAsia="zh-CN"/>
        </w:rPr>
        <w:t>2020年-2022年</w:t>
      </w:r>
      <w:r>
        <w:rPr>
          <w:rFonts w:hint="eastAsia" w:ascii="彩虹粗仿宋" w:eastAsia="彩虹粗仿宋"/>
          <w:sz w:val="32"/>
        </w:rPr>
        <w:t>）的经审计的财务报告或财务报表（新成立企业从成立日计算）.</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（五）2021年1月1日以来具有银行</w:t>
      </w:r>
      <w:bookmarkStart w:id="0" w:name="_GoBack"/>
      <w:r>
        <w:rPr>
          <w:rFonts w:hint="eastAsia" w:ascii="彩虹粗仿宋" w:eastAsia="彩虹粗仿宋"/>
          <w:sz w:val="32"/>
        </w:rPr>
        <w:t>保安</w:t>
      </w:r>
      <w:bookmarkEnd w:id="0"/>
      <w:r>
        <w:rPr>
          <w:rFonts w:hint="eastAsia" w:ascii="彩虹粗仿宋" w:eastAsia="彩虹粗仿宋"/>
          <w:sz w:val="32"/>
        </w:rPr>
        <w:t>同类业绩。</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（六）本项目不允许联合体投标，不允许分包或转包。</w:t>
      </w:r>
    </w:p>
    <w:p>
      <w:pPr>
        <w:adjustRightInd w:val="0"/>
        <w:snapToGrid w:val="0"/>
        <w:spacing w:line="560" w:lineRule="atLeast"/>
        <w:ind w:firstLine="320" w:firstLineChars="100"/>
        <w:rPr>
          <w:rFonts w:ascii="彩虹粗仿宋" w:eastAsia="彩虹粗仿宋"/>
          <w:sz w:val="32"/>
        </w:rPr>
      </w:pPr>
      <w:r>
        <w:rPr>
          <w:rFonts w:hint="eastAsia" w:ascii="彩虹粗仿宋" w:eastAsia="彩虹粗仿宋"/>
          <w:sz w:val="32"/>
        </w:rPr>
        <w:t>（七）外商独资、中外合资、中外合作的保安公司不得参与（根据保安服务管理条例第二十二条规定）。</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utoSpaceDE w:val="0"/>
        <w:autoSpaceDN w:val="0"/>
        <w:adjustRightInd w:val="0"/>
        <w:snapToGrid w:val="0"/>
        <w:spacing w:line="560" w:lineRule="exact"/>
        <w:ind w:firstLine="480" w:firstLineChars="150"/>
        <w:outlineLvl w:val="1"/>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（一）安保值守服务</w:t>
      </w:r>
    </w:p>
    <w:p>
      <w:pPr>
        <w:autoSpaceDE w:val="0"/>
        <w:autoSpaceDN w:val="0"/>
        <w:adjustRightInd w:val="0"/>
        <w:snapToGrid w:val="0"/>
        <w:spacing w:line="560" w:lineRule="exact"/>
        <w:ind w:firstLine="640" w:firstLineChars="200"/>
        <w:rPr>
          <w:rFonts w:ascii="Times New Roman" w:hAnsi="Calibri" w:eastAsia="彩虹粗仿宋" w:cs="宋体"/>
          <w:color w:val="000000"/>
          <w:kern w:val="0"/>
          <w:sz w:val="32"/>
          <w:szCs w:val="32"/>
        </w:rPr>
      </w:pPr>
      <w:r>
        <w:rPr>
          <w:rFonts w:hint="eastAsia" w:ascii="Times New Roman" w:hAnsi="Calibri" w:eastAsia="彩虹粗仿宋" w:cs="宋体"/>
          <w:color w:val="000000"/>
          <w:kern w:val="0"/>
          <w:sz w:val="32"/>
          <w:szCs w:val="32"/>
        </w:rPr>
        <w:t>本次安保值守服务内容是封丘支行1个营业网点的安保服务。</w:t>
      </w:r>
    </w:p>
    <w:p>
      <w:pPr>
        <w:autoSpaceDE w:val="0"/>
        <w:autoSpaceDN w:val="0"/>
        <w:adjustRightInd w:val="0"/>
        <w:snapToGrid w:val="0"/>
        <w:spacing w:line="560" w:lineRule="exact"/>
        <w:ind w:firstLine="480" w:firstLineChars="150"/>
        <w:outlineLvl w:val="1"/>
        <w:rPr>
          <w:rFonts w:ascii="彩虹楷体" w:hAnsi="黑体" w:eastAsia="彩虹楷体" w:cs="Courier New"/>
          <w:sz w:val="32"/>
          <w:szCs w:val="32"/>
        </w:rPr>
      </w:pPr>
      <w:r>
        <w:rPr>
          <w:rFonts w:hint="eastAsia" w:ascii="彩虹粗仿宋" w:hAnsi="Times New Roman" w:eastAsia="彩虹粗仿宋" w:cs="Times New Roman"/>
          <w:sz w:val="32"/>
          <w:szCs w:val="32"/>
        </w:rPr>
        <w:t>（二）</w:t>
      </w:r>
      <w:r>
        <w:rPr>
          <w:rFonts w:hint="eastAsia" w:ascii="彩虹楷体" w:hAnsi="黑体" w:eastAsia="彩虹楷体" w:cs="Courier New"/>
          <w:sz w:val="32"/>
          <w:szCs w:val="32"/>
        </w:rPr>
        <w:t>自助设备巡查服务</w:t>
      </w:r>
    </w:p>
    <w:p>
      <w:pPr>
        <w:autoSpaceDE w:val="0"/>
        <w:autoSpaceDN w:val="0"/>
        <w:adjustRightInd w:val="0"/>
        <w:snapToGrid w:val="0"/>
        <w:spacing w:line="560" w:lineRule="exact"/>
        <w:ind w:firstLine="480" w:firstLineChars="150"/>
        <w:rPr>
          <w:rFonts w:ascii="彩虹粗仿宋" w:hAnsi="黑体" w:eastAsia="彩虹粗仿宋" w:cs="Times New Roman"/>
          <w:sz w:val="32"/>
          <w:szCs w:val="32"/>
        </w:rPr>
      </w:pPr>
      <w:r>
        <w:rPr>
          <w:rFonts w:hint="eastAsia" w:ascii="彩虹粗仿宋" w:hAnsi="黑体" w:eastAsia="彩虹粗仿宋" w:cs="Times New Roman"/>
          <w:sz w:val="32"/>
          <w:szCs w:val="32"/>
        </w:rPr>
        <w:t>自助设备巡查服务内容是对封丘支行1个附行式自助银行和1个离行式自助银行每天从晚8:00至次日6:0</w:t>
      </w:r>
      <w:r>
        <w:rPr>
          <w:rFonts w:ascii="彩虹粗仿宋" w:hAnsi="黑体" w:eastAsia="彩虹粗仿宋" w:cs="Times New Roman"/>
          <w:sz w:val="32"/>
          <w:szCs w:val="32"/>
        </w:rPr>
        <w:t>0</w:t>
      </w:r>
      <w:r>
        <w:rPr>
          <w:rFonts w:hint="eastAsia" w:ascii="彩虹粗仿宋" w:hAnsi="黑体" w:eastAsia="彩虹粗仿宋" w:cs="Times New Roman"/>
          <w:sz w:val="32"/>
          <w:szCs w:val="32"/>
        </w:rPr>
        <w:t>进行巡查服务。</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（一）人员政治上可靠，遵守国家法律、法规，无不良行为记录、身体健康、统一着装。</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（二）具备一定的专业技能，能正确处理服务中出现的突发情况并进行有效处置。</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（三）外包人员按国家规定持证上岗，认真执行国家有关规定及要求。如由于所派人员违反规定，造成财产损失和人员伤亡的，外包服务公司负全部责任。</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（四）具有满足服务需要的器械和车辆等。</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560" w:lineRule="exact"/>
        <w:ind w:firstLine="320" w:firstLineChars="1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（一）计划安排要求</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项目推进根据前期工作安排，按照我行采购流程进行，积极与采购部门对接，安排专人配合采购部门及时解决采购事项所涉及到的内容、费用、问题等，圆满完成本次采购项目。</w:t>
      </w:r>
    </w:p>
    <w:p>
      <w:pPr>
        <w:adjustRightInd w:val="0"/>
        <w:snapToGrid w:val="0"/>
        <w:spacing w:line="560" w:lineRule="exact"/>
        <w:ind w:firstLine="480" w:firstLineChars="150"/>
        <w:outlineLvl w:val="1"/>
        <w:rPr>
          <w:rFonts w:ascii="彩虹粗仿宋" w:hAnsi="宋体" w:eastAsia="彩虹粗仿宋" w:cs="Courier New"/>
          <w:color w:val="000000"/>
          <w:sz w:val="32"/>
          <w:szCs w:val="32"/>
        </w:rPr>
      </w:pPr>
      <w:r>
        <w:rPr>
          <w:rFonts w:hint="eastAsia" w:ascii="彩虹粗仿宋" w:eastAsia="彩虹粗仿宋"/>
          <w:bCs/>
          <w:sz w:val="32"/>
          <w:szCs w:val="32"/>
        </w:rPr>
        <w:t>（二）服务质量标准</w:t>
      </w:r>
    </w:p>
    <w:p>
      <w:pPr>
        <w:tabs>
          <w:tab w:val="left" w:pos="720"/>
        </w:tabs>
        <w:adjustRightInd w:val="0"/>
        <w:snapToGrid w:val="0"/>
        <w:spacing w:line="560" w:lineRule="exact"/>
        <w:ind w:left="-178" w:leftChars="-85" w:firstLine="800" w:firstLineChars="250"/>
        <w:outlineLvl w:val="0"/>
        <w:rPr>
          <w:rFonts w:ascii="彩虹粗仿宋" w:hAnsi="Times New Roman" w:eastAsia="彩虹粗仿宋" w:cs="Times New Roman"/>
          <w:sz w:val="32"/>
          <w:szCs w:val="32"/>
        </w:rPr>
      </w:pPr>
      <w:r>
        <w:rPr>
          <w:rFonts w:hint="eastAsia" w:ascii="彩虹粗仿宋" w:hAnsi="宋体" w:eastAsia="彩虹粗仿宋" w:cs="Courier New"/>
          <w:color w:val="000000"/>
          <w:sz w:val="32"/>
          <w:szCs w:val="32"/>
        </w:rPr>
        <w:t>1、</w:t>
      </w:r>
      <w:r>
        <w:rPr>
          <w:rFonts w:hint="eastAsia" w:ascii="彩虹粗仿宋" w:hAnsi="Times New Roman" w:eastAsia="彩虹粗仿宋" w:cs="Times New Roman"/>
          <w:sz w:val="32"/>
          <w:szCs w:val="32"/>
        </w:rPr>
        <w:t>外包服务公司承诺按照协议约定的服务内容向我行提供合格的服务，接受我行对其工作的指导和监督。</w:t>
      </w:r>
    </w:p>
    <w:p>
      <w:pPr>
        <w:tabs>
          <w:tab w:val="left" w:pos="720"/>
        </w:tabs>
        <w:adjustRightInd w:val="0"/>
        <w:snapToGrid w:val="0"/>
        <w:spacing w:line="560" w:lineRule="exact"/>
        <w:ind w:firstLine="640" w:firstLineChars="20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2、严格遵守我行的制度和规定，按照我行的服务需求，配备和提供外包人员。不得泄漏因服务而取得的任何我行的业务信息。</w:t>
      </w:r>
    </w:p>
    <w:p>
      <w:pPr>
        <w:tabs>
          <w:tab w:val="left" w:pos="720"/>
        </w:tabs>
        <w:adjustRightInd w:val="0"/>
        <w:snapToGrid w:val="0"/>
        <w:spacing w:line="560" w:lineRule="exact"/>
        <w:ind w:left="-178" w:leftChars="-85" w:firstLine="800" w:firstLineChars="2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3、外包服务公司负责制定与受托业务相关的内控制度、操作规程、人员考核等办法，并报我行备案；未经我行书面同意，外包公司不得将其在协议约定项下任一事项转让或分包给第三方。</w:t>
      </w:r>
    </w:p>
    <w:p>
      <w:pPr>
        <w:tabs>
          <w:tab w:val="left" w:pos="720"/>
        </w:tabs>
        <w:adjustRightInd w:val="0"/>
        <w:snapToGrid w:val="0"/>
        <w:spacing w:line="560" w:lineRule="exact"/>
        <w:ind w:left="-178" w:leftChars="-85" w:firstLine="800" w:firstLineChars="2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外包服务公司负责与外包人员签订符合《劳动法》的正式合同，负责劳动用工以及涉及劳动关系管理的所有事宜。外包服务公司应承诺外包人员的基本保障性工资不低于所在工作地区最低工资标准，按照国家规定缴纳社会保险等。</w:t>
      </w:r>
    </w:p>
    <w:p>
      <w:pPr>
        <w:tabs>
          <w:tab w:val="left" w:pos="720"/>
        </w:tabs>
        <w:adjustRightInd w:val="0"/>
        <w:snapToGrid w:val="0"/>
        <w:spacing w:line="560" w:lineRule="exact"/>
        <w:ind w:left="-178" w:leftChars="-85" w:firstLine="800" w:firstLineChars="2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5、外包服务公司应对派驻我行的人员进行业务知识培训，并达到国家承认的上岗资格，做到持证上岗。</w:t>
      </w:r>
      <w:r>
        <w:rPr>
          <w:rFonts w:hint="eastAsia" w:ascii="彩虹粗仿宋" w:eastAsia="彩虹粗仿宋"/>
          <w:sz w:val="32"/>
          <w:szCs w:val="32"/>
        </w:rPr>
        <w:t>派往我行的人员非必要，不得进入我行营业柜台等场所，不得从事本岗位工作职责以外的工作。执勤期间，按照合同约定着装持械上岗。</w:t>
      </w:r>
      <w:r>
        <w:rPr>
          <w:rFonts w:hint="eastAsia" w:ascii="彩虹粗仿宋" w:hAnsi="Times New Roman" w:eastAsia="彩虹粗仿宋" w:cs="Times New Roman"/>
          <w:sz w:val="32"/>
          <w:szCs w:val="32"/>
        </w:rPr>
        <w:t>定期进行应急预案演练。</w:t>
      </w:r>
    </w:p>
    <w:p>
      <w:pPr>
        <w:adjustRightInd w:val="0"/>
        <w:snapToGrid w:val="0"/>
        <w:spacing w:line="560" w:lineRule="exact"/>
        <w:ind w:firstLine="320" w:firstLineChars="100"/>
        <w:rPr>
          <w:rFonts w:ascii="彩虹粗仿宋" w:hAnsi="宋体" w:eastAsia="彩虹粗仿宋" w:cs="Times New Roman"/>
          <w:color w:val="000000"/>
          <w:sz w:val="32"/>
          <w:szCs w:val="32"/>
        </w:rPr>
      </w:pPr>
      <w:r>
        <w:rPr>
          <w:rFonts w:hint="eastAsia" w:ascii="彩虹粗仿宋" w:hAnsi="宋体" w:eastAsia="彩虹粗仿宋" w:cs="Times New Roman"/>
          <w:color w:val="000000"/>
          <w:sz w:val="32"/>
          <w:szCs w:val="32"/>
        </w:rPr>
        <w:t>（三）风险控制要求</w:t>
      </w:r>
    </w:p>
    <w:p>
      <w:pPr>
        <w:adjustRightInd w:val="0"/>
        <w:snapToGrid w:val="0"/>
        <w:spacing w:line="560" w:lineRule="exact"/>
        <w:ind w:firstLine="640" w:firstLineChars="200"/>
        <w:rPr>
          <w:rFonts w:ascii="彩虹粗仿宋" w:hAnsi="宋体" w:eastAsia="彩虹粗仿宋" w:cs="Times New Roman"/>
          <w:color w:val="000000"/>
          <w:sz w:val="32"/>
          <w:szCs w:val="32"/>
        </w:rPr>
      </w:pPr>
      <w:r>
        <w:rPr>
          <w:rFonts w:hint="eastAsia" w:ascii="彩虹粗仿宋" w:hAnsi="Times New Roman" w:eastAsia="彩虹粗仿宋" w:cs="Times New Roman"/>
          <w:sz w:val="32"/>
          <w:szCs w:val="32"/>
        </w:rPr>
        <w:t>按照总行《关于防范业务外包用工风险的通知》（建人〔2014〕235号）的文件要求，禁止外包服务公司以我行名义进行用工管理或开展生产经营活动，外包服务人员应与公司依法订立劳动合同，防范外包业务用工风险。</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1、日常管理、监督和检查。</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在安保服务过程中均涉及外包人员的使用和管理，我行具体负责外包人员的业务培训和规范操作，指导、监督外包人员按章办事，在安保服务过程中协助做好办公、营业场所经营秩序的同时，维护员工、客户的人身和财产安全，不得从事岗位职责以外的工作。</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（2）按照我行的要求，双方约定每季度召开一次联席会，至少开展一次外包服务检查，并形成检查报告，对检查中发现的问题及时通报外包服务公司，限期整改和落实，每年度结束后形成年度评估报告。</w:t>
      </w:r>
    </w:p>
    <w:p>
      <w:pPr>
        <w:tabs>
          <w:tab w:val="left" w:pos="720"/>
        </w:tabs>
        <w:adjustRightInd w:val="0"/>
        <w:snapToGrid w:val="0"/>
        <w:spacing w:line="560" w:lineRule="exact"/>
        <w:ind w:firstLine="800" w:firstLineChars="2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2、明确责任，防范风险。</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双方按照约定明确双方责任，建立健全安全责任制，完善双方沟通协作机制。提供安保服务的外包服务公司应根据不同工作性质，明确人员岗位职责、规范流程，不断提升外包人员的业务素质和技能，为我行提供更加安全的安保服务。</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按照我行有关规定，对业务外包合同履行期间的监督管理实行“对事不对人”，明确外包人员招聘、管理、考核、薪酬发放等均由外包服务公司负责，我行负责监督检查外包服务公司提供服务的数量、质量和应急处置。</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（3）外包服务公司通过工作合同、规章对外包服务人员的行为做出约束，并与外包服务人员一一签订《保密协议》，防范客户信息泄露的风险，严格防范操作风险、声誉风险及其它风险。</w:t>
      </w:r>
    </w:p>
    <w:p>
      <w:pPr>
        <w:adjustRightInd w:val="0"/>
        <w:snapToGrid w:val="0"/>
        <w:spacing w:line="560" w:lineRule="exac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（四）保密要求</w:t>
      </w:r>
    </w:p>
    <w:p>
      <w:pPr>
        <w:tabs>
          <w:tab w:val="left" w:pos="720"/>
        </w:tabs>
        <w:adjustRightInd w:val="0"/>
        <w:snapToGrid w:val="0"/>
        <w:spacing w:line="560" w:lineRule="exact"/>
        <w:ind w:firstLine="480" w:firstLineChars="1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1、外包服务人员只能掌握了解工作需要的相关信息，不得将我行信息资料以任何方式透露给其他任何机构或个人。</w:t>
      </w:r>
    </w:p>
    <w:p>
      <w:pPr>
        <w:tabs>
          <w:tab w:val="left" w:pos="720"/>
        </w:tabs>
        <w:adjustRightInd w:val="0"/>
        <w:snapToGrid w:val="0"/>
        <w:spacing w:line="560" w:lineRule="exact"/>
        <w:ind w:firstLine="480" w:firstLineChars="1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2、外包服务人员不得利用工作之便窃取、收买或者非法提供他人申请信息资料进行各种非法活动。</w:t>
      </w:r>
    </w:p>
    <w:p>
      <w:pPr>
        <w:tabs>
          <w:tab w:val="left" w:pos="720"/>
        </w:tabs>
        <w:adjustRightInd w:val="0"/>
        <w:snapToGrid w:val="0"/>
        <w:spacing w:line="560" w:lineRule="exact"/>
        <w:ind w:firstLine="480" w:firstLineChars="150"/>
        <w:outlineLvl w:val="0"/>
        <w:rPr>
          <w:rFonts w:ascii="彩虹粗仿宋" w:hAnsi="宋体" w:eastAsia="彩虹粗仿宋"/>
          <w:snapToGrid w:val="0"/>
          <w:sz w:val="32"/>
          <w:szCs w:val="32"/>
        </w:rPr>
      </w:pPr>
      <w:r>
        <w:rPr>
          <w:rFonts w:hint="eastAsia" w:ascii="彩虹粗仿宋" w:hAnsi="Times New Roman" w:eastAsia="彩虹粗仿宋" w:cs="Times New Roman"/>
          <w:sz w:val="32"/>
          <w:szCs w:val="32"/>
        </w:rPr>
        <w:t>3、由于</w:t>
      </w:r>
      <w:r>
        <w:rPr>
          <w:rFonts w:hint="eastAsia" w:ascii="彩虹粗仿宋" w:hAnsi="宋体" w:eastAsia="彩虹粗仿宋"/>
          <w:snapToGrid w:val="0"/>
          <w:sz w:val="32"/>
          <w:szCs w:val="32"/>
        </w:rPr>
        <w:t>外包服务公司</w:t>
      </w:r>
      <w:r>
        <w:rPr>
          <w:rFonts w:hint="eastAsia" w:ascii="彩虹粗仿宋" w:hAnsi="Times New Roman" w:eastAsia="彩虹粗仿宋" w:cs="Times New Roman"/>
          <w:sz w:val="32"/>
          <w:szCs w:val="32"/>
        </w:rPr>
        <w:t>原因导致我行及客户信息泄漏的，按照双方合同约定追究相关责任。</w:t>
      </w:r>
    </w:p>
    <w:p>
      <w:pPr>
        <w:tabs>
          <w:tab w:val="left" w:pos="720"/>
        </w:tabs>
        <w:adjustRightInd w:val="0"/>
        <w:snapToGrid w:val="0"/>
        <w:spacing w:line="560" w:lineRule="exact"/>
        <w:ind w:firstLine="480" w:firstLineChars="150"/>
        <w:outlineLvl w:val="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w:t>
      </w:r>
      <w:r>
        <w:rPr>
          <w:rFonts w:hint="eastAsia" w:ascii="彩虹粗仿宋" w:hAnsi="宋体" w:eastAsia="彩虹粗仿宋"/>
          <w:snapToGrid w:val="0"/>
          <w:sz w:val="32"/>
          <w:szCs w:val="32"/>
        </w:rPr>
        <w:t>外包服务公司</w:t>
      </w:r>
      <w:r>
        <w:rPr>
          <w:rFonts w:hint="eastAsia" w:ascii="彩虹粗仿宋" w:hAnsi="Times New Roman" w:eastAsia="彩虹粗仿宋" w:cs="Times New Roman"/>
          <w:sz w:val="32"/>
          <w:szCs w:val="32"/>
        </w:rPr>
        <w:t>应严守在履行协议约定中以口头、书面或其他任何方式知悉的我行的商业秘密、技术秘密和其他商业及业务信息，不得泄露。无论协议约定是否无效、变更或终止，本保密条款持续有效。</w:t>
      </w:r>
    </w:p>
    <w:p>
      <w:pPr>
        <w:adjustRightInd w:val="0"/>
        <w:snapToGrid w:val="0"/>
        <w:spacing w:line="560" w:lineRule="exact"/>
        <w:ind w:firstLine="320" w:firstLineChars="100"/>
        <w:rPr>
          <w:rFonts w:ascii="彩虹粗仿宋" w:hAnsi="宋体" w:eastAsia="彩虹粗仿宋" w:cs="Times New Roman"/>
          <w:color w:val="000000"/>
          <w:sz w:val="32"/>
          <w:szCs w:val="32"/>
        </w:rPr>
      </w:pPr>
      <w:r>
        <w:rPr>
          <w:rFonts w:hint="eastAsia" w:ascii="彩虹粗仿宋" w:hAnsi="宋体" w:eastAsia="彩虹粗仿宋" w:cs="Times New Roman"/>
          <w:snapToGrid w:val="0"/>
          <w:kern w:val="0"/>
          <w:sz w:val="32"/>
          <w:szCs w:val="32"/>
        </w:rPr>
        <w:t>（五）</w:t>
      </w:r>
      <w:r>
        <w:rPr>
          <w:rFonts w:hint="eastAsia" w:ascii="彩虹粗仿宋" w:hAnsi="宋体" w:eastAsia="彩虹粗仿宋" w:cs="Times New Roman"/>
          <w:color w:val="000000"/>
          <w:sz w:val="32"/>
          <w:szCs w:val="32"/>
        </w:rPr>
        <w:t>应急措施要求</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1、外包服务公司应制定相关应急预案，预案场景设置、预案分工、预案演练、预案评估，并明确应急处置流程。</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2、因外包服务人员原因造成我行及客户信息泄露、客户投诉等风险，外包服务公司应立即向我行报告，同时启动应急预案，沟通协商解决办法，防止事态扩大。</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3、营业网点如遇挤兑、抢劫、被盗等情形，外包服务人员应及时报告我行和上级部门以及外包服务公司，启动应急预案并报警。</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4、由于外包服务公司原因（如：外包服务中断）引起突发事件的，我行应立即启动相应应急预案，妥善处置问题，积极争取恢复生产。</w:t>
      </w:r>
    </w:p>
    <w:p>
      <w:pPr>
        <w:adjustRightInd w:val="0"/>
        <w:snapToGrid w:val="0"/>
        <w:spacing w:line="560" w:lineRule="exact"/>
        <w:ind w:firstLine="480" w:firstLineChars="1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5、造成我行经济损失的，应按照相关法律法规、合同约定进行索赔。造成我行声誉损失的，应要求保安公司积极配合我行采取措施消除影响、恢复声誉。涉嫌违法犯罪的，应及时向公安机关报案。</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6、在处理事（案）件过程中要时刻向我行报告进展情况，待风险解除后，形成书面报告报送我行，我行综合评估后确定是否继续开展外包事项。</w:t>
      </w:r>
    </w:p>
    <w:p>
      <w:pPr>
        <w:adjustRightInd w:val="0"/>
        <w:snapToGrid w:val="0"/>
        <w:spacing w:line="560" w:lineRule="exact"/>
        <w:ind w:firstLine="160" w:firstLineChars="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（六）外包争端的解决</w:t>
      </w:r>
    </w:p>
    <w:p>
      <w:pPr>
        <w:adjustRightInd w:val="0"/>
        <w:snapToGrid w:val="0"/>
        <w:spacing w:line="560" w:lineRule="exact"/>
        <w:ind w:firstLine="480" w:firstLineChars="150"/>
        <w:rPr>
          <w:rFonts w:ascii="彩虹粗仿宋" w:eastAsia="彩虹粗仿宋"/>
          <w:sz w:val="32"/>
          <w:szCs w:val="32"/>
        </w:rPr>
      </w:pPr>
      <w:r>
        <w:rPr>
          <w:rFonts w:hint="eastAsia" w:ascii="彩虹粗仿宋" w:eastAsia="彩虹粗仿宋"/>
          <w:sz w:val="32"/>
          <w:szCs w:val="32"/>
        </w:rPr>
        <w:t>外包协议有效期内若发生争议，应本着友好协商的态度加以妥善解决。协商不成的，向所在地人民法院起诉。诉讼期间，外包协议不涉及争议的条款，双方仍需继续履行。</w:t>
      </w:r>
    </w:p>
    <w:p>
      <w:pPr>
        <w:adjustRightInd w:val="0"/>
        <w:snapToGrid w:val="0"/>
        <w:spacing w:line="560" w:lineRule="exact"/>
        <w:ind w:firstLine="320" w:firstLineChars="100"/>
        <w:rPr>
          <w:rFonts w:ascii="彩虹粗仿宋" w:eastAsia="彩虹粗仿宋"/>
          <w:sz w:val="32"/>
          <w:szCs w:val="32"/>
        </w:rPr>
      </w:pPr>
      <w:r>
        <w:rPr>
          <w:rFonts w:hint="eastAsia" w:ascii="彩虹粗仿宋" w:hAnsi="宋体" w:eastAsia="彩虹粗仿宋" w:cs="Times New Roman"/>
          <w:snapToGrid w:val="0"/>
          <w:kern w:val="0"/>
          <w:sz w:val="32"/>
          <w:szCs w:val="32"/>
        </w:rPr>
        <w:t>（七）</w:t>
      </w:r>
      <w:r>
        <w:rPr>
          <w:rFonts w:hint="eastAsia" w:ascii="彩虹粗仿宋" w:eastAsia="彩虹粗仿宋"/>
          <w:sz w:val="32"/>
          <w:szCs w:val="32"/>
        </w:rPr>
        <w:t>验收方法和标准</w:t>
      </w:r>
    </w:p>
    <w:p>
      <w:pPr>
        <w:adjustRightInd w:val="0"/>
        <w:snapToGrid w:val="0"/>
        <w:spacing w:line="560" w:lineRule="exact"/>
        <w:ind w:firstLine="480" w:firstLineChars="150"/>
        <w:rPr>
          <w:rFonts w:ascii="彩虹粗仿宋" w:hAnsi="黑体" w:eastAsia="彩虹粗仿宋" w:cs="Times New Roman"/>
          <w:sz w:val="32"/>
          <w:szCs w:val="32"/>
        </w:rPr>
      </w:pPr>
      <w:r>
        <w:rPr>
          <w:rFonts w:hint="eastAsia" w:ascii="彩虹粗仿宋" w:hAnsi="黑体" w:eastAsia="彩虹粗仿宋" w:cs="Times New Roman"/>
          <w:sz w:val="32"/>
          <w:szCs w:val="32"/>
        </w:rPr>
        <w:t>1、根据《中国建设银行营业办公场所保安值勤操作规程》有关规定，依据《XX月营业网点保安服务测评表》（见附件），每月由我行按照“合格”、“基本合格”、“不合格”进行测评考核。</w:t>
      </w:r>
    </w:p>
    <w:p>
      <w:pPr>
        <w:adjustRightInd w:val="0"/>
        <w:snapToGrid w:val="0"/>
        <w:spacing w:line="560" w:lineRule="exact"/>
        <w:ind w:firstLine="480" w:firstLineChars="150"/>
        <w:rPr>
          <w:rFonts w:ascii="彩虹粗仿宋" w:hAnsi="宋体" w:eastAsia="彩虹粗仿宋" w:cs="Times New Roman"/>
          <w:color w:val="FF0000"/>
          <w:sz w:val="32"/>
          <w:szCs w:val="32"/>
        </w:rPr>
      </w:pPr>
      <w:r>
        <w:rPr>
          <w:rFonts w:hint="eastAsia" w:ascii="彩虹粗仿宋" w:hAnsi="Times New Roman" w:eastAsia="彩虹粗仿宋" w:cs="Times New Roman"/>
          <w:sz w:val="32"/>
          <w:szCs w:val="32"/>
        </w:rPr>
        <w:t>2、每月由服务单位按“合格”、“基本合格”、“不合格”进行测评考核，</w:t>
      </w:r>
      <w:r>
        <w:rPr>
          <w:rFonts w:hint="eastAsia" w:ascii="彩虹粗仿宋" w:hAnsi="宋体" w:eastAsia="彩虹粗仿宋" w:cs="Times New Roman"/>
          <w:sz w:val="32"/>
          <w:szCs w:val="32"/>
        </w:rPr>
        <w:t>根据我行提供的测评情况对外包服务公司进行综合评价，合格岗位占服务总岗位90%（含）以上为总体合格、80%（含）以上90%以下为基本合格、80%以下为不合格，按总体合格、基本合格、不合格三个档次支付服务费用。总体合格档次支付全额服务费用，基本合格、不合格档次对外包服务公司进行约谈，按照合同约定扣减相应费用。</w:t>
      </w:r>
    </w:p>
    <w:p>
      <w:pPr>
        <w:spacing w:line="560" w:lineRule="exact"/>
        <w:ind w:firstLine="636"/>
        <w:outlineLvl w:val="0"/>
        <w:rPr>
          <w:rFonts w:ascii="彩虹黑体" w:hAnsi="宋体" w:eastAsia="彩虹黑体"/>
          <w:sz w:val="32"/>
          <w:szCs w:val="32"/>
        </w:rPr>
      </w:pPr>
      <w:r>
        <w:rPr>
          <w:rFonts w:hint="eastAsia" w:ascii="彩虹黑体" w:hAnsi="宋体" w:eastAsia="彩虹黑体"/>
          <w:sz w:val="32"/>
          <w:szCs w:val="32"/>
        </w:rPr>
        <w:t>五、消保条款要求</w:t>
      </w:r>
    </w:p>
    <w:p>
      <w:pPr>
        <w:spacing w:line="560" w:lineRule="exact"/>
        <w:ind w:firstLine="636"/>
        <w:outlineLvl w:val="1"/>
        <w:rPr>
          <w:rFonts w:ascii="彩虹黑体" w:hAnsi="宋体" w:eastAsia="彩虹黑体"/>
          <w:sz w:val="32"/>
          <w:szCs w:val="32"/>
        </w:rPr>
      </w:pPr>
      <w:r>
        <w:rPr>
          <w:rFonts w:hint="eastAsia" w:ascii="彩虹黑体" w:hAnsi="宋体" w:eastAsia="彩虹黑体"/>
          <w:sz w:val="32"/>
          <w:szCs w:val="32"/>
        </w:rPr>
        <w:t>（一）个人信息保护条款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outlineLvl w:val="1"/>
        <w:rPr>
          <w:rFonts w:ascii="彩虹黑体" w:hAnsi="宋体" w:eastAsia="彩虹黑体"/>
          <w:sz w:val="32"/>
          <w:szCs w:val="32"/>
        </w:rPr>
      </w:pPr>
      <w:r>
        <w:rPr>
          <w:rFonts w:hint="eastAsia" w:ascii="彩虹黑体" w:hAnsi="宋体" w:eastAsia="彩虹黑体"/>
          <w:sz w:val="32"/>
          <w:szCs w:val="32"/>
        </w:rPr>
        <w:t>(二）信息披露条款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outlineLvl w:val="1"/>
        <w:rPr>
          <w:rFonts w:ascii="彩虹黑体" w:hAnsi="宋体" w:eastAsia="彩虹黑体"/>
          <w:sz w:val="32"/>
          <w:szCs w:val="32"/>
        </w:rPr>
      </w:pPr>
      <w:r>
        <w:rPr>
          <w:rFonts w:hint="eastAsia" w:ascii="彩虹黑体" w:hAnsi="宋体" w:eastAsia="彩虹黑体"/>
          <w:sz w:val="32"/>
          <w:szCs w:val="32"/>
        </w:rPr>
        <w:t xml:space="preserve">(三）消费者投诉条款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outlineLvl w:val="1"/>
        <w:rPr>
          <w:rFonts w:ascii="彩虹黑体" w:hAnsi="宋体" w:eastAsia="彩虹黑体"/>
          <w:sz w:val="32"/>
          <w:szCs w:val="32"/>
        </w:rPr>
      </w:pPr>
      <w:r>
        <w:rPr>
          <w:rFonts w:hint="eastAsia" w:ascii="彩虹黑体" w:hAnsi="宋体" w:eastAsia="彩虹黑体"/>
          <w:sz w:val="32"/>
          <w:szCs w:val="32"/>
        </w:rPr>
        <w:t xml:space="preserve">（四）其他行为监督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outlineLvl w:val="1"/>
        <w:rPr>
          <w:rFonts w:ascii="彩虹粗仿宋" w:hAnsi="宋体" w:eastAsia="彩虹粗仿宋"/>
          <w:sz w:val="32"/>
          <w:szCs w:val="32"/>
        </w:rPr>
      </w:pPr>
      <w:r>
        <w:rPr>
          <w:rFonts w:hint="eastAsia" w:ascii="彩虹黑体" w:hAnsi="宋体" w:eastAsia="彩虹黑体"/>
          <w:sz w:val="32"/>
          <w:szCs w:val="32"/>
        </w:rPr>
        <w:t>（五）黑名单退出机制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ascii="彩虹粗仿宋" w:hAnsi="宋体" w:eastAsia="彩虹粗仿宋"/>
          <w:sz w:val="32"/>
          <w:szCs w:val="32"/>
        </w:rPr>
        <w:t>1.存在消费者权益侵权行为，引发较大舆情或重大投诉在社会上造成严重不良影响的；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ascii="彩虹粗仿宋" w:hAnsi="宋体" w:eastAsia="彩虹粗仿宋"/>
          <w:sz w:val="32"/>
          <w:szCs w:val="32"/>
        </w:rPr>
        <w:t>2.存在消费者权益侵权行为，受到监管处罚，给我行造成严重不良影响的；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ascii="彩虹粗仿宋" w:hAnsi="宋体" w:eastAsia="彩虹粗仿宋"/>
          <w:sz w:val="32"/>
          <w:szCs w:val="32"/>
        </w:rPr>
        <w:t>3.存在消费者权益侵权行为，受到公安立案或法院判决，给我行造成严重不良影响的；</w:t>
      </w:r>
    </w:p>
    <w:p>
      <w:pPr>
        <w:spacing w:line="560" w:lineRule="exact"/>
        <w:ind w:firstLine="640" w:firstLineChars="200"/>
        <w:rPr>
          <w:rFonts w:ascii="彩虹黑体" w:hAnsi="宋体" w:eastAsia="彩虹粗仿宋" w:cs="Times New Roman"/>
          <w:snapToGrid w:val="0"/>
          <w:kern w:val="0"/>
          <w:sz w:val="32"/>
          <w:szCs w:val="32"/>
        </w:rPr>
      </w:pPr>
      <w:r>
        <w:rPr>
          <w:rFonts w:ascii="彩虹粗仿宋" w:hAnsi="宋体" w:eastAsia="彩虹粗仿宋"/>
          <w:sz w:val="32"/>
          <w:szCs w:val="32"/>
        </w:rPr>
        <w:t>4.违反法律法规和监管机构规定的其他严重情形</w:t>
      </w:r>
      <w:r>
        <w:rPr>
          <w:rFonts w:hint="eastAsia" w:ascii="彩虹粗仿宋" w:hAnsi="宋体" w:eastAsia="彩虹粗仿宋"/>
          <w:sz w:val="32"/>
          <w:szCs w:val="32"/>
        </w:rPr>
        <w:t>。</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六、服务供应安排</w:t>
      </w:r>
    </w:p>
    <w:p>
      <w:pPr>
        <w:adjustRightInd w:val="0"/>
        <w:snapToGrid w:val="0"/>
        <w:spacing w:line="560" w:lineRule="exact"/>
        <w:ind w:firstLine="320" w:firstLineChars="1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（一）办公营业场所安保值守服务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1、负责为封丘支行1个网点提供安保值守服务。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2、封丘支行网点保安人员执勤的工作时间与网点营业时间保持一致，每人每周工作时间符合国家法定工作时间。</w:t>
      </w:r>
    </w:p>
    <w:p>
      <w:pPr>
        <w:adjustRightInd w:val="0"/>
        <w:snapToGrid w:val="0"/>
        <w:spacing w:line="560" w:lineRule="exact"/>
        <w:ind w:firstLine="320" w:firstLineChars="1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（二）自助设备巡查服务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w:t>
      </w:r>
      <w:r>
        <w:rPr>
          <w:rFonts w:hint="eastAsia" w:ascii="彩虹粗仿宋" w:hAnsi="Times New Roman" w:eastAsia="彩虹粗仿宋" w:cs="Times New Roman"/>
          <w:sz w:val="32"/>
          <w:szCs w:val="32"/>
        </w:rPr>
        <w:t>外包服务公司</w:t>
      </w:r>
      <w:r>
        <w:rPr>
          <w:rFonts w:hint="eastAsia" w:ascii="彩虹粗仿宋" w:hAnsi="宋体" w:eastAsia="彩虹粗仿宋" w:cs="Times New Roman"/>
          <w:snapToGrid w:val="0"/>
          <w:kern w:val="0"/>
          <w:sz w:val="32"/>
          <w:szCs w:val="32"/>
        </w:rPr>
        <w:t>应该按照我行的要求，为封丘支行1个营业网点（自助）和1个离行式自助银行提供夜间巡查服务。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2、巡查人员工作时间为每晚8点至第二日早6点，每晚巡查次数不少于3次，每次巡查间隔不少于2小时，每人每周工作时间符合国家法定工作时间。</w:t>
      </w:r>
    </w:p>
    <w:p>
      <w:pPr>
        <w:adjustRightInd w:val="0"/>
        <w:snapToGrid w:val="0"/>
        <w:spacing w:line="560" w:lineRule="exact"/>
        <w:ind w:firstLine="320" w:firstLineChars="1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七、服务数量要求</w:t>
      </w:r>
    </w:p>
    <w:p>
      <w:pPr>
        <w:adjustRightInd w:val="0"/>
        <w:snapToGrid w:val="0"/>
        <w:spacing w:line="560" w:lineRule="exact"/>
        <w:ind w:firstLine="320" w:firstLineChars="100"/>
        <w:outlineLvl w:val="1"/>
        <w:rPr>
          <w:rFonts w:ascii="彩虹粗仿宋" w:hAnsi="黑体" w:eastAsia="彩虹粗仿宋" w:cs="彩虹粗仿宋"/>
          <w:snapToGrid w:val="0"/>
          <w:color w:val="000000" w:themeColor="text1"/>
          <w:kern w:val="0"/>
          <w:sz w:val="32"/>
          <w:szCs w:val="32"/>
          <w14:textFill>
            <w14:solidFill>
              <w14:schemeClr w14:val="tx1"/>
            </w14:solidFill>
          </w14:textFill>
        </w:rPr>
      </w:pPr>
      <w:r>
        <w:rPr>
          <w:rFonts w:hint="eastAsia" w:ascii="彩虹粗仿宋" w:hAnsi="黑体" w:eastAsia="彩虹粗仿宋" w:cs="彩虹粗仿宋"/>
          <w:snapToGrid w:val="0"/>
          <w:color w:val="000000" w:themeColor="text1"/>
          <w:kern w:val="0"/>
          <w:sz w:val="32"/>
          <w:szCs w:val="32"/>
          <w14:textFill>
            <w14:solidFill>
              <w14:schemeClr w14:val="tx1"/>
            </w14:solidFill>
          </w14:textFill>
        </w:rPr>
        <w:t>（一）服务区域</w:t>
      </w:r>
    </w:p>
    <w:p>
      <w:pPr>
        <w:spacing w:line="560" w:lineRule="exact"/>
        <w:ind w:firstLine="480" w:firstLineChars="150"/>
        <w:rPr>
          <w:rFonts w:ascii="彩虹粗仿宋" w:hAnsi="黑体" w:eastAsia="彩虹粗仿宋" w:cs="Times New Roman"/>
          <w:color w:val="000000" w:themeColor="text1"/>
          <w:sz w:val="32"/>
          <w:szCs w:val="32"/>
          <w14:textFill>
            <w14:solidFill>
              <w14:schemeClr w14:val="tx1"/>
            </w14:solidFill>
          </w14:textFill>
        </w:rPr>
      </w:pPr>
      <w:r>
        <w:rPr>
          <w:rFonts w:hint="eastAsia" w:ascii="彩虹粗仿宋" w:hAnsi="黑体" w:eastAsia="彩虹粗仿宋" w:cs="Times New Roman"/>
          <w:color w:val="000000" w:themeColor="text1"/>
          <w:sz w:val="32"/>
          <w:szCs w:val="32"/>
          <w14:textFill>
            <w14:solidFill>
              <w14:schemeClr w14:val="tx1"/>
            </w14:solidFill>
          </w14:textFill>
        </w:rPr>
        <w:t>1、安保服务：封丘支行营业机构。</w:t>
      </w:r>
    </w:p>
    <w:p>
      <w:pPr>
        <w:spacing w:line="560" w:lineRule="exact"/>
        <w:ind w:firstLine="480" w:firstLineChars="150"/>
        <w:rPr>
          <w:rFonts w:ascii="彩虹粗仿宋" w:hAnsi="黑体" w:eastAsia="彩虹粗仿宋" w:cs="Times New Roman"/>
          <w:color w:val="000000" w:themeColor="text1"/>
          <w:sz w:val="32"/>
          <w:szCs w:val="32"/>
          <w14:textFill>
            <w14:solidFill>
              <w14:schemeClr w14:val="tx1"/>
            </w14:solidFill>
          </w14:textFill>
        </w:rPr>
      </w:pPr>
      <w:r>
        <w:rPr>
          <w:rFonts w:hint="eastAsia" w:ascii="彩虹粗仿宋" w:hAnsi="黑体" w:eastAsia="彩虹粗仿宋" w:cs="Times New Roman"/>
          <w:color w:val="000000" w:themeColor="text1"/>
          <w:sz w:val="32"/>
          <w:szCs w:val="32"/>
          <w14:textFill>
            <w14:solidFill>
              <w14:schemeClr w14:val="tx1"/>
            </w14:solidFill>
          </w14:textFill>
        </w:rPr>
        <w:t>2、自助（设备）银行巡查服务：封丘支行所辖2处附行式（含离行）自助银行。</w:t>
      </w:r>
    </w:p>
    <w:p>
      <w:pPr>
        <w:spacing w:line="560" w:lineRule="exact"/>
        <w:ind w:firstLine="320" w:firstLineChars="100"/>
        <w:outlineLvl w:val="1"/>
        <w:rPr>
          <w:rFonts w:ascii="彩虹粗仿宋" w:hAnsi="黑体" w:eastAsia="彩虹粗仿宋" w:cs="Times New Roman"/>
          <w:color w:val="000000" w:themeColor="text1"/>
          <w:sz w:val="32"/>
          <w:szCs w:val="32"/>
          <w14:textFill>
            <w14:solidFill>
              <w14:schemeClr w14:val="tx1"/>
            </w14:solidFill>
          </w14:textFill>
        </w:rPr>
      </w:pPr>
      <w:r>
        <w:rPr>
          <w:rFonts w:hint="eastAsia" w:ascii="彩虹粗仿宋" w:hAnsi="黑体" w:eastAsia="彩虹粗仿宋" w:cs="Times New Roman"/>
          <w:color w:val="000000" w:themeColor="text1"/>
          <w:sz w:val="32"/>
          <w:szCs w:val="32"/>
          <w14:textFill>
            <w14:solidFill>
              <w14:schemeClr w14:val="tx1"/>
            </w14:solidFill>
          </w14:textFill>
        </w:rPr>
        <w:t>（二）岗位数量</w:t>
      </w:r>
    </w:p>
    <w:p>
      <w:pPr>
        <w:spacing w:line="560" w:lineRule="exact"/>
        <w:ind w:firstLine="480" w:firstLineChars="150"/>
        <w:rPr>
          <w:rFonts w:ascii="彩虹粗仿宋" w:hAnsi="Times New Roman" w:eastAsia="彩虹粗仿宋" w:cs="Times New Roman"/>
          <w:sz w:val="32"/>
          <w:szCs w:val="32"/>
        </w:rPr>
      </w:pPr>
      <w:r>
        <w:rPr>
          <w:rFonts w:ascii="彩虹粗仿宋" w:hAnsi="黑体" w:eastAsia="彩虹粗仿宋" w:cs="Times New Roman"/>
          <w:color w:val="000000" w:themeColor="text1"/>
          <w:sz w:val="32"/>
          <w:szCs w:val="32"/>
          <w14:textFill>
            <w14:solidFill>
              <w14:schemeClr w14:val="tx1"/>
            </w14:solidFill>
          </w14:textFill>
        </w:rPr>
        <w:t>1</w:t>
      </w:r>
      <w:r>
        <w:rPr>
          <w:rFonts w:hint="eastAsia" w:ascii="彩虹粗仿宋" w:hAnsi="黑体" w:eastAsia="彩虹粗仿宋" w:cs="Times New Roman"/>
          <w:color w:val="000000" w:themeColor="text1"/>
          <w:sz w:val="32"/>
          <w:szCs w:val="32"/>
          <w14:textFill>
            <w14:solidFill>
              <w14:schemeClr w14:val="tx1"/>
            </w14:solidFill>
          </w14:textFill>
        </w:rPr>
        <w:t>、封丘支行营业部配备2</w:t>
      </w:r>
      <w:r>
        <w:rPr>
          <w:rFonts w:hint="eastAsia" w:ascii="彩虹粗仿宋" w:hAnsi="Times New Roman" w:eastAsia="彩虹粗仿宋" w:cs="Times New Roman"/>
          <w:sz w:val="32"/>
          <w:szCs w:val="32"/>
        </w:rPr>
        <w:t>个岗位</w:t>
      </w:r>
      <w:r>
        <w:rPr>
          <w:rFonts w:hint="eastAsia" w:ascii="彩虹粗仿宋" w:hAnsi="黑体" w:eastAsia="彩虹粗仿宋" w:cs="Times New Roman"/>
          <w:color w:val="000000" w:themeColor="text1"/>
          <w:sz w:val="32"/>
          <w:szCs w:val="32"/>
          <w14:textFill>
            <w14:solidFill>
              <w14:schemeClr w14:val="tx1"/>
            </w14:solidFill>
          </w14:textFill>
        </w:rPr>
        <w:t>，</w:t>
      </w:r>
      <w:r>
        <w:rPr>
          <w:rFonts w:hint="eastAsia" w:ascii="彩虹粗仿宋" w:hAnsi="Times New Roman" w:eastAsia="彩虹粗仿宋" w:cs="Times New Roman"/>
          <w:sz w:val="32"/>
          <w:szCs w:val="32"/>
        </w:rPr>
        <w:t>共需2个岗位。</w:t>
      </w:r>
    </w:p>
    <w:p>
      <w:pPr>
        <w:spacing w:line="560" w:lineRule="exact"/>
        <w:ind w:firstLine="480" w:firstLineChars="150"/>
        <w:rPr>
          <w:rFonts w:ascii="彩虹粗仿宋" w:hAnsi="黑体" w:eastAsia="彩虹粗仿宋" w:cs="Times New Roman"/>
          <w:color w:val="000000" w:themeColor="text1"/>
          <w:sz w:val="32"/>
          <w:szCs w:val="32"/>
          <w14:textFill>
            <w14:solidFill>
              <w14:schemeClr w14:val="tx1"/>
            </w14:solidFill>
          </w14:textFill>
        </w:rPr>
      </w:pPr>
      <w:r>
        <w:rPr>
          <w:rFonts w:hint="eastAsia" w:ascii="彩虹粗仿宋" w:hAnsi="Times New Roman" w:eastAsia="彩虹粗仿宋" w:cs="Times New Roman"/>
          <w:sz w:val="32"/>
          <w:szCs w:val="32"/>
        </w:rPr>
        <w:t>2、</w:t>
      </w:r>
      <w:r>
        <w:rPr>
          <w:rFonts w:hint="eastAsia" w:ascii="彩虹粗仿宋" w:hAnsi="黑体" w:eastAsia="彩虹粗仿宋" w:cs="Times New Roman"/>
          <w:color w:val="000000" w:themeColor="text1"/>
          <w:sz w:val="32"/>
          <w:szCs w:val="32"/>
          <w14:textFill>
            <w14:solidFill>
              <w14:schemeClr w14:val="tx1"/>
            </w14:solidFill>
          </w14:textFill>
        </w:rPr>
        <w:t>每天从晚8点至次日</w:t>
      </w:r>
      <w:r>
        <w:rPr>
          <w:rFonts w:ascii="彩虹粗仿宋" w:hAnsi="黑体" w:eastAsia="彩虹粗仿宋" w:cs="Times New Roman"/>
          <w:color w:val="000000" w:themeColor="text1"/>
          <w:sz w:val="32"/>
          <w:szCs w:val="32"/>
          <w14:textFill>
            <w14:solidFill>
              <w14:schemeClr w14:val="tx1"/>
            </w14:solidFill>
          </w14:textFill>
        </w:rPr>
        <w:t>6</w:t>
      </w:r>
      <w:r>
        <w:rPr>
          <w:rFonts w:hint="eastAsia" w:ascii="彩虹粗仿宋" w:hAnsi="黑体" w:eastAsia="彩虹粗仿宋" w:cs="Times New Roman"/>
          <w:color w:val="000000" w:themeColor="text1"/>
          <w:sz w:val="32"/>
          <w:szCs w:val="32"/>
          <w14:textFill>
            <w14:solidFill>
              <w14:schemeClr w14:val="tx1"/>
            </w14:solidFill>
          </w14:textFill>
        </w:rPr>
        <w:t>点，保安公司为我行的附行式和离行式自助（设备）银行进行安全巡查，共2处。</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八、款项支付要求</w:t>
      </w:r>
    </w:p>
    <w:p>
      <w:pPr>
        <w:spacing w:line="600"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黑体" w:eastAsia="彩虹粗仿宋" w:cs="彩虹粗仿宋"/>
          <w:snapToGrid w:val="0"/>
          <w:kern w:val="0"/>
          <w:sz w:val="32"/>
          <w:szCs w:val="32"/>
        </w:rPr>
        <w:t>按月根据保安岗位实际增减情况据实支付</w:t>
      </w:r>
      <w:r>
        <w:rPr>
          <w:rFonts w:hint="eastAsia" w:ascii="彩虹粗仿宋" w:hAnsi="黑体" w:eastAsia="彩虹粗仿宋" w:cs="Times New Roman"/>
          <w:snapToGrid w:val="0"/>
          <w:sz w:val="32"/>
          <w:szCs w:val="32"/>
        </w:rPr>
        <w:t>，根据月度考核情况，</w:t>
      </w:r>
      <w:r>
        <w:rPr>
          <w:rFonts w:hint="eastAsia" w:ascii="彩虹粗仿宋" w:hAnsi="黑体" w:eastAsia="彩虹粗仿宋" w:cs="Times New Roman"/>
          <w:sz w:val="32"/>
          <w:szCs w:val="32"/>
        </w:rPr>
        <w:t>供应商出具相应的增值税专用发票，</w:t>
      </w:r>
      <w:r>
        <w:rPr>
          <w:rFonts w:hint="eastAsia" w:ascii="彩虹粗仿宋" w:hAnsi="宋体" w:eastAsia="彩虹粗仿宋" w:cs="Times New Roman"/>
          <w:snapToGrid w:val="0"/>
          <w:kern w:val="0"/>
          <w:sz w:val="32"/>
          <w:szCs w:val="32"/>
        </w:rPr>
        <w:t>如遇增加或减少岗位数量,服务金额按对应岗位价格和数量进行增减。</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九、报价要求</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w:t>
      </w:r>
      <w:r>
        <w:rPr>
          <w:rFonts w:hint="eastAsia" w:ascii="彩虹粗仿宋" w:hAnsi="黑体" w:eastAsia="彩虹粗仿宋" w:cs="Times New Roman"/>
          <w:sz w:val="32"/>
          <w:szCs w:val="32"/>
        </w:rPr>
        <w:t>新乡封丘支行营业部配备2个岗位，每年服务费用预算</w:t>
      </w:r>
      <w:r>
        <w:rPr>
          <w:rFonts w:hint="eastAsia" w:ascii="彩虹粗仿宋" w:hAnsi="Calibri" w:eastAsia="彩虹粗仿宋" w:cs="Times New Roman"/>
          <w:sz w:val="32"/>
          <w:szCs w:val="32"/>
        </w:rPr>
        <w:t>40800</w:t>
      </w:r>
      <w:r>
        <w:rPr>
          <w:rFonts w:hint="eastAsia" w:ascii="彩虹粗仿宋" w:hAnsi="黑体" w:eastAsia="彩虹粗仿宋" w:cs="Times New Roman"/>
          <w:sz w:val="32"/>
          <w:szCs w:val="32"/>
        </w:rPr>
        <w:t>元（含税价），每月</w:t>
      </w:r>
      <w:r>
        <w:rPr>
          <w:rFonts w:hint="eastAsia" w:ascii="彩虹粗仿宋" w:hAnsi="黑体" w:eastAsia="彩虹粗仿宋" w:cs="Times New Roman"/>
          <w:sz w:val="32"/>
          <w:szCs w:val="32"/>
          <w:lang w:eastAsia="zh-CN"/>
        </w:rPr>
        <w:t>每岗</w:t>
      </w:r>
      <w:r>
        <w:rPr>
          <w:rFonts w:hint="eastAsia" w:ascii="彩虹粗仿宋" w:hAnsi="黑体" w:eastAsia="彩虹粗仿宋" w:cs="Times New Roman"/>
          <w:sz w:val="32"/>
          <w:szCs w:val="32"/>
          <w:lang w:val="en-US" w:eastAsia="zh-CN"/>
        </w:rPr>
        <w:t>17</w:t>
      </w:r>
      <w:r>
        <w:rPr>
          <w:rFonts w:hint="eastAsia" w:ascii="彩虹粗仿宋" w:hAnsi="黑体" w:eastAsia="彩虹粗仿宋" w:cs="Times New Roman"/>
          <w:sz w:val="32"/>
          <w:szCs w:val="32"/>
        </w:rPr>
        <w:t>00元。</w:t>
      </w:r>
      <w:r>
        <w:rPr>
          <w:rFonts w:hint="eastAsia" w:ascii="彩虹粗仿宋" w:hAnsi="宋体" w:eastAsia="彩虹粗仿宋" w:cs="Times New Roman"/>
          <w:snapToGrid w:val="0"/>
          <w:kern w:val="0"/>
          <w:sz w:val="32"/>
          <w:szCs w:val="32"/>
        </w:rPr>
        <w:t>按元/月/岗进行单价和含税总价报价，超过预算为无效报价。</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w:t>
      </w:r>
      <w:r>
        <w:rPr>
          <w:rFonts w:hint="eastAsia" w:ascii="彩虹粗仿宋" w:hAnsi="黑体" w:eastAsia="彩虹粗仿宋" w:cs="Times New Roman"/>
          <w:sz w:val="32"/>
          <w:szCs w:val="32"/>
        </w:rPr>
        <w:t>新乡封丘支行自助（设备）银行2处需夜间巡查，每年巡查费用32400元（含税价），每月</w:t>
      </w:r>
      <w:r>
        <w:rPr>
          <w:rFonts w:hint="eastAsia" w:ascii="彩虹粗仿宋" w:hAnsi="黑体" w:eastAsia="彩虹粗仿宋" w:cs="Times New Roman"/>
          <w:sz w:val="32"/>
          <w:szCs w:val="32"/>
          <w:lang w:eastAsia="zh-CN"/>
        </w:rPr>
        <w:t>每点</w:t>
      </w:r>
      <w:r>
        <w:rPr>
          <w:rFonts w:hint="eastAsia" w:ascii="彩虹粗仿宋" w:hAnsi="黑体" w:eastAsia="彩虹粗仿宋" w:cs="Times New Roman"/>
          <w:sz w:val="32"/>
          <w:szCs w:val="32"/>
          <w:lang w:val="en-US" w:eastAsia="zh-CN"/>
        </w:rPr>
        <w:t>135</w:t>
      </w:r>
      <w:r>
        <w:rPr>
          <w:rFonts w:hint="eastAsia" w:ascii="彩虹粗仿宋" w:hAnsi="黑体" w:eastAsia="彩虹粗仿宋" w:cs="Times New Roman"/>
          <w:sz w:val="32"/>
          <w:szCs w:val="32"/>
        </w:rPr>
        <w:t>0元。</w:t>
      </w:r>
      <w:r>
        <w:rPr>
          <w:rFonts w:hint="eastAsia" w:ascii="彩虹粗仿宋" w:hAnsi="宋体" w:eastAsia="彩虹粗仿宋" w:cs="Times New Roman"/>
          <w:snapToGrid w:val="0"/>
          <w:kern w:val="0"/>
          <w:sz w:val="32"/>
          <w:szCs w:val="32"/>
        </w:rPr>
        <w:t>按元/月/点报单价和含税总价进行报价，超过预算为无效报价。</w:t>
      </w:r>
    </w:p>
    <w:p>
      <w:pPr>
        <w:adjustRightInd w:val="0"/>
        <w:snapToGrid w:val="0"/>
        <w:spacing w:line="560" w:lineRule="exact"/>
        <w:ind w:firstLine="320" w:firstLineChars="1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十、其他要求</w:t>
      </w:r>
    </w:p>
    <w:p>
      <w:pPr>
        <w:adjustRightInd w:val="0"/>
        <w:snapToGrid w:val="0"/>
        <w:spacing w:line="560" w:lineRule="exact"/>
        <w:ind w:firstLine="482" w:firstLineChars="150"/>
        <w:rPr>
          <w:rFonts w:ascii="彩虹粗仿宋" w:hAnsi="黑体" w:eastAsia="彩虹粗仿宋" w:cs="Times New Roman"/>
          <w:b/>
          <w:snapToGrid w:val="0"/>
          <w:sz w:val="32"/>
          <w:szCs w:val="32"/>
          <w:shd w:val="clear" w:color="auto" w:fill="FFFFFF"/>
        </w:rPr>
      </w:pPr>
    </w:p>
    <w:tbl>
      <w:tblPr>
        <w:tblStyle w:val="2"/>
        <w:tblW w:w="8980" w:type="dxa"/>
        <w:tblInd w:w="93" w:type="dxa"/>
        <w:tblLayout w:type="autofit"/>
        <w:tblCellMar>
          <w:top w:w="0" w:type="dxa"/>
          <w:left w:w="108" w:type="dxa"/>
          <w:bottom w:w="0" w:type="dxa"/>
          <w:right w:w="108" w:type="dxa"/>
        </w:tblCellMar>
      </w:tblPr>
      <w:tblGrid>
        <w:gridCol w:w="740"/>
        <w:gridCol w:w="740"/>
        <w:gridCol w:w="720"/>
        <w:gridCol w:w="1080"/>
        <w:gridCol w:w="740"/>
        <w:gridCol w:w="1120"/>
        <w:gridCol w:w="920"/>
        <w:gridCol w:w="740"/>
        <w:gridCol w:w="700"/>
        <w:gridCol w:w="720"/>
        <w:gridCol w:w="760"/>
      </w:tblGrid>
      <w:tr>
        <w:tblPrEx>
          <w:tblCellMar>
            <w:top w:w="0" w:type="dxa"/>
            <w:left w:w="108" w:type="dxa"/>
            <w:bottom w:w="0" w:type="dxa"/>
            <w:right w:w="108" w:type="dxa"/>
          </w:tblCellMar>
        </w:tblPrEx>
        <w:trPr>
          <w:trHeight w:val="456" w:hRule="atLeast"/>
        </w:trPr>
        <w:tc>
          <w:tcPr>
            <w:tcW w:w="8980" w:type="dxa"/>
            <w:gridSpan w:val="11"/>
            <w:tcBorders>
              <w:top w:val="nil"/>
              <w:left w:val="nil"/>
              <w:bottom w:val="nil"/>
              <w:right w:val="nil"/>
            </w:tcBorders>
            <w:noWrap/>
            <w:vAlign w:val="center"/>
          </w:tcPr>
          <w:p>
            <w:pPr>
              <w:widowControl/>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附件：</w:t>
            </w:r>
          </w:p>
          <w:p>
            <w:pPr>
              <w:widowControl/>
              <w:jc w:val="center"/>
              <w:rPr>
                <w:rFonts w:ascii="Times New Roman" w:hAnsi="Times New Roman"/>
                <w:b/>
                <w:bCs/>
                <w:kern w:val="0"/>
                <w:sz w:val="36"/>
                <w:szCs w:val="36"/>
              </w:rPr>
            </w:pPr>
            <w:r>
              <w:rPr>
                <w:rFonts w:ascii="彩虹粗仿宋" w:hAnsi="宋体" w:eastAsia="彩虹粗仿宋" w:cs="Times New Roman"/>
                <w:snapToGrid w:val="0"/>
                <w:kern w:val="0"/>
                <w:sz w:val="32"/>
                <w:szCs w:val="32"/>
              </w:rPr>
              <w:br w:type="page"/>
            </w:r>
            <w:r>
              <w:rPr>
                <w:rFonts w:hint="eastAsia" w:ascii="宋体" w:hAnsi="宋体"/>
                <w:b/>
                <w:bCs/>
                <w:kern w:val="0"/>
                <w:sz w:val="36"/>
                <w:szCs w:val="36"/>
              </w:rPr>
              <w:t>保安服务测评表</w:t>
            </w:r>
          </w:p>
        </w:tc>
      </w:tr>
      <w:tr>
        <w:tblPrEx>
          <w:tblCellMar>
            <w:top w:w="0" w:type="dxa"/>
            <w:left w:w="108" w:type="dxa"/>
            <w:bottom w:w="0" w:type="dxa"/>
            <w:right w:w="108" w:type="dxa"/>
          </w:tblCellMar>
        </w:tblPrEx>
        <w:trPr>
          <w:trHeight w:val="135"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600" w:hRule="atLeast"/>
        </w:trPr>
        <w:tc>
          <w:tcPr>
            <w:tcW w:w="1480" w:type="dxa"/>
            <w:gridSpan w:val="2"/>
            <w:tcBorders>
              <w:top w:val="nil"/>
              <w:left w:val="nil"/>
              <w:bottom w:val="single" w:color="auto" w:sz="4" w:space="0"/>
              <w:right w:val="nil"/>
            </w:tcBorders>
            <w:noWrap/>
            <w:vAlign w:val="center"/>
          </w:tcPr>
          <w:p>
            <w:pPr>
              <w:widowControl/>
              <w:jc w:val="center"/>
              <w:rPr>
                <w:rFonts w:ascii="宋体" w:hAnsi="宋体" w:cs="宋体"/>
                <w:kern w:val="0"/>
                <w:szCs w:val="28"/>
              </w:rPr>
            </w:pPr>
            <w:r>
              <w:rPr>
                <w:rFonts w:hint="eastAsia" w:ascii="宋体" w:hAnsi="宋体" w:cs="宋体"/>
                <w:kern w:val="0"/>
                <w:szCs w:val="28"/>
              </w:rPr>
              <w:t>网点：</w:t>
            </w:r>
          </w:p>
        </w:tc>
        <w:tc>
          <w:tcPr>
            <w:tcW w:w="720" w:type="dxa"/>
            <w:tcBorders>
              <w:top w:val="nil"/>
              <w:left w:val="nil"/>
              <w:bottom w:val="nil"/>
              <w:right w:val="nil"/>
            </w:tcBorders>
            <w:noWrap/>
            <w:vAlign w:val="center"/>
          </w:tcPr>
          <w:p>
            <w:pPr>
              <w:widowControl/>
              <w:jc w:val="left"/>
              <w:rPr>
                <w:rFonts w:ascii="宋体" w:hAnsi="宋体" w:cs="宋体"/>
                <w:kern w:val="0"/>
                <w:szCs w:val="28"/>
              </w:rPr>
            </w:pPr>
          </w:p>
        </w:tc>
        <w:tc>
          <w:tcPr>
            <w:tcW w:w="1080" w:type="dxa"/>
            <w:tcBorders>
              <w:top w:val="nil"/>
              <w:left w:val="nil"/>
              <w:bottom w:val="nil"/>
              <w:right w:val="nil"/>
            </w:tcBorders>
            <w:noWrap/>
            <w:vAlign w:val="center"/>
          </w:tcPr>
          <w:p>
            <w:pPr>
              <w:widowControl/>
              <w:jc w:val="left"/>
              <w:rPr>
                <w:rFonts w:ascii="宋体" w:hAnsi="宋体" w:cs="宋体"/>
                <w:kern w:val="0"/>
                <w:szCs w:val="28"/>
              </w:rPr>
            </w:pPr>
          </w:p>
        </w:tc>
        <w:tc>
          <w:tcPr>
            <w:tcW w:w="186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保安姓名：</w:t>
            </w:r>
          </w:p>
        </w:tc>
        <w:tc>
          <w:tcPr>
            <w:tcW w:w="920" w:type="dxa"/>
            <w:tcBorders>
              <w:top w:val="nil"/>
              <w:left w:val="nil"/>
              <w:bottom w:val="nil"/>
              <w:right w:val="nil"/>
            </w:tcBorders>
            <w:noWrap/>
            <w:vAlign w:val="center"/>
          </w:tcPr>
          <w:p>
            <w:pPr>
              <w:widowControl/>
              <w:jc w:val="left"/>
              <w:rPr>
                <w:rFonts w:ascii="宋体" w:hAnsi="宋体" w:cs="宋体"/>
                <w:kern w:val="0"/>
                <w:szCs w:val="28"/>
              </w:rPr>
            </w:pPr>
          </w:p>
        </w:tc>
        <w:tc>
          <w:tcPr>
            <w:tcW w:w="740" w:type="dxa"/>
            <w:tcBorders>
              <w:top w:val="nil"/>
              <w:left w:val="nil"/>
              <w:bottom w:val="nil"/>
              <w:right w:val="nil"/>
            </w:tcBorders>
            <w:noWrap/>
            <w:vAlign w:val="center"/>
          </w:tcPr>
          <w:p>
            <w:pPr>
              <w:widowControl/>
              <w:jc w:val="left"/>
              <w:rPr>
                <w:rFonts w:ascii="宋体" w:hAnsi="宋体" w:cs="宋体"/>
                <w:kern w:val="0"/>
                <w:szCs w:val="28"/>
              </w:rPr>
            </w:pPr>
          </w:p>
        </w:tc>
        <w:tc>
          <w:tcPr>
            <w:tcW w:w="142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日期：</w:t>
            </w:r>
          </w:p>
        </w:tc>
        <w:tc>
          <w:tcPr>
            <w:tcW w:w="760" w:type="dxa"/>
            <w:tcBorders>
              <w:top w:val="nil"/>
              <w:left w:val="nil"/>
              <w:bottom w:val="nil"/>
              <w:right w:val="nil"/>
            </w:tcBorders>
            <w:noWrap/>
            <w:vAlign w:val="bottom"/>
          </w:tcPr>
          <w:p>
            <w:pPr>
              <w:widowControl/>
              <w:jc w:val="left"/>
              <w:rPr>
                <w:rFonts w:ascii="宋体" w:hAnsi="宋体" w:cs="宋体"/>
                <w:kern w:val="0"/>
                <w:szCs w:val="28"/>
              </w:rPr>
            </w:pPr>
          </w:p>
        </w:tc>
      </w:tr>
      <w:tr>
        <w:tblPrEx>
          <w:tblCellMar>
            <w:top w:w="0" w:type="dxa"/>
            <w:left w:w="108" w:type="dxa"/>
            <w:bottom w:w="0" w:type="dxa"/>
            <w:right w:w="108" w:type="dxa"/>
          </w:tblCellMar>
        </w:tblPrEx>
        <w:trPr>
          <w:trHeight w:val="360"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日</w:t>
            </w:r>
            <w:r>
              <w:rPr>
                <w:rFonts w:ascii="Times New Roman" w:hAnsi="Times New Roman"/>
                <w:kern w:val="0"/>
                <w:sz w:val="24"/>
                <w:szCs w:val="24"/>
              </w:rPr>
              <w:t xml:space="preserve">   </w:t>
            </w:r>
            <w:r>
              <w:rPr>
                <w:rFonts w:hint="eastAsia" w:ascii="宋体" w:hAnsi="宋体" w:cs="宋体"/>
                <w:kern w:val="0"/>
                <w:sz w:val="24"/>
                <w:szCs w:val="24"/>
              </w:rPr>
              <w:t>期</w:t>
            </w:r>
          </w:p>
        </w:tc>
        <w:tc>
          <w:tcPr>
            <w:tcW w:w="7480" w:type="dxa"/>
            <w:gridSpan w:val="9"/>
            <w:tcBorders>
              <w:top w:val="single" w:color="auto" w:sz="4" w:space="0"/>
              <w:left w:val="nil"/>
              <w:bottom w:val="single" w:color="auto" w:sz="4" w:space="0"/>
              <w:right w:val="single" w:color="auto" w:sz="4" w:space="0"/>
            </w:tcBorders>
            <w:noWrap/>
            <w:vAlign w:val="bottom"/>
          </w:tcPr>
          <w:p>
            <w:pPr>
              <w:widowControl/>
              <w:jc w:val="center"/>
              <w:rPr>
                <w:rFonts w:ascii="宋体" w:hAnsi="宋体" w:cs="宋体"/>
                <w:b/>
                <w:bCs/>
                <w:kern w:val="0"/>
                <w:szCs w:val="28"/>
              </w:rPr>
            </w:pPr>
            <w:r>
              <w:rPr>
                <w:rFonts w:hint="eastAsia" w:ascii="宋体" w:hAnsi="宋体" w:cs="宋体"/>
                <w:b/>
                <w:bCs/>
                <w:kern w:val="0"/>
                <w:szCs w:val="28"/>
              </w:rPr>
              <w:t>违犯规定内容及次数</w:t>
            </w:r>
          </w:p>
        </w:tc>
        <w:tc>
          <w:tcPr>
            <w:tcW w:w="760" w:type="dxa"/>
            <w:tcBorders>
              <w:top w:val="single" w:color="auto" w:sz="4" w:space="0"/>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1014"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着装</w:t>
            </w:r>
            <w:r>
              <w:rPr>
                <w:rFonts w:ascii="Times New Roman" w:hAnsi="Times New Roman"/>
                <w:kern w:val="0"/>
                <w:sz w:val="22"/>
              </w:rPr>
              <w:t xml:space="preserve">    </w:t>
            </w:r>
            <w:r>
              <w:rPr>
                <w:rFonts w:hint="eastAsia" w:ascii="宋体" w:hAnsi="宋体" w:cs="宋体"/>
                <w:kern w:val="0"/>
                <w:sz w:val="22"/>
              </w:rPr>
              <w:t>不整</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警具</w:t>
            </w:r>
            <w:r>
              <w:rPr>
                <w:rFonts w:ascii="Times New Roman" w:hAnsi="Times New Roman"/>
                <w:kern w:val="0"/>
                <w:sz w:val="22"/>
              </w:rPr>
              <w:t xml:space="preserve">      </w:t>
            </w:r>
            <w:r>
              <w:rPr>
                <w:rFonts w:hint="eastAsia" w:ascii="宋体" w:hAnsi="宋体" w:cs="宋体"/>
                <w:kern w:val="0"/>
                <w:sz w:val="22"/>
              </w:rPr>
              <w:t>乱放</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迟到、早退  脱岗、旷工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不服从          领 导</w:t>
            </w:r>
          </w:p>
        </w:tc>
        <w:tc>
          <w:tcPr>
            <w:tcW w:w="11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睡觉、看报会客、聊天</w:t>
            </w:r>
          </w:p>
        </w:tc>
        <w:tc>
          <w:tcPr>
            <w:tcW w:w="9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警惕性差松懈怠工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客户</w:t>
            </w:r>
            <w:r>
              <w:rPr>
                <w:rFonts w:ascii="Times New Roman" w:hAnsi="Times New Roman"/>
                <w:kern w:val="0"/>
                <w:sz w:val="22"/>
              </w:rPr>
              <w:t xml:space="preserve">       </w:t>
            </w:r>
            <w:r>
              <w:rPr>
                <w:rFonts w:hint="eastAsia" w:ascii="宋体" w:hAnsi="宋体" w:cs="宋体"/>
                <w:kern w:val="0"/>
                <w:sz w:val="22"/>
              </w:rPr>
              <w:t>投诉</w:t>
            </w:r>
          </w:p>
        </w:tc>
        <w:tc>
          <w:tcPr>
            <w:tcW w:w="70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与客户发生纠纷</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其   他</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当日合计</w:t>
            </w:r>
          </w:p>
        </w:tc>
      </w:tr>
      <w:tr>
        <w:tblPrEx>
          <w:tblCellMar>
            <w:top w:w="0" w:type="dxa"/>
            <w:left w:w="108" w:type="dxa"/>
            <w:bottom w:w="0" w:type="dxa"/>
            <w:right w:w="108" w:type="dxa"/>
          </w:tblCellMar>
        </w:tblPrEx>
        <w:trPr>
          <w:trHeight w:val="31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08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1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9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0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6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2</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4</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5</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6</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总评</w:t>
            </w:r>
          </w:p>
        </w:tc>
        <w:tc>
          <w:tcPr>
            <w:tcW w:w="8240" w:type="dxa"/>
            <w:gridSpan w:val="10"/>
            <w:tcBorders>
              <w:top w:val="single" w:color="auto" w:sz="4" w:space="0"/>
              <w:left w:val="nil"/>
              <w:bottom w:val="single" w:color="auto" w:sz="4" w:space="0"/>
              <w:right w:val="single" w:color="000000"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0" w:hRule="atLeast"/>
        </w:trPr>
        <w:tc>
          <w:tcPr>
            <w:tcW w:w="7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备注</w:t>
            </w:r>
          </w:p>
        </w:tc>
        <w:tc>
          <w:tcPr>
            <w:tcW w:w="8240" w:type="dxa"/>
            <w:gridSpan w:val="10"/>
            <w:tcBorders>
              <w:top w:val="single" w:color="auto" w:sz="4" w:space="0"/>
              <w:left w:val="nil"/>
              <w:bottom w:val="single" w:color="auto" w:sz="4" w:space="0"/>
              <w:right w:val="single" w:color="000000"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违犯规定10次以下为合格；10次（不含）以上20次以下为基本合格；20次（不含）以上为不合格。</w:t>
            </w:r>
          </w:p>
        </w:tc>
      </w:tr>
      <w:tr>
        <w:tblPrEx>
          <w:tblCellMar>
            <w:top w:w="0" w:type="dxa"/>
            <w:left w:w="108" w:type="dxa"/>
            <w:bottom w:w="0" w:type="dxa"/>
            <w:right w:w="108" w:type="dxa"/>
          </w:tblCellMar>
        </w:tblPrEx>
        <w:trPr>
          <w:trHeight w:val="312"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348"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254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网点负责人：</w:t>
            </w: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236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被考评人签字：</w:t>
            </w: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bl>
    <w:p>
      <w:pPr>
        <w:adjustRightInd w:val="0"/>
        <w:snapToGrid w:val="0"/>
        <w:spacing w:line="560" w:lineRule="exact"/>
        <w:ind w:firstLine="720" w:firstLineChars="200"/>
        <w:jc w:val="center"/>
        <w:rPr>
          <w:rFonts w:ascii="彩虹小标宋" w:hAnsi="宋体" w:eastAsia="彩虹小标宋" w:cs="Times New Roman"/>
          <w:bCs/>
          <w:snapToGrid w:val="0"/>
          <w:kern w:val="0"/>
          <w:sz w:val="36"/>
          <w:szCs w:val="36"/>
          <w:highlight w:val="yellow"/>
        </w:rPr>
      </w:pPr>
    </w:p>
    <w:p>
      <w:pPr>
        <w:widowControl/>
        <w:jc w:val="left"/>
        <w:rPr>
          <w:rFonts w:ascii="彩虹小标宋" w:hAnsi="宋体" w:eastAsia="彩虹小标宋" w:cs="Times New Roman"/>
          <w:bCs/>
          <w:snapToGrid w:val="0"/>
          <w:kern w:val="0"/>
          <w:sz w:val="36"/>
          <w:szCs w:val="36"/>
          <w:highlight w:val="yellow"/>
        </w:rPr>
      </w:pPr>
      <w:r>
        <w:rPr>
          <w:rFonts w:ascii="彩虹小标宋" w:hAnsi="宋体" w:eastAsia="彩虹小标宋" w:cs="Times New Roman"/>
          <w:bCs/>
          <w:snapToGrid w:val="0"/>
          <w:kern w:val="0"/>
          <w:sz w:val="36"/>
          <w:szCs w:val="36"/>
          <w:highlight w:val="yellow"/>
        </w:rPr>
        <w:br w:type="page"/>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auto"/>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彩虹楷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DA21A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2024-05-23T00:53:35Z</dcterms:created>
  <dc:creator>haccb</dc:creator>
  <cp:lastModifiedBy>haccb</cp:lastModifiedBy>
  <dcterms:modified xsi:type="dcterms:W3CDTF">2024-05-23T00:54:30Z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F19CEB4227C141BB98DA4763712556AB_12</vt:lpwstr>
  </property>
</Properties>
</file>