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b/>
          <w:bCs/>
          <w:snapToGrid w:val="0"/>
          <w:sz w:val="36"/>
          <w:szCs w:val="36"/>
        </w:rPr>
      </w:pPr>
      <w:r>
        <w:rPr>
          <w:rFonts w:hint="eastAsia" w:ascii="宋体" w:hAnsi="宋体" w:eastAsia="宋体"/>
          <w:b/>
          <w:bCs/>
          <w:snapToGrid w:val="0"/>
          <w:sz w:val="36"/>
          <w:szCs w:val="36"/>
        </w:rPr>
        <w:t>永济</w:t>
      </w:r>
      <w:r>
        <w:rPr>
          <w:rFonts w:hint="eastAsia" w:ascii="宋体" w:hAnsi="宋体" w:eastAsia="宋体"/>
          <w:b/>
          <w:bCs/>
          <w:snapToGrid w:val="0"/>
          <w:sz w:val="36"/>
          <w:szCs w:val="36"/>
          <w:lang w:eastAsia="zh-CN"/>
        </w:rPr>
        <w:t>电机</w:t>
      </w:r>
      <w:r>
        <w:rPr>
          <w:rFonts w:hint="eastAsia" w:ascii="宋体" w:hAnsi="宋体" w:eastAsia="宋体"/>
          <w:b/>
          <w:bCs/>
          <w:snapToGrid w:val="0"/>
          <w:sz w:val="36"/>
          <w:szCs w:val="36"/>
        </w:rPr>
        <w:t>医院“智慧医院”项目</w:t>
      </w:r>
    </w:p>
    <w:p>
      <w:pPr>
        <w:jc w:val="center"/>
        <w:rPr>
          <w:rFonts w:hint="eastAsia" w:ascii="宋体" w:hAnsi="宋体" w:eastAsia="宋体" w:cs="Times New Roman"/>
          <w:b/>
          <w:bCs/>
          <w:snapToGrid w:val="0"/>
          <w:kern w:val="0"/>
          <w:sz w:val="36"/>
          <w:szCs w:val="36"/>
        </w:rPr>
      </w:pPr>
      <w:r>
        <w:rPr>
          <w:rFonts w:hint="eastAsia" w:ascii="宋体" w:hAnsi="宋体" w:eastAsia="宋体"/>
          <w:b/>
          <w:bCs/>
          <w:snapToGrid w:val="0"/>
          <w:sz w:val="36"/>
          <w:szCs w:val="36"/>
        </w:rPr>
        <w:t>采购需求</w:t>
      </w:r>
    </w:p>
    <w:p>
      <w:pPr>
        <w:pStyle w:val="2"/>
        <w:spacing w:before="120" w:after="120"/>
        <w:ind w:firstLine="562" w:firstLineChars="200"/>
        <w:rPr>
          <w:rFonts w:hint="eastAsia" w:ascii="宋体" w:hAnsi="宋体" w:eastAsia="宋体" w:cs="彩虹粗仿宋"/>
          <w:b/>
          <w:bCs/>
          <w:color w:val="auto"/>
          <w:sz w:val="28"/>
        </w:rPr>
      </w:pPr>
      <w:r>
        <w:rPr>
          <w:rFonts w:hint="eastAsia" w:ascii="宋体" w:hAnsi="宋体" w:eastAsia="宋体" w:cs="彩虹粗仿宋"/>
          <w:b/>
          <w:bCs/>
          <w:color w:val="auto"/>
          <w:sz w:val="28"/>
        </w:rPr>
        <w:t>一、对于候选供应商的要求</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1.投标人为中华人民共和国境内合法注册的独立法人，具有独立承担民事责任的能力，遵守国家有关法律、法规，具有良好的商业信誉。（需提供营业执照）</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2.投标人近三年内，在经营活动中没有违法和重大不良记录；当前未处于限制开展生产经营活动、责令停产停业、责令关闭、限制从业等行政处罚期内。（需承诺）</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3.投标人当前未被“信用中国”网站列入税收违法失信主体；未被“中国执行信息公开网”列入失信被执行人名单；未被“中国政府采购网”列入政府采购严重违法失信行为记录名单；未被“国家企业信用信息公示系统”网站列入严重违法失信名单。（需网站截屏）</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4.投标人具有下列情况之一的，不得同时参加同一标段投标，否则其投标均无效：（需承诺）</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①单位负责人为同一人或者存在控股、管理关系的不同单位；</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②具有投资参股关系的关联企业；</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③董事、监事、总经理、副总经理和财务负责任人相互兼职的关联企业。</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5.投标人在与建设银行的项目合作过程中，没有合同违约及重大不良记录、泄露建设银行商业秘密或技术秘密等非公开信息事件；投标人与建设银行不存在利益冲突，不存在损害建设银行合法利益和声誉的情形。（需承诺）</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6.投标人具有依法缴纳税收和社会保障资金的良好记录。（需提供）</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7.投标人必须有稳定的经营场所。（需提供房产证明或租赁合同）</w:t>
      </w:r>
    </w:p>
    <w:p>
      <w:pPr>
        <w:spacing w:line="560" w:lineRule="exact"/>
        <w:ind w:firstLine="560" w:firstLineChars="200"/>
        <w:rPr>
          <w:rFonts w:hint="eastAsia" w:ascii="宋体" w:hAnsi="宋体" w:eastAsia="宋体" w:cs="彩虹粗仿宋"/>
          <w:color w:val="FF0000"/>
          <w:sz w:val="28"/>
          <w:szCs w:val="28"/>
        </w:rPr>
      </w:pPr>
      <w:r>
        <w:rPr>
          <w:rFonts w:hint="eastAsia" w:ascii="宋体" w:hAnsi="宋体" w:eastAsia="宋体" w:cs="彩虹粗仿宋"/>
          <w:sz w:val="28"/>
          <w:szCs w:val="28"/>
        </w:rPr>
        <w:t>8.投标人具有健全的财务会计制度，提供近三年经审计的财务报告。（需提供）</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9.投标人需提供同类案例（需提供合同及正式发票）。</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10.本项目特定的资格条件：（需提供）</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投标人取得投标设备3C认证，投标软件著作权证书。</w:t>
      </w:r>
    </w:p>
    <w:p>
      <w:pPr>
        <w:spacing w:line="560" w:lineRule="exact"/>
        <w:ind w:firstLine="560" w:firstLineChars="200"/>
        <w:rPr>
          <w:rFonts w:ascii="宋体" w:hAnsi="宋体" w:eastAsia="宋体" w:cs="彩虹粗仿宋"/>
          <w:sz w:val="28"/>
          <w:szCs w:val="28"/>
        </w:rPr>
      </w:pPr>
      <w:r>
        <w:rPr>
          <w:rFonts w:hint="eastAsia" w:ascii="宋体" w:hAnsi="宋体" w:eastAsia="宋体" w:cs="彩虹粗仿宋"/>
          <w:sz w:val="28"/>
          <w:szCs w:val="28"/>
        </w:rPr>
        <w:t>11.本项目不接受联合体投标。</w:t>
      </w:r>
    </w:p>
    <w:p>
      <w:pPr>
        <w:spacing w:line="560" w:lineRule="exact"/>
        <w:ind w:firstLine="560" w:firstLineChars="200"/>
        <w:rPr>
          <w:rFonts w:hint="eastAsia" w:ascii="宋体" w:hAnsi="宋体" w:eastAsia="宋体" w:cs="彩虹粗仿宋"/>
          <w:sz w:val="28"/>
          <w:szCs w:val="28"/>
        </w:rPr>
      </w:pPr>
    </w:p>
    <w:p>
      <w:pPr>
        <w:pStyle w:val="2"/>
        <w:spacing w:before="120" w:after="120"/>
        <w:ind w:firstLine="562" w:firstLineChars="200"/>
        <w:rPr>
          <w:rFonts w:hint="eastAsia" w:ascii="宋体" w:hAnsi="宋体" w:eastAsia="宋体" w:cs="彩虹粗仿宋"/>
          <w:b/>
          <w:bCs/>
          <w:color w:val="auto"/>
          <w:sz w:val="28"/>
        </w:rPr>
      </w:pPr>
      <w:r>
        <w:rPr>
          <w:rFonts w:hint="eastAsia" w:ascii="宋体" w:hAnsi="宋体" w:eastAsia="宋体" w:cs="彩虹粗仿宋"/>
          <w:b/>
          <w:bCs/>
          <w:color w:val="auto"/>
          <w:sz w:val="28"/>
        </w:rPr>
        <w:t>二、系统功能、性能要求</w:t>
      </w:r>
    </w:p>
    <w:p>
      <w:pPr>
        <w:pStyle w:val="3"/>
        <w:numPr>
          <w:ilvl w:val="1"/>
          <w:numId w:val="0"/>
        </w:numPr>
        <w:spacing w:before="0" w:after="0" w:line="560" w:lineRule="exact"/>
        <w:ind w:firstLine="562" w:firstLineChars="200"/>
        <w:rPr>
          <w:rFonts w:hint="eastAsia" w:ascii="宋体" w:hAnsi="宋体" w:eastAsia="宋体" w:cs="彩虹粗仿宋"/>
          <w:b/>
          <w:bCs/>
          <w:color w:val="auto"/>
          <w:sz w:val="28"/>
          <w:szCs w:val="28"/>
        </w:rPr>
      </w:pPr>
      <w:r>
        <w:rPr>
          <w:rFonts w:hint="eastAsia" w:ascii="宋体" w:hAnsi="宋体" w:eastAsia="宋体" w:cs="彩虹粗仿宋"/>
          <w:b/>
          <w:bCs/>
          <w:color w:val="auto"/>
          <w:sz w:val="28"/>
          <w:szCs w:val="28"/>
        </w:rPr>
        <w:t>（一）项目背景</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永济电机医院为了优化医院服务流程，提升患者就医体验。通过建设一站式综合业务系统包含门诊自助服务、住院自助服务两大功能模块。实现全流程就医自助应用以及多维度便民自助应用，大大提升患者在院的就诊体验，构建新型医院服务模式。</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门诊患者通过自助服务终端进行预约挂号、信息查询等操作；诊疗结束后到自助服务终端进行自助结算、报告自助打印、电子发票自助打印等操作。</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住院患者则可通过自助服务终端设备办理押金充值、费用清单查询打印等。</w:t>
      </w:r>
    </w:p>
    <w:p>
      <w:pPr>
        <w:pStyle w:val="3"/>
        <w:numPr>
          <w:ilvl w:val="1"/>
          <w:numId w:val="0"/>
        </w:numPr>
        <w:spacing w:before="0" w:after="0" w:line="560" w:lineRule="exact"/>
        <w:ind w:firstLine="562" w:firstLineChars="200"/>
        <w:rPr>
          <w:rFonts w:hint="eastAsia" w:ascii="宋体" w:hAnsi="宋体" w:eastAsia="宋体" w:cs="彩虹粗仿宋"/>
          <w:b/>
          <w:bCs/>
          <w:color w:val="auto"/>
          <w:sz w:val="28"/>
          <w:szCs w:val="28"/>
        </w:rPr>
      </w:pPr>
      <w:r>
        <w:rPr>
          <w:rFonts w:hint="eastAsia" w:ascii="宋体" w:hAnsi="宋体" w:eastAsia="宋体" w:cs="彩虹粗仿宋"/>
          <w:b/>
          <w:bCs/>
          <w:color w:val="auto"/>
          <w:sz w:val="28"/>
          <w:szCs w:val="28"/>
        </w:rPr>
        <w:t>（二）技术需求</w:t>
      </w:r>
    </w:p>
    <w:p>
      <w:pPr>
        <w:pStyle w:val="3"/>
        <w:numPr>
          <w:ilvl w:val="1"/>
          <w:numId w:val="0"/>
        </w:numPr>
        <w:spacing w:before="0" w:after="0" w:line="560" w:lineRule="exact"/>
        <w:ind w:firstLine="562" w:firstLineChars="200"/>
        <w:rPr>
          <w:rFonts w:hint="eastAsia" w:ascii="宋体" w:hAnsi="宋体" w:eastAsia="宋体" w:cs="彩虹粗仿宋"/>
          <w:b/>
          <w:bCs/>
          <w:color w:val="auto"/>
          <w:sz w:val="28"/>
          <w:szCs w:val="28"/>
        </w:rPr>
      </w:pPr>
      <w:r>
        <w:rPr>
          <w:rFonts w:hint="eastAsia" w:ascii="宋体" w:hAnsi="宋体" w:eastAsia="宋体" w:cs="彩虹粗仿宋"/>
          <w:b/>
          <w:bCs/>
          <w:color w:val="auto"/>
          <w:sz w:val="28"/>
          <w:szCs w:val="28"/>
        </w:rPr>
        <w:t>1.自助服务终端</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180"/>
        <w:gridCol w:w="1540"/>
        <w:gridCol w:w="3870"/>
        <w:gridCol w:w="1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shd w:val="clear" w:color="auto" w:fill="D7D7D7" w:themeFill="background1" w:themeFillShade="D8"/>
            <w:vAlign w:val="center"/>
          </w:tcPr>
          <w:p>
            <w:pPr>
              <w:jc w:val="center"/>
              <w:rPr>
                <w:rFonts w:hint="eastAsia" w:ascii="宋体" w:hAnsi="宋体" w:eastAsia="宋体" w:cs="彩虹粗仿宋"/>
                <w:b/>
                <w:bCs/>
                <w:kern w:val="0"/>
                <w:sz w:val="24"/>
                <w:szCs w:val="24"/>
              </w:rPr>
            </w:pPr>
            <w:r>
              <w:rPr>
                <w:rFonts w:hint="eastAsia" w:ascii="宋体" w:hAnsi="宋体" w:eastAsia="宋体" w:cs="彩虹粗仿宋"/>
                <w:b/>
                <w:bCs/>
                <w:kern w:val="0"/>
                <w:sz w:val="24"/>
                <w:szCs w:val="24"/>
              </w:rPr>
              <w:t>序号</w:t>
            </w:r>
          </w:p>
        </w:tc>
        <w:tc>
          <w:tcPr>
            <w:tcW w:w="1180" w:type="dxa"/>
            <w:shd w:val="clear" w:color="auto" w:fill="D7D7D7" w:themeFill="background1" w:themeFillShade="D8"/>
            <w:vAlign w:val="center"/>
          </w:tcPr>
          <w:p>
            <w:pPr>
              <w:jc w:val="center"/>
              <w:rPr>
                <w:rFonts w:hint="eastAsia" w:ascii="宋体" w:hAnsi="宋体" w:eastAsia="宋体" w:cs="彩虹粗仿宋"/>
                <w:b/>
                <w:bCs/>
                <w:kern w:val="0"/>
                <w:sz w:val="24"/>
                <w:szCs w:val="24"/>
              </w:rPr>
            </w:pPr>
            <w:r>
              <w:rPr>
                <w:rFonts w:hint="eastAsia" w:ascii="宋体" w:hAnsi="宋体" w:eastAsia="宋体" w:cs="彩虹粗仿宋"/>
                <w:b/>
                <w:bCs/>
                <w:kern w:val="0"/>
                <w:sz w:val="24"/>
                <w:szCs w:val="24"/>
              </w:rPr>
              <w:t>产品名称</w:t>
            </w:r>
          </w:p>
        </w:tc>
        <w:tc>
          <w:tcPr>
            <w:tcW w:w="1540" w:type="dxa"/>
            <w:shd w:val="clear" w:color="auto" w:fill="D7D7D7" w:themeFill="background1" w:themeFillShade="D8"/>
            <w:vAlign w:val="center"/>
          </w:tcPr>
          <w:p>
            <w:pPr>
              <w:jc w:val="center"/>
              <w:rPr>
                <w:rFonts w:hint="eastAsia" w:ascii="宋体" w:hAnsi="宋体" w:eastAsia="宋体" w:cs="彩虹粗仿宋"/>
                <w:b/>
                <w:bCs/>
                <w:kern w:val="0"/>
                <w:sz w:val="24"/>
                <w:szCs w:val="24"/>
              </w:rPr>
            </w:pPr>
            <w:r>
              <w:rPr>
                <w:rFonts w:hint="eastAsia" w:ascii="宋体" w:hAnsi="宋体" w:eastAsia="宋体" w:cs="彩虹粗仿宋"/>
                <w:b/>
                <w:bCs/>
                <w:kern w:val="0"/>
                <w:sz w:val="24"/>
                <w:szCs w:val="24"/>
              </w:rPr>
              <w:t>功能模块</w:t>
            </w:r>
          </w:p>
        </w:tc>
        <w:tc>
          <w:tcPr>
            <w:tcW w:w="3870" w:type="dxa"/>
            <w:shd w:val="clear" w:color="auto" w:fill="D7D7D7" w:themeFill="background1" w:themeFillShade="D8"/>
            <w:vAlign w:val="center"/>
          </w:tcPr>
          <w:p>
            <w:pPr>
              <w:jc w:val="center"/>
              <w:rPr>
                <w:rFonts w:hint="eastAsia" w:ascii="宋体" w:hAnsi="宋体" w:eastAsia="宋体" w:cs="彩虹粗仿宋"/>
                <w:b/>
                <w:bCs/>
                <w:kern w:val="0"/>
                <w:sz w:val="24"/>
                <w:szCs w:val="24"/>
              </w:rPr>
            </w:pPr>
            <w:r>
              <w:rPr>
                <w:rFonts w:hint="eastAsia" w:ascii="宋体" w:hAnsi="宋体" w:eastAsia="宋体" w:cs="彩虹粗仿宋"/>
                <w:b/>
                <w:bCs/>
                <w:kern w:val="0"/>
                <w:sz w:val="24"/>
                <w:szCs w:val="24"/>
              </w:rPr>
              <w:t>功能参数</w:t>
            </w:r>
          </w:p>
        </w:tc>
        <w:tc>
          <w:tcPr>
            <w:tcW w:w="1091" w:type="dxa"/>
            <w:shd w:val="clear" w:color="auto" w:fill="D7D7D7" w:themeFill="background1" w:themeFillShade="D8"/>
            <w:vAlign w:val="center"/>
          </w:tcPr>
          <w:p>
            <w:pPr>
              <w:jc w:val="center"/>
              <w:rPr>
                <w:rFonts w:hint="eastAsia" w:ascii="宋体" w:hAnsi="宋体" w:eastAsia="宋体" w:cs="彩虹粗仿宋"/>
                <w:b/>
                <w:bCs/>
                <w:kern w:val="0"/>
                <w:sz w:val="24"/>
                <w:szCs w:val="24"/>
              </w:rPr>
            </w:pPr>
            <w:r>
              <w:rPr>
                <w:rFonts w:hint="eastAsia" w:ascii="宋体" w:hAnsi="宋体" w:eastAsia="宋体" w:cs="彩虹粗仿宋"/>
                <w:b/>
                <w:bCs/>
                <w:kern w:val="0"/>
                <w:sz w:val="24"/>
                <w:szCs w:val="24"/>
              </w:rPr>
              <w:t>数量（台）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restart"/>
            <w:vAlign w:val="center"/>
          </w:tcPr>
          <w:p>
            <w:pPr>
              <w:jc w:val="center"/>
              <w:rPr>
                <w:rFonts w:hint="eastAsia" w:ascii="宋体" w:hAnsi="宋体" w:eastAsia="宋体" w:cs="彩虹粗仿宋"/>
                <w:kern w:val="0"/>
                <w:sz w:val="24"/>
                <w:szCs w:val="24"/>
              </w:rPr>
            </w:pPr>
            <w:r>
              <w:rPr>
                <w:rFonts w:hint="eastAsia" w:ascii="宋体" w:hAnsi="宋体" w:eastAsia="宋体" w:cs="彩虹粗仿宋"/>
                <w:kern w:val="0"/>
                <w:sz w:val="24"/>
                <w:szCs w:val="24"/>
              </w:rPr>
              <w:t>1</w:t>
            </w:r>
          </w:p>
        </w:tc>
        <w:tc>
          <w:tcPr>
            <w:tcW w:w="1180" w:type="dxa"/>
            <w:vMerge w:val="restart"/>
            <w:vAlign w:val="center"/>
          </w:tcPr>
          <w:p>
            <w:pPr>
              <w:rPr>
                <w:rFonts w:hint="eastAsia" w:ascii="宋体" w:hAnsi="宋体" w:eastAsia="宋体" w:cs="彩虹粗仿宋"/>
                <w:kern w:val="0"/>
                <w:sz w:val="24"/>
                <w:szCs w:val="24"/>
              </w:rPr>
            </w:pPr>
            <w:r>
              <w:rPr>
                <w:rFonts w:hint="eastAsia" w:ascii="宋体" w:hAnsi="宋体" w:eastAsia="宋体" w:cs="彩虹粗仿宋"/>
                <w:kern w:val="0"/>
                <w:sz w:val="24"/>
                <w:szCs w:val="24"/>
              </w:rPr>
              <w:t>医保刷脸融合一体机</w:t>
            </w:r>
          </w:p>
        </w:tc>
        <w:tc>
          <w:tcPr>
            <w:tcW w:w="1540" w:type="dxa"/>
            <w:vMerge w:val="restart"/>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机柜</w:t>
            </w:r>
          </w:p>
        </w:tc>
        <w:tc>
          <w:tcPr>
            <w:tcW w:w="387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外形：新颖美观、尊贵；</w:t>
            </w:r>
          </w:p>
        </w:tc>
        <w:tc>
          <w:tcPr>
            <w:tcW w:w="1091" w:type="dxa"/>
            <w:vMerge w:val="restart"/>
            <w:vAlign w:val="center"/>
          </w:tcPr>
          <w:p>
            <w:pPr>
              <w:jc w:val="center"/>
              <w:rPr>
                <w:rFonts w:hint="eastAsia" w:ascii="宋体" w:hAnsi="宋体" w:eastAsia="宋体" w:cs="彩虹粗仿宋"/>
                <w:kern w:val="0"/>
                <w:sz w:val="24"/>
                <w:szCs w:val="24"/>
              </w:rPr>
            </w:pPr>
            <w:r>
              <w:rPr>
                <w:rFonts w:hint="eastAsia" w:ascii="宋体" w:hAnsi="宋体" w:eastAsia="宋体" w:cs="彩虹粗仿宋"/>
                <w:kern w:val="0"/>
                <w:sz w:val="24"/>
                <w:szCs w:val="24"/>
              </w:rPr>
              <w:t>6台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材料：≧1.5mm厚度冷轧钢材料，坚硬厚实不易变形；</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内部结构：布线规范整齐；</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外部结构：各部件模块与机柜结合紧密，布局合理，工艺精细；</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触摸显示屏</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显示尺寸：≧32英寸</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分辨率：≧1920*1080；</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显示类型：16：9</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响应时间：</w:t>
            </w:r>
            <w:r>
              <w:rPr>
                <w:rFonts w:ascii="宋体" w:hAnsi="宋体" w:eastAsia="宋体" w:cs="彩虹粗仿宋"/>
                <w:color w:val="000000"/>
                <w:kern w:val="0"/>
                <w:sz w:val="24"/>
                <w:szCs w:val="24"/>
                <w:lang w:bidi="ar"/>
              </w:rPr>
              <w:t>≦</w:t>
            </w:r>
            <w:r>
              <w:rPr>
                <w:rFonts w:hint="eastAsia" w:ascii="宋体" w:hAnsi="宋体" w:eastAsia="宋体" w:cs="彩虹粗仿宋"/>
                <w:color w:val="000000"/>
                <w:kern w:val="0"/>
                <w:sz w:val="24"/>
                <w:szCs w:val="24"/>
                <w:lang w:bidi="ar"/>
              </w:rPr>
              <w:t>15ms；</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电容触摸屏（标配10点）,可实现放大缩小图片等多点触摸功能</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医保支付终端</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显示尺寸：8英寸</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分辨率：800*1280</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电容触摸屏（标配10点）,可实现放大缩小图片等多点触摸功能</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4G运行内存，64G存储</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内置摄像头，3D结构光人脸识别活体检测</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工控主机</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处理器：≧四核3.2GHz</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 xml:space="preserve">内存：≧8GB DDR4 </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存储：≧128GB SSD 固态硬盘</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供电方式 ：DC_IN_12V</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身份证阅读器</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射频技术:支持符合Type A和Type B规范的非接触卡</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通讯接口：USB</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无故障工作时间:&gt;5000小时</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社保卡读卡器</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 xml:space="preserve">接触式卡：支持符合ISO7816标准的接触式IC卡 </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通讯方式：支持USB、RS232</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密码键盘</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防尘、防水、防暴、防震、防钻、防撬；</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键数：16键金属键盘，10个数字键，6个功能键；</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按键寿命：1000,000次以上</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条码扫描器</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图像传感器：CMOS</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像素：≧640x480pixels；</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通讯接口：USB</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识读精度：≧5mil</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凭条打印机</w:t>
            </w:r>
          </w:p>
        </w:tc>
        <w:tc>
          <w:tcPr>
            <w:tcW w:w="3870" w:type="dxa"/>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打印方式:行式热敏打印</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速度: ≧150mm/s(Max)</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纸宽: 79.5±0.5mm</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纸处理方式:自动切纸</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防堵功能:支持</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蜂鸣器:支持</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报告打印机</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打印速度≧35页</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月打印负荷≧80000页</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打印分辨率 ≧600X600dpi</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left"/>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 xml:space="preserve">首页打印时间 </w:t>
            </w:r>
            <w:r>
              <w:rPr>
                <w:rFonts w:ascii="宋体" w:hAnsi="宋体" w:eastAsia="宋体" w:cs="彩虹粗仿宋"/>
                <w:color w:val="000000"/>
                <w:kern w:val="0"/>
                <w:sz w:val="24"/>
                <w:szCs w:val="24"/>
                <w:lang w:bidi="ar"/>
              </w:rPr>
              <w:t>≦</w:t>
            </w:r>
            <w:r>
              <w:rPr>
                <w:rFonts w:hint="eastAsia" w:ascii="宋体" w:hAnsi="宋体" w:eastAsia="宋体" w:cs="彩虹粗仿宋"/>
                <w:color w:val="000000"/>
                <w:kern w:val="0"/>
                <w:sz w:val="24"/>
                <w:szCs w:val="24"/>
                <w:lang w:bidi="ar"/>
              </w:rPr>
              <w:t>7.2秒</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841" w:type="dxa"/>
            <w:vMerge w:val="continue"/>
            <w:tcBorders>
              <w:bottom w:val="single" w:color="auto" w:sz="4" w:space="0"/>
            </w:tcBorders>
            <w:vAlign w:val="center"/>
          </w:tcPr>
          <w:p>
            <w:pPr>
              <w:rPr>
                <w:rFonts w:hint="eastAsia" w:ascii="宋体" w:hAnsi="宋体" w:eastAsia="宋体" w:cs="彩虹粗仿宋"/>
                <w:kern w:val="0"/>
                <w:sz w:val="24"/>
                <w:szCs w:val="24"/>
              </w:rPr>
            </w:pPr>
          </w:p>
        </w:tc>
        <w:tc>
          <w:tcPr>
            <w:tcW w:w="1180" w:type="dxa"/>
            <w:vMerge w:val="continue"/>
            <w:tcBorders>
              <w:bottom w:val="single" w:color="auto" w:sz="4" w:space="0"/>
            </w:tcBorders>
            <w:vAlign w:val="center"/>
          </w:tcPr>
          <w:p>
            <w:pPr>
              <w:rPr>
                <w:rFonts w:hint="eastAsia" w:ascii="宋体" w:hAnsi="宋体" w:eastAsia="宋体" w:cs="彩虹粗仿宋"/>
                <w:kern w:val="0"/>
                <w:sz w:val="24"/>
                <w:szCs w:val="24"/>
              </w:rPr>
            </w:pPr>
          </w:p>
        </w:tc>
        <w:tc>
          <w:tcPr>
            <w:tcW w:w="1540" w:type="dxa"/>
            <w:vMerge w:val="continue"/>
            <w:tcBorders>
              <w:bottom w:val="single" w:color="auto" w:sz="4" w:space="0"/>
            </w:tcBorders>
            <w:vAlign w:val="center"/>
          </w:tcPr>
          <w:p>
            <w:pPr>
              <w:jc w:val="left"/>
              <w:rPr>
                <w:rFonts w:hint="eastAsia" w:ascii="宋体" w:hAnsi="宋体" w:eastAsia="宋体" w:cs="彩虹粗仿宋"/>
                <w:kern w:val="0"/>
                <w:sz w:val="24"/>
                <w:szCs w:val="24"/>
              </w:rPr>
            </w:pPr>
          </w:p>
        </w:tc>
        <w:tc>
          <w:tcPr>
            <w:tcW w:w="3870" w:type="dxa"/>
            <w:tcBorders>
              <w:bottom w:val="single" w:color="auto" w:sz="4" w:space="0"/>
            </w:tcBorders>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纸盒容量:250页</w:t>
            </w:r>
          </w:p>
        </w:tc>
        <w:tc>
          <w:tcPr>
            <w:tcW w:w="1091" w:type="dxa"/>
            <w:vMerge w:val="continue"/>
            <w:tcBorders>
              <w:bottom w:val="single" w:color="auto" w:sz="4" w:space="0"/>
            </w:tcBorders>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restart"/>
            <w:vAlign w:val="center"/>
          </w:tcPr>
          <w:p>
            <w:pPr>
              <w:jc w:val="center"/>
              <w:rPr>
                <w:rFonts w:hint="eastAsia" w:ascii="宋体" w:hAnsi="宋体" w:eastAsia="宋体" w:cs="彩虹粗仿宋"/>
                <w:kern w:val="0"/>
                <w:sz w:val="24"/>
                <w:szCs w:val="24"/>
              </w:rPr>
            </w:pPr>
            <w:r>
              <w:rPr>
                <w:rFonts w:hint="eastAsia" w:ascii="宋体" w:hAnsi="宋体" w:eastAsia="宋体" w:cs="彩虹粗仿宋"/>
                <w:kern w:val="0"/>
                <w:sz w:val="24"/>
                <w:szCs w:val="24"/>
              </w:rPr>
              <w:t>2</w:t>
            </w:r>
          </w:p>
        </w:tc>
        <w:tc>
          <w:tcPr>
            <w:tcW w:w="1180" w:type="dxa"/>
            <w:vMerge w:val="restart"/>
            <w:vAlign w:val="center"/>
          </w:tcPr>
          <w:p>
            <w:pPr>
              <w:rPr>
                <w:rFonts w:hint="eastAsia" w:ascii="宋体" w:hAnsi="宋体" w:eastAsia="宋体" w:cs="彩虹粗仿宋"/>
                <w:kern w:val="0"/>
                <w:sz w:val="24"/>
                <w:szCs w:val="24"/>
              </w:rPr>
            </w:pPr>
            <w:r>
              <w:rPr>
                <w:rFonts w:hint="eastAsia" w:ascii="宋体" w:hAnsi="宋体" w:eastAsia="宋体" w:cs="彩虹粗仿宋"/>
                <w:color w:val="000000" w:themeColor="text1"/>
                <w:kern w:val="0"/>
                <w:sz w:val="24"/>
                <w:szCs w:val="24"/>
                <w14:textFill>
                  <w14:solidFill>
                    <w14:schemeClr w14:val="tx1"/>
                  </w14:solidFill>
                </w14:textFill>
              </w:rPr>
              <w:t>自助报告打印机</w:t>
            </w:r>
          </w:p>
        </w:tc>
        <w:tc>
          <w:tcPr>
            <w:tcW w:w="154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机柜</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外形：新颖美观、尊贵；</w:t>
            </w:r>
          </w:p>
        </w:tc>
        <w:tc>
          <w:tcPr>
            <w:tcW w:w="1091" w:type="dxa"/>
            <w:vMerge w:val="restart"/>
            <w:vAlign w:val="center"/>
          </w:tcPr>
          <w:p>
            <w:pPr>
              <w:jc w:val="center"/>
              <w:rPr>
                <w:rFonts w:hint="eastAsia" w:ascii="宋体" w:hAnsi="宋体" w:eastAsia="宋体" w:cs="彩虹粗仿宋"/>
                <w:kern w:val="0"/>
                <w:sz w:val="24"/>
                <w:szCs w:val="24"/>
              </w:rPr>
            </w:pPr>
            <w:r>
              <w:rPr>
                <w:rFonts w:hint="eastAsia" w:ascii="宋体" w:hAnsi="宋体" w:eastAsia="宋体" w:cs="彩虹粗仿宋"/>
                <w:kern w:val="0"/>
                <w:sz w:val="24"/>
                <w:szCs w:val="24"/>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材料：≧1.5mm厚度冷轧钢材料，坚硬厚实不易变形；</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内部结构：布线规范整齐；</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外部结构：各部件模块与机柜结合紧密，布局合理，工艺精细；</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触摸显示屏</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显示尺寸：≧19英寸</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分辨率：≧1920*1080；</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响应时间：</w:t>
            </w:r>
            <w:r>
              <w:rPr>
                <w:rFonts w:ascii="宋体" w:hAnsi="宋体" w:eastAsia="宋体" w:cs="彩虹粗仿宋"/>
                <w:color w:val="000000"/>
                <w:kern w:val="0"/>
                <w:sz w:val="24"/>
                <w:szCs w:val="24"/>
                <w:lang w:bidi="ar"/>
              </w:rPr>
              <w:t>≦</w:t>
            </w:r>
            <w:r>
              <w:rPr>
                <w:rFonts w:hint="eastAsia" w:ascii="宋体" w:hAnsi="宋体" w:eastAsia="宋体" w:cs="彩虹粗仿宋"/>
                <w:color w:val="000000"/>
                <w:kern w:val="0"/>
                <w:sz w:val="24"/>
                <w:szCs w:val="24"/>
                <w:lang w:bidi="ar"/>
              </w:rPr>
              <w:t>15ms；</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工控主机</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处理器：≧四核3.2GHz</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 xml:space="preserve">内存：≧4GB DDR4 </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存储：≧128GB SSD 固态硬盘</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供电方式 ：DC_IN_12V</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密码键盘</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防尘、防水、防暴、防震、防钻、防撬；</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键数：16键金属键盘，10个数字键，6个功能键；</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按键寿命：1000,000次以上</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身份证阅读器</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射频技术:支持符合Type A和Type B规范的非接触卡</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读卡距离：0-3cm</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通讯接口：USB</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无故障工作时间:&gt;5000小时</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通过公安部认证；</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社保卡读卡器</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接触式卡：支持符合ISO7816标准的接触式IC卡，卡座插拔卡寿命至少20万次</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通讯方式：支持USB、RS232</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条码扫描器</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图像传感器：CMOS</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像素：≧640x480pixels；</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通讯接口：USB</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识读精度：</w:t>
            </w:r>
            <w:r>
              <w:rPr>
                <w:rFonts w:ascii="宋体" w:hAnsi="宋体" w:eastAsia="宋体" w:cs="彩虹粗仿宋"/>
                <w:color w:val="000000"/>
                <w:kern w:val="0"/>
                <w:sz w:val="24"/>
                <w:szCs w:val="24"/>
                <w:lang w:bidi="ar"/>
              </w:rPr>
              <w:t>≦</w:t>
            </w:r>
            <w:r>
              <w:rPr>
                <w:rFonts w:hint="eastAsia" w:ascii="宋体" w:hAnsi="宋体" w:eastAsia="宋体" w:cs="彩虹粗仿宋"/>
                <w:color w:val="000000"/>
                <w:kern w:val="0"/>
                <w:sz w:val="24"/>
                <w:szCs w:val="24"/>
                <w:lang w:bidi="ar"/>
              </w:rPr>
              <w:t>5mil</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报告打印机</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打印速度≧35页</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月打印负荷≧80000页</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打印分辨率 ≧600X600dpi</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 xml:space="preserve">首页打印时间 </w:t>
            </w:r>
            <w:r>
              <w:rPr>
                <w:rFonts w:ascii="宋体" w:hAnsi="宋体" w:eastAsia="宋体" w:cs="彩虹粗仿宋"/>
                <w:color w:val="000000"/>
                <w:kern w:val="0"/>
                <w:sz w:val="24"/>
                <w:szCs w:val="24"/>
                <w:lang w:bidi="ar"/>
              </w:rPr>
              <w:t>≦</w:t>
            </w:r>
            <w:r>
              <w:rPr>
                <w:rFonts w:hint="eastAsia" w:ascii="宋体" w:hAnsi="宋体" w:eastAsia="宋体" w:cs="彩虹粗仿宋"/>
                <w:color w:val="000000"/>
                <w:kern w:val="0"/>
                <w:sz w:val="24"/>
                <w:szCs w:val="24"/>
                <w:lang w:bidi="ar"/>
              </w:rPr>
              <w:t>7.2秒</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纸盒容量:250页</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restart"/>
            <w:vAlign w:val="center"/>
          </w:tcPr>
          <w:p>
            <w:pPr>
              <w:jc w:val="center"/>
              <w:rPr>
                <w:rFonts w:hint="eastAsia" w:ascii="宋体" w:hAnsi="宋体" w:eastAsia="宋体" w:cs="彩虹粗仿宋"/>
                <w:kern w:val="0"/>
                <w:sz w:val="24"/>
                <w:szCs w:val="24"/>
              </w:rPr>
            </w:pPr>
            <w:r>
              <w:rPr>
                <w:rFonts w:hint="eastAsia" w:ascii="宋体" w:hAnsi="宋体" w:eastAsia="宋体" w:cs="彩虹粗仿宋"/>
                <w:kern w:val="0"/>
                <w:sz w:val="24"/>
                <w:szCs w:val="24"/>
              </w:rPr>
              <w:t>3</w:t>
            </w:r>
          </w:p>
        </w:tc>
        <w:tc>
          <w:tcPr>
            <w:tcW w:w="1180" w:type="dxa"/>
            <w:vMerge w:val="restart"/>
            <w:vAlign w:val="center"/>
          </w:tcPr>
          <w:p>
            <w:pPr>
              <w:rPr>
                <w:rFonts w:hint="eastAsia" w:ascii="宋体" w:hAnsi="宋体" w:eastAsia="宋体" w:cs="彩虹粗仿宋"/>
                <w:kern w:val="0"/>
                <w:sz w:val="24"/>
                <w:szCs w:val="24"/>
              </w:rPr>
            </w:pPr>
            <w:r>
              <w:rPr>
                <w:rFonts w:hint="eastAsia" w:ascii="宋体" w:hAnsi="宋体" w:eastAsia="宋体" w:cs="彩虹粗仿宋"/>
                <w:kern w:val="0"/>
                <w:sz w:val="24"/>
                <w:szCs w:val="24"/>
              </w:rPr>
              <w:t>壁挂式自助服务终端</w:t>
            </w:r>
          </w:p>
        </w:tc>
        <w:tc>
          <w:tcPr>
            <w:tcW w:w="154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机柜</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外形：新颖美观、尊贵；</w:t>
            </w:r>
          </w:p>
        </w:tc>
        <w:tc>
          <w:tcPr>
            <w:tcW w:w="1091" w:type="dxa"/>
            <w:vMerge w:val="restart"/>
            <w:vAlign w:val="center"/>
          </w:tcPr>
          <w:p>
            <w:pPr>
              <w:rPr>
                <w:rFonts w:hint="eastAsia" w:ascii="宋体" w:hAnsi="宋体" w:eastAsia="宋体" w:cs="彩虹粗仿宋"/>
                <w:kern w:val="0"/>
                <w:sz w:val="24"/>
                <w:szCs w:val="24"/>
              </w:rPr>
            </w:pPr>
            <w:r>
              <w:rPr>
                <w:rFonts w:hint="eastAsia" w:ascii="宋体" w:hAnsi="宋体" w:eastAsia="宋体" w:cs="彩虹粗仿宋"/>
                <w:kern w:val="0"/>
                <w:sz w:val="24"/>
                <w:szCs w:val="24"/>
              </w:rPr>
              <w:t>5台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材料：前置钢化玻璃、铝型材边框，内部构件全部电镀，彻底防锈、防磁、防静电；</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内部结构：布线规范整齐；</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外部结构：各部件模块与机柜结合紧密，布局合理，工艺精细；</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触摸显示屏</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 xml:space="preserve">显示尺寸：≧21英寸  </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分辨率：≧1920*1080</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电容触摸屏，多点触摸功能</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驱动:免驱，即插即用</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工业级专用主机</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处理器：≧四核</w:t>
            </w:r>
            <w:r>
              <w:rPr>
                <w:rFonts w:ascii="宋体" w:hAnsi="宋体" w:eastAsia="宋体" w:cs="彩虹粗仿宋"/>
                <w:color w:val="000000"/>
                <w:kern w:val="0"/>
                <w:sz w:val="24"/>
                <w:szCs w:val="24"/>
                <w:lang w:bidi="ar"/>
              </w:rPr>
              <w:t>2</w:t>
            </w:r>
            <w:r>
              <w:rPr>
                <w:rFonts w:hint="eastAsia" w:ascii="宋体" w:hAnsi="宋体" w:eastAsia="宋体" w:cs="彩虹粗仿宋"/>
                <w:color w:val="000000"/>
                <w:kern w:val="0"/>
                <w:sz w:val="24"/>
                <w:szCs w:val="24"/>
                <w:lang w:bidi="ar"/>
              </w:rPr>
              <w:t>.0</w:t>
            </w:r>
            <w:r>
              <w:rPr>
                <w:rFonts w:ascii="宋体" w:hAnsi="宋体" w:eastAsia="宋体" w:cs="彩虹粗仿宋"/>
                <w:color w:val="000000"/>
                <w:kern w:val="0"/>
                <w:sz w:val="24"/>
                <w:szCs w:val="24"/>
                <w:lang w:bidi="ar"/>
              </w:rPr>
              <w:t>GHz</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内存：≧4GB DDR4</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存储：≧128GB SSD 固态硬盘</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供电方式 ：DC_IN_12V</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社保卡+身份证模块</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通讯接口：支持USB/RS232串口通讯；</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支持社保卡+居民身份证读取；</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密码键盘</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防尘、防水、防暴、防震、防钻、防撬；</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键数：16键金属键盘，10个数字键，6个功能键；</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按键寿命：3,000,000次以上</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条码扫描器</w:t>
            </w: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图像传感器：CMOS</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像素：≧640x480pixels；</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通讯接口：USB</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vAlign w:val="center"/>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识读精度：</w:t>
            </w:r>
            <w:r>
              <w:rPr>
                <w:rFonts w:ascii="宋体" w:hAnsi="宋体" w:eastAsia="宋体" w:cs="彩虹粗仿宋"/>
                <w:color w:val="000000"/>
                <w:kern w:val="0"/>
                <w:sz w:val="24"/>
                <w:szCs w:val="24"/>
                <w:lang w:bidi="ar"/>
              </w:rPr>
              <w:t>≦</w:t>
            </w:r>
            <w:r>
              <w:rPr>
                <w:rFonts w:hint="eastAsia" w:ascii="宋体" w:hAnsi="宋体" w:eastAsia="宋体" w:cs="彩虹粗仿宋"/>
                <w:color w:val="000000"/>
                <w:kern w:val="0"/>
                <w:sz w:val="24"/>
                <w:szCs w:val="24"/>
                <w:lang w:bidi="ar"/>
              </w:rPr>
              <w:t>5mil</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凭条打印机</w:t>
            </w:r>
          </w:p>
        </w:tc>
        <w:tc>
          <w:tcPr>
            <w:tcW w:w="3870" w:type="dxa"/>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打印方式:行式热敏打印</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速度: ≧150mm/s(Max)</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纸宽: 79.5±0.5mm</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纸处理方式:自动切纸</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防堵功能:支持</w:t>
            </w:r>
          </w:p>
        </w:tc>
        <w:tc>
          <w:tcPr>
            <w:tcW w:w="1091" w:type="dxa"/>
            <w:vMerge w:val="continue"/>
            <w:vAlign w:val="center"/>
          </w:tcPr>
          <w:p>
            <w:pP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vMerge w:val="continue"/>
            <w:vAlign w:val="center"/>
          </w:tcPr>
          <w:p>
            <w:pPr>
              <w:rPr>
                <w:rFonts w:hint="eastAsia" w:ascii="宋体" w:hAnsi="宋体" w:eastAsia="宋体" w:cs="彩虹粗仿宋"/>
                <w:kern w:val="0"/>
                <w:sz w:val="24"/>
                <w:szCs w:val="24"/>
              </w:rPr>
            </w:pPr>
          </w:p>
        </w:tc>
        <w:tc>
          <w:tcPr>
            <w:tcW w:w="1180" w:type="dxa"/>
            <w:vMerge w:val="continue"/>
            <w:vAlign w:val="center"/>
          </w:tcPr>
          <w:p>
            <w:pPr>
              <w:rPr>
                <w:rFonts w:hint="eastAsia" w:ascii="宋体" w:hAnsi="宋体" w:eastAsia="宋体" w:cs="彩虹粗仿宋"/>
                <w:kern w:val="0"/>
                <w:sz w:val="24"/>
                <w:szCs w:val="24"/>
              </w:rPr>
            </w:pPr>
          </w:p>
        </w:tc>
        <w:tc>
          <w:tcPr>
            <w:tcW w:w="1540" w:type="dxa"/>
            <w:vMerge w:val="continue"/>
            <w:vAlign w:val="center"/>
          </w:tcPr>
          <w:p>
            <w:pPr>
              <w:jc w:val="center"/>
              <w:rPr>
                <w:rFonts w:hint="eastAsia" w:ascii="宋体" w:hAnsi="宋体" w:eastAsia="宋体" w:cs="彩虹粗仿宋"/>
                <w:kern w:val="0"/>
                <w:sz w:val="24"/>
                <w:szCs w:val="24"/>
              </w:rPr>
            </w:pPr>
          </w:p>
        </w:tc>
        <w:tc>
          <w:tcPr>
            <w:tcW w:w="3870" w:type="dxa"/>
          </w:tcPr>
          <w:p>
            <w:pPr>
              <w:widowControl/>
              <w:jc w:val="left"/>
              <w:textAlignment w:val="center"/>
              <w:rPr>
                <w:rFonts w:hint="eastAsia" w:ascii="宋体" w:hAnsi="宋体" w:eastAsia="宋体" w:cs="彩虹粗仿宋"/>
                <w:color w:val="000000"/>
                <w:kern w:val="0"/>
                <w:sz w:val="24"/>
                <w:szCs w:val="24"/>
                <w:lang w:bidi="ar"/>
              </w:rPr>
            </w:pPr>
            <w:r>
              <w:rPr>
                <w:rFonts w:hint="eastAsia" w:ascii="宋体" w:hAnsi="宋体" w:eastAsia="宋体" w:cs="彩虹粗仿宋"/>
                <w:color w:val="000000"/>
                <w:kern w:val="0"/>
                <w:sz w:val="24"/>
                <w:szCs w:val="24"/>
                <w:lang w:bidi="ar"/>
              </w:rPr>
              <w:t>蜂鸣器:支持</w:t>
            </w:r>
          </w:p>
        </w:tc>
        <w:tc>
          <w:tcPr>
            <w:tcW w:w="1091" w:type="dxa"/>
            <w:vMerge w:val="continue"/>
            <w:vAlign w:val="center"/>
          </w:tcPr>
          <w:p>
            <w:pPr>
              <w:rPr>
                <w:rFonts w:hint="eastAsia" w:ascii="宋体" w:hAnsi="宋体" w:eastAsia="宋体" w:cs="彩虹粗仿宋"/>
                <w:kern w:val="0"/>
                <w:sz w:val="24"/>
                <w:szCs w:val="24"/>
              </w:rPr>
            </w:pPr>
          </w:p>
        </w:tc>
      </w:tr>
    </w:tbl>
    <w:p/>
    <w:p>
      <w:pPr>
        <w:pStyle w:val="3"/>
        <w:numPr>
          <w:ilvl w:val="1"/>
          <w:numId w:val="0"/>
        </w:numPr>
        <w:spacing w:before="0" w:after="0" w:line="560" w:lineRule="exact"/>
        <w:ind w:firstLine="562" w:firstLineChars="200"/>
        <w:rPr>
          <w:rFonts w:hint="eastAsia" w:ascii="宋体" w:hAnsi="宋体" w:eastAsia="宋体" w:cs="彩虹粗仿宋"/>
          <w:b/>
          <w:bCs/>
          <w:color w:val="auto"/>
          <w:sz w:val="28"/>
          <w:szCs w:val="28"/>
        </w:rPr>
      </w:pPr>
      <w:r>
        <w:rPr>
          <w:rFonts w:hint="eastAsia" w:ascii="宋体" w:hAnsi="宋体" w:eastAsia="宋体" w:cs="彩虹粗仿宋"/>
          <w:b/>
          <w:bCs/>
          <w:color w:val="auto"/>
          <w:sz w:val="28"/>
          <w:szCs w:val="28"/>
        </w:rPr>
        <w:t>2.自助终端管理系统</w:t>
      </w:r>
    </w:p>
    <w:tbl>
      <w:tblPr>
        <w:tblStyle w:val="16"/>
        <w:tblW w:w="86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1"/>
        <w:gridCol w:w="1110"/>
        <w:gridCol w:w="1100"/>
        <w:gridCol w:w="1260"/>
        <w:gridCol w:w="3340"/>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shd w:val="clear" w:color="auto" w:fill="D7D7D7" w:themeFill="background1" w:themeFillShade="D8"/>
            <w:vAlign w:val="center"/>
          </w:tcPr>
          <w:p>
            <w:pPr>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序号</w:t>
            </w:r>
          </w:p>
        </w:tc>
        <w:tc>
          <w:tcPr>
            <w:tcW w:w="1110" w:type="dxa"/>
            <w:shd w:val="clear" w:color="auto" w:fill="D7D7D7" w:themeFill="background1" w:themeFillShade="D8"/>
            <w:vAlign w:val="center"/>
          </w:tcPr>
          <w:p>
            <w:pPr>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产品名称</w:t>
            </w:r>
          </w:p>
        </w:tc>
        <w:tc>
          <w:tcPr>
            <w:tcW w:w="1100" w:type="dxa"/>
            <w:shd w:val="clear" w:color="auto" w:fill="D7D7D7" w:themeFill="background1" w:themeFillShade="D8"/>
            <w:vAlign w:val="center"/>
          </w:tcPr>
          <w:p>
            <w:pPr>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功能模块</w:t>
            </w:r>
          </w:p>
        </w:tc>
        <w:tc>
          <w:tcPr>
            <w:tcW w:w="1260" w:type="dxa"/>
            <w:shd w:val="clear" w:color="auto" w:fill="D7D7D7" w:themeFill="background1" w:themeFillShade="D8"/>
            <w:vAlign w:val="center"/>
          </w:tcPr>
          <w:p>
            <w:pPr>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功能列表</w:t>
            </w:r>
          </w:p>
        </w:tc>
        <w:tc>
          <w:tcPr>
            <w:tcW w:w="3340" w:type="dxa"/>
            <w:shd w:val="clear" w:color="auto" w:fill="D7D7D7" w:themeFill="background1" w:themeFillShade="D8"/>
            <w:vAlign w:val="center"/>
          </w:tcPr>
          <w:p>
            <w:pPr>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功能详情</w:t>
            </w:r>
          </w:p>
        </w:tc>
        <w:tc>
          <w:tcPr>
            <w:tcW w:w="1110" w:type="dxa"/>
            <w:shd w:val="clear" w:color="auto" w:fill="D7D7D7" w:themeFill="background1" w:themeFillShade="D8"/>
            <w:vAlign w:val="center"/>
          </w:tcPr>
          <w:p>
            <w:pPr>
              <w:jc w:val="center"/>
              <w:rPr>
                <w:rFonts w:hint="eastAsia" w:ascii="宋体" w:hAnsi="宋体" w:eastAsia="宋体" w:cs="宋体"/>
                <w:b/>
                <w:bCs/>
                <w:kern w:val="0"/>
                <w:sz w:val="24"/>
                <w:szCs w:val="24"/>
              </w:rPr>
            </w:pPr>
            <w:r>
              <w:rPr>
                <w:rFonts w:hint="eastAsia" w:ascii="宋体" w:hAnsi="宋体" w:eastAsia="宋体" w:cs="宋体"/>
                <w:b/>
                <w:bCs/>
                <w:kern w:val="0"/>
                <w:sz w:val="24"/>
                <w:szCs w:val="24"/>
              </w:rPr>
              <w:t>数量（套）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trPr>
        <w:tc>
          <w:tcPr>
            <w:tcW w:w="701" w:type="dxa"/>
            <w:vMerge w:val="restart"/>
            <w:vAlign w:val="center"/>
          </w:tcPr>
          <w:p>
            <w:pPr>
              <w:jc w:val="center"/>
              <w:rPr>
                <w:rFonts w:hint="eastAsia" w:ascii="宋体" w:hAnsi="宋体" w:eastAsia="宋体" w:cs="彩虹粗仿宋"/>
                <w:kern w:val="0"/>
                <w:sz w:val="24"/>
                <w:szCs w:val="24"/>
              </w:rPr>
            </w:pPr>
            <w:r>
              <w:rPr>
                <w:rFonts w:hint="eastAsia" w:ascii="宋体" w:hAnsi="宋体" w:eastAsia="宋体" w:cs="彩虹粗仿宋"/>
                <w:kern w:val="0"/>
                <w:sz w:val="24"/>
                <w:szCs w:val="24"/>
              </w:rPr>
              <w:t>1</w:t>
            </w:r>
          </w:p>
        </w:tc>
        <w:tc>
          <w:tcPr>
            <w:tcW w:w="1110" w:type="dxa"/>
            <w:vMerge w:val="restart"/>
            <w:vAlign w:val="center"/>
          </w:tcPr>
          <w:p>
            <w:pPr>
              <w:jc w:val="center"/>
              <w:rPr>
                <w:rFonts w:hint="eastAsia" w:ascii="宋体" w:hAnsi="宋体" w:eastAsia="宋体" w:cs="彩虹粗仿宋"/>
                <w:kern w:val="0"/>
                <w:sz w:val="24"/>
                <w:szCs w:val="24"/>
              </w:rPr>
            </w:pPr>
            <w:r>
              <w:rPr>
                <w:rFonts w:hint="eastAsia" w:ascii="宋体" w:hAnsi="宋体" w:eastAsia="宋体" w:cs="彩虹粗仿宋"/>
                <w:kern w:val="0"/>
                <w:sz w:val="24"/>
                <w:szCs w:val="24"/>
              </w:rPr>
              <w:t>自助终端管理系统</w:t>
            </w:r>
          </w:p>
        </w:tc>
        <w:tc>
          <w:tcPr>
            <w:tcW w:w="1100" w:type="dxa"/>
            <w:vMerge w:val="restart"/>
            <w:vAlign w:val="center"/>
          </w:tcPr>
          <w:p>
            <w:pPr>
              <w:jc w:val="center"/>
              <w:rPr>
                <w:rFonts w:hint="eastAsia" w:ascii="宋体" w:hAnsi="宋体" w:eastAsia="宋体" w:cs="彩虹粗仿宋"/>
                <w:kern w:val="0"/>
                <w:sz w:val="24"/>
                <w:szCs w:val="24"/>
              </w:rPr>
            </w:pPr>
            <w:r>
              <w:rPr>
                <w:rFonts w:hint="eastAsia" w:ascii="宋体" w:hAnsi="宋体" w:eastAsia="宋体" w:cs="彩虹粗仿宋"/>
                <w:kern w:val="0"/>
                <w:sz w:val="24"/>
                <w:szCs w:val="24"/>
              </w:rPr>
              <w:t>门诊功能</w:t>
            </w:r>
          </w:p>
        </w:tc>
        <w:tc>
          <w:tcPr>
            <w:tcW w:w="1260" w:type="dxa"/>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自助建档</w:t>
            </w: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身份证、社保卡、人脸建档</w:t>
            </w:r>
          </w:p>
        </w:tc>
        <w:tc>
          <w:tcPr>
            <w:tcW w:w="1110" w:type="dxa"/>
            <w:vMerge w:val="restart"/>
            <w:vAlign w:val="center"/>
          </w:tcPr>
          <w:p>
            <w:pPr>
              <w:jc w:val="center"/>
              <w:rPr>
                <w:rFonts w:hint="eastAsia" w:ascii="宋体" w:hAnsi="宋体" w:eastAsia="宋体" w:cs="彩虹粗仿宋"/>
                <w:kern w:val="0"/>
                <w:sz w:val="24"/>
                <w:szCs w:val="24"/>
              </w:rPr>
            </w:pPr>
            <w:r>
              <w:rPr>
                <w:rFonts w:hint="eastAsia" w:ascii="宋体" w:hAnsi="宋体" w:eastAsia="宋体" w:cs="彩虹粗仿宋"/>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预约挂号</w:t>
            </w: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现场挂号</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医保挂号</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预约科室</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预约医生</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门诊预约</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预约取号</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门诊缴费</w:t>
            </w: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门诊处方查询</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门诊自费结算</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门诊医保结算</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医保慢特病结算</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自助打印</w:t>
            </w: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门诊清单打印</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检查报告打印</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检验报告打印</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凭证打印</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票据补打</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综合查询</w:t>
            </w: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个人信息查询</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门诊消费查询</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预交金账户查询</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药品价格</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诊疗项目价格信息</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电子发票</w:t>
            </w: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电子发票预览</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电子发票打印</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restart"/>
            <w:vAlign w:val="center"/>
          </w:tcPr>
          <w:p>
            <w:pPr>
              <w:jc w:val="center"/>
              <w:rPr>
                <w:rFonts w:hint="eastAsia" w:ascii="宋体" w:hAnsi="宋体" w:eastAsia="宋体" w:cs="彩虹粗仿宋"/>
                <w:kern w:val="0"/>
                <w:sz w:val="24"/>
                <w:szCs w:val="24"/>
              </w:rPr>
            </w:pPr>
            <w:r>
              <w:rPr>
                <w:rFonts w:hint="eastAsia" w:ascii="宋体" w:hAnsi="宋体" w:eastAsia="宋体" w:cs="彩虹粗仿宋"/>
                <w:kern w:val="0"/>
                <w:sz w:val="24"/>
                <w:szCs w:val="24"/>
              </w:rPr>
              <w:t>住院功能</w:t>
            </w:r>
          </w:p>
        </w:tc>
        <w:tc>
          <w:tcPr>
            <w:tcW w:w="1260" w:type="dxa"/>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住院充值</w:t>
            </w: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住院押金充值</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住院查询</w:t>
            </w: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住院信息查询</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押金查询</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住院费用查询</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日清单查询</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住院打印</w:t>
            </w: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日清单打印</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住院报告打印</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住院发票打印</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restart"/>
            <w:vAlign w:val="center"/>
          </w:tcPr>
          <w:p>
            <w:pPr>
              <w:jc w:val="center"/>
              <w:rPr>
                <w:rFonts w:hint="eastAsia" w:ascii="宋体" w:hAnsi="宋体" w:eastAsia="宋体" w:cs="彩虹粗仿宋"/>
                <w:kern w:val="0"/>
                <w:sz w:val="24"/>
                <w:szCs w:val="24"/>
              </w:rPr>
            </w:pPr>
            <w:r>
              <w:rPr>
                <w:rFonts w:hint="eastAsia" w:ascii="宋体" w:hAnsi="宋体" w:eastAsia="宋体" w:cs="彩虹粗仿宋"/>
                <w:kern w:val="0"/>
                <w:sz w:val="24"/>
                <w:szCs w:val="24"/>
              </w:rPr>
              <w:t>后台管理</w:t>
            </w:r>
          </w:p>
        </w:tc>
        <w:tc>
          <w:tcPr>
            <w:tcW w:w="126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终端设备管理</w:t>
            </w: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终端信息</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终端状态</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终端管理</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远程服务管理</w:t>
            </w: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远程管理</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远程维护</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数据统计查询</w:t>
            </w: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业务统计</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交易日志</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使用情统计</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故障统计</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场景功能管理</w:t>
            </w: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场景添加</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场景分配</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4"/>
                <w:szCs w:val="24"/>
              </w:rPr>
            </w:pPr>
          </w:p>
        </w:tc>
        <w:tc>
          <w:tcPr>
            <w:tcW w:w="1110" w:type="dxa"/>
            <w:vMerge w:val="continue"/>
            <w:vAlign w:val="center"/>
          </w:tcPr>
          <w:p>
            <w:pPr>
              <w:jc w:val="center"/>
              <w:rPr>
                <w:rFonts w:hint="eastAsia" w:ascii="宋体" w:hAnsi="宋体" w:eastAsia="宋体" w:cs="彩虹粗仿宋"/>
                <w:kern w:val="0"/>
                <w:sz w:val="24"/>
                <w:szCs w:val="24"/>
              </w:rPr>
            </w:pPr>
          </w:p>
        </w:tc>
        <w:tc>
          <w:tcPr>
            <w:tcW w:w="1100" w:type="dxa"/>
            <w:vMerge w:val="continue"/>
            <w:vAlign w:val="center"/>
          </w:tcPr>
          <w:p>
            <w:pPr>
              <w:jc w:val="center"/>
              <w:rPr>
                <w:rFonts w:hint="eastAsia" w:ascii="宋体" w:hAnsi="宋体" w:eastAsia="宋体" w:cs="彩虹粗仿宋"/>
                <w:kern w:val="0"/>
                <w:sz w:val="24"/>
                <w:szCs w:val="24"/>
              </w:rPr>
            </w:pPr>
          </w:p>
        </w:tc>
        <w:tc>
          <w:tcPr>
            <w:tcW w:w="1260" w:type="dxa"/>
            <w:vMerge w:val="restart"/>
            <w:vAlign w:val="center"/>
          </w:tcPr>
          <w:p>
            <w:pPr>
              <w:widowControl/>
              <w:jc w:val="center"/>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系统管理</w:t>
            </w: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用户管理</w:t>
            </w:r>
          </w:p>
        </w:tc>
        <w:tc>
          <w:tcPr>
            <w:tcW w:w="1110" w:type="dxa"/>
            <w:vMerge w:val="continue"/>
            <w:vAlign w:val="center"/>
          </w:tcPr>
          <w:p>
            <w:pPr>
              <w:jc w:val="center"/>
              <w:rPr>
                <w:rFonts w:hint="eastAsia" w:ascii="宋体" w:hAnsi="宋体" w:eastAsia="宋体" w:cs="彩虹粗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vMerge w:val="continue"/>
            <w:vAlign w:val="center"/>
          </w:tcPr>
          <w:p>
            <w:pPr>
              <w:jc w:val="center"/>
              <w:rPr>
                <w:rFonts w:hint="eastAsia" w:ascii="宋体" w:hAnsi="宋体" w:eastAsia="宋体" w:cs="彩虹粗仿宋"/>
                <w:kern w:val="0"/>
                <w:sz w:val="28"/>
                <w:szCs w:val="28"/>
              </w:rPr>
            </w:pPr>
          </w:p>
        </w:tc>
        <w:tc>
          <w:tcPr>
            <w:tcW w:w="1110" w:type="dxa"/>
            <w:vMerge w:val="continue"/>
            <w:vAlign w:val="center"/>
          </w:tcPr>
          <w:p>
            <w:pPr>
              <w:jc w:val="center"/>
              <w:rPr>
                <w:rFonts w:hint="eastAsia" w:ascii="宋体" w:hAnsi="宋体" w:eastAsia="宋体" w:cs="彩虹粗仿宋"/>
                <w:kern w:val="0"/>
                <w:sz w:val="28"/>
                <w:szCs w:val="28"/>
              </w:rPr>
            </w:pPr>
          </w:p>
        </w:tc>
        <w:tc>
          <w:tcPr>
            <w:tcW w:w="1100" w:type="dxa"/>
            <w:vMerge w:val="continue"/>
            <w:vAlign w:val="center"/>
          </w:tcPr>
          <w:p>
            <w:pPr>
              <w:jc w:val="center"/>
              <w:rPr>
                <w:rFonts w:hint="eastAsia" w:ascii="宋体" w:hAnsi="宋体" w:eastAsia="宋体" w:cs="彩虹粗仿宋"/>
                <w:kern w:val="0"/>
                <w:sz w:val="28"/>
                <w:szCs w:val="28"/>
              </w:rPr>
            </w:pPr>
          </w:p>
        </w:tc>
        <w:tc>
          <w:tcPr>
            <w:tcW w:w="1260" w:type="dxa"/>
            <w:vMerge w:val="continue"/>
            <w:vAlign w:val="center"/>
          </w:tcPr>
          <w:p>
            <w:pPr>
              <w:jc w:val="center"/>
              <w:rPr>
                <w:rFonts w:hint="eastAsia" w:ascii="宋体" w:hAnsi="宋体" w:eastAsia="宋体" w:cs="彩虹粗仿宋"/>
                <w:kern w:val="0"/>
                <w:sz w:val="24"/>
                <w:szCs w:val="24"/>
              </w:rPr>
            </w:pPr>
          </w:p>
        </w:tc>
        <w:tc>
          <w:tcPr>
            <w:tcW w:w="3340" w:type="dxa"/>
            <w:vAlign w:val="center"/>
          </w:tcPr>
          <w:p>
            <w:pPr>
              <w:widowControl/>
              <w:jc w:val="left"/>
              <w:textAlignment w:val="center"/>
              <w:rPr>
                <w:rFonts w:hint="eastAsia" w:ascii="宋体" w:hAnsi="宋体" w:eastAsia="宋体" w:cs="彩虹粗仿宋"/>
                <w:kern w:val="0"/>
                <w:sz w:val="24"/>
                <w:szCs w:val="24"/>
              </w:rPr>
            </w:pPr>
            <w:r>
              <w:rPr>
                <w:rFonts w:hint="eastAsia" w:ascii="宋体" w:hAnsi="宋体" w:eastAsia="宋体" w:cs="彩虹粗仿宋"/>
                <w:color w:val="000000"/>
                <w:kern w:val="0"/>
                <w:sz w:val="24"/>
                <w:szCs w:val="24"/>
                <w:lang w:bidi="ar"/>
              </w:rPr>
              <w:t>角色权限分配</w:t>
            </w:r>
          </w:p>
        </w:tc>
        <w:tc>
          <w:tcPr>
            <w:tcW w:w="1110" w:type="dxa"/>
            <w:vMerge w:val="continue"/>
            <w:vAlign w:val="center"/>
          </w:tcPr>
          <w:p>
            <w:pPr>
              <w:jc w:val="center"/>
              <w:rPr>
                <w:rFonts w:hint="eastAsia" w:ascii="宋体" w:hAnsi="宋体" w:eastAsia="宋体" w:cs="彩虹粗仿宋"/>
                <w:kern w:val="0"/>
                <w:sz w:val="28"/>
                <w:szCs w:val="28"/>
              </w:rPr>
            </w:pPr>
          </w:p>
        </w:tc>
      </w:tr>
    </w:tbl>
    <w:p/>
    <w:p>
      <w:pPr>
        <w:pStyle w:val="2"/>
        <w:spacing w:before="120" w:after="120"/>
        <w:ind w:firstLine="562" w:firstLineChars="200"/>
        <w:rPr>
          <w:rFonts w:hint="eastAsia" w:ascii="宋体" w:hAnsi="宋体" w:eastAsia="宋体" w:cs="彩虹粗仿宋"/>
          <w:b/>
          <w:bCs/>
          <w:color w:val="auto"/>
          <w:sz w:val="28"/>
        </w:rPr>
      </w:pPr>
      <w:r>
        <w:rPr>
          <w:rFonts w:hint="eastAsia" w:ascii="宋体" w:hAnsi="宋体" w:eastAsia="宋体" w:cs="彩虹粗仿宋"/>
          <w:b/>
          <w:bCs/>
          <w:color w:val="auto"/>
          <w:sz w:val="28"/>
        </w:rPr>
        <w:t>三、项目服务进度要求及其他实施要求</w:t>
      </w:r>
    </w:p>
    <w:p>
      <w:pPr>
        <w:pStyle w:val="38"/>
        <w:snapToGrid w:val="0"/>
        <w:spacing w:line="560" w:lineRule="exact"/>
        <w:ind w:firstLine="562"/>
        <w:rPr>
          <w:rFonts w:hint="eastAsia" w:ascii="宋体" w:hAnsi="宋体" w:eastAsia="宋体" w:cs="彩虹粗仿宋"/>
          <w:b/>
          <w:bCs/>
          <w:sz w:val="28"/>
          <w:szCs w:val="28"/>
        </w:rPr>
      </w:pPr>
      <w:r>
        <w:rPr>
          <w:rFonts w:hint="eastAsia" w:ascii="宋体" w:hAnsi="宋体" w:eastAsia="宋体" w:cs="彩虹粗仿宋"/>
          <w:b/>
          <w:bCs/>
          <w:sz w:val="28"/>
          <w:szCs w:val="28"/>
        </w:rPr>
        <w:t>1.项目工期</w:t>
      </w:r>
    </w:p>
    <w:p>
      <w:pPr>
        <w:pStyle w:val="38"/>
        <w:snapToGrid w:val="0"/>
        <w:spacing w:line="560" w:lineRule="exact"/>
        <w:ind w:firstLine="560"/>
        <w:rPr>
          <w:rFonts w:hint="eastAsia" w:ascii="宋体" w:hAnsi="宋体" w:eastAsia="宋体" w:cs="彩虹粗仿宋"/>
          <w:sz w:val="28"/>
          <w:szCs w:val="28"/>
        </w:rPr>
      </w:pPr>
      <w:r>
        <w:rPr>
          <w:rFonts w:hint="eastAsia" w:ascii="宋体" w:hAnsi="宋体" w:eastAsia="宋体" w:cs="彩虹粗仿宋"/>
          <w:sz w:val="28"/>
          <w:szCs w:val="28"/>
        </w:rPr>
        <w:t>在合同签订后30日内完成硬件到货；在60日内完成设备的调试安装、软件实施等工作，并对相关人员完成技术培训，具备试运行条件后进行初步验收；</w:t>
      </w:r>
    </w:p>
    <w:p>
      <w:pPr>
        <w:pStyle w:val="38"/>
        <w:snapToGrid w:val="0"/>
        <w:spacing w:line="560" w:lineRule="exact"/>
        <w:ind w:firstLine="562"/>
        <w:rPr>
          <w:rFonts w:hint="eastAsia" w:ascii="宋体" w:hAnsi="宋体" w:eastAsia="宋体" w:cs="彩虹粗仿宋"/>
          <w:b/>
          <w:bCs/>
          <w:sz w:val="28"/>
          <w:szCs w:val="28"/>
        </w:rPr>
      </w:pPr>
      <w:r>
        <w:rPr>
          <w:rFonts w:hint="eastAsia" w:ascii="宋体" w:hAnsi="宋体" w:eastAsia="宋体" w:cs="彩虹粗仿宋"/>
          <w:b/>
          <w:bCs/>
          <w:sz w:val="28"/>
          <w:szCs w:val="28"/>
        </w:rPr>
        <w:t>2.项目实施人员</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投标方应组建执行团队，该团队除项目经理外，还需配备项目技术经理，负责统筹项目技术对接，并需安排专业的信息安全保障人员，以确保项目信息的安全得到妥善处理。</w:t>
      </w:r>
    </w:p>
    <w:p>
      <w:pPr>
        <w:pStyle w:val="38"/>
        <w:snapToGrid w:val="0"/>
        <w:spacing w:line="560" w:lineRule="exact"/>
        <w:ind w:firstLine="562"/>
        <w:rPr>
          <w:rFonts w:hint="eastAsia" w:ascii="宋体" w:hAnsi="宋体" w:eastAsia="宋体" w:cs="彩虹粗仿宋"/>
          <w:b/>
          <w:bCs/>
          <w:sz w:val="28"/>
          <w:szCs w:val="28"/>
        </w:rPr>
      </w:pPr>
      <w:r>
        <w:rPr>
          <w:rFonts w:hint="eastAsia" w:ascii="宋体" w:hAnsi="宋体" w:eastAsia="宋体" w:cs="彩虹粗仿宋"/>
          <w:b/>
          <w:bCs/>
          <w:sz w:val="28"/>
          <w:szCs w:val="28"/>
        </w:rPr>
        <w:t>3.系统扩展性、延续性</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技术构架设计，系统功能设计应符合智慧服务规范要求，具备智慧服务评级要求的扩展能力。</w:t>
      </w:r>
    </w:p>
    <w:p>
      <w:pPr>
        <w:pStyle w:val="38"/>
        <w:snapToGrid w:val="0"/>
        <w:spacing w:line="560" w:lineRule="exact"/>
        <w:ind w:firstLine="562"/>
        <w:rPr>
          <w:rFonts w:hint="eastAsia" w:ascii="宋体" w:hAnsi="宋体" w:eastAsia="宋体" w:cs="彩虹粗仿宋"/>
          <w:b/>
          <w:bCs/>
          <w:sz w:val="28"/>
          <w:szCs w:val="28"/>
        </w:rPr>
      </w:pPr>
      <w:r>
        <w:rPr>
          <w:rFonts w:hint="eastAsia" w:ascii="宋体" w:hAnsi="宋体" w:eastAsia="宋体" w:cs="彩虹粗仿宋"/>
          <w:b/>
          <w:bCs/>
          <w:sz w:val="28"/>
          <w:szCs w:val="28"/>
        </w:rPr>
        <w:t>4.系统集成与运维要求</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投标人在进行方案设计，系统集成及使用云服务的过程中，应高度重视安全管理，严格遵守信息系统集成安全及云服务管理的相关标准，以保障项目相关方的信息安全。在项目运维阶段，必须确保信息安全,遵循信息安全应急处理标准，同时建立标准化的运维流程和工具，例如事件相应机制和配置管理，遵循信息技术服务标准规范。</w:t>
      </w:r>
    </w:p>
    <w:p>
      <w:pPr>
        <w:pStyle w:val="2"/>
        <w:spacing w:before="120" w:after="120"/>
        <w:ind w:firstLine="562" w:firstLineChars="200"/>
        <w:rPr>
          <w:rFonts w:hint="eastAsia" w:ascii="宋体" w:hAnsi="宋体" w:eastAsia="宋体" w:cs="彩虹粗仿宋"/>
          <w:b/>
          <w:bCs/>
          <w:color w:val="auto"/>
          <w:sz w:val="28"/>
        </w:rPr>
      </w:pPr>
      <w:r>
        <w:rPr>
          <w:rFonts w:hint="eastAsia" w:ascii="宋体" w:hAnsi="宋体" w:eastAsia="宋体" w:cs="彩虹粗仿宋"/>
          <w:b/>
          <w:bCs/>
          <w:color w:val="auto"/>
          <w:sz w:val="28"/>
        </w:rPr>
        <w:t>四、项目服务过程的责任鉴定要求、验收标准等</w:t>
      </w:r>
    </w:p>
    <w:p>
      <w:pPr>
        <w:ind w:firstLine="562" w:firstLineChars="200"/>
        <w:rPr>
          <w:rFonts w:hint="eastAsia" w:ascii="宋体" w:hAnsi="宋体" w:eastAsia="宋体" w:cs="彩虹粗仿宋"/>
          <w:sz w:val="28"/>
          <w:szCs w:val="28"/>
        </w:rPr>
      </w:pPr>
      <w:r>
        <w:rPr>
          <w:rFonts w:hint="eastAsia" w:ascii="宋体" w:hAnsi="宋体" w:eastAsia="宋体" w:cs="彩虹粗仿宋"/>
          <w:b/>
          <w:bCs/>
          <w:sz w:val="28"/>
          <w:szCs w:val="28"/>
        </w:rPr>
        <w:t>（1）职责</w:t>
      </w:r>
    </w:p>
    <w:p>
      <w:pPr>
        <w:spacing w:line="560" w:lineRule="exact"/>
        <w:ind w:firstLine="562" w:firstLineChars="200"/>
        <w:rPr>
          <w:rFonts w:hint="eastAsia" w:ascii="宋体" w:hAnsi="宋体" w:eastAsia="宋体" w:cs="彩虹粗仿宋"/>
          <w:sz w:val="28"/>
          <w:szCs w:val="28"/>
        </w:rPr>
      </w:pPr>
      <w:r>
        <w:rPr>
          <w:rFonts w:hint="eastAsia" w:ascii="宋体" w:hAnsi="宋体" w:eastAsia="宋体" w:cs="彩虹粗仿宋"/>
          <w:b/>
          <w:bCs/>
          <w:sz w:val="28"/>
          <w:szCs w:val="28"/>
        </w:rPr>
        <w:t>医院：</w:t>
      </w:r>
      <w:r>
        <w:rPr>
          <w:rFonts w:hint="eastAsia" w:ascii="宋体" w:hAnsi="宋体" w:eastAsia="宋体" w:cs="彩虹粗仿宋"/>
          <w:sz w:val="28"/>
          <w:szCs w:val="28"/>
        </w:rPr>
        <w:t>设备部署位置、配套自助设备的强弱电、服务器资源、网络资源（包括IP地址）、设备准入、业务系统厂商接口协调、业务流程确定；</w:t>
      </w:r>
    </w:p>
    <w:p>
      <w:pPr>
        <w:spacing w:line="560" w:lineRule="exact"/>
        <w:ind w:firstLine="562" w:firstLineChars="200"/>
        <w:rPr>
          <w:rFonts w:hint="eastAsia" w:ascii="宋体" w:hAnsi="宋体" w:eastAsia="宋体" w:cs="彩虹粗仿宋"/>
          <w:color w:val="FF0000"/>
          <w:sz w:val="28"/>
          <w:szCs w:val="28"/>
        </w:rPr>
      </w:pPr>
      <w:r>
        <w:rPr>
          <w:rFonts w:hint="eastAsia" w:ascii="宋体" w:hAnsi="宋体" w:eastAsia="宋体" w:cs="彩虹粗仿宋"/>
          <w:b/>
          <w:bCs/>
          <w:sz w:val="28"/>
          <w:szCs w:val="28"/>
        </w:rPr>
        <w:t>供应商：</w:t>
      </w:r>
      <w:r>
        <w:rPr>
          <w:rFonts w:hint="eastAsia" w:ascii="宋体" w:hAnsi="宋体" w:eastAsia="宋体" w:cs="彩虹粗仿宋"/>
          <w:sz w:val="28"/>
          <w:szCs w:val="28"/>
        </w:rPr>
        <w:t>负责所有自助设备和配套软件的安装、调试、优化、售后服务；</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此项目软件对接过程中牵涉到第三方公司产生接口费用由供应商负责；合同期内免费提供第三方业务对接，包括不限于以下业务。如：HIS、医保接口、排队叫号签到、查询、打印，交费、报告打印等接口。保障自助机实现以上接口业务。</w:t>
      </w:r>
    </w:p>
    <w:p>
      <w:pPr>
        <w:ind w:firstLine="562" w:firstLineChars="200"/>
        <w:rPr>
          <w:rFonts w:hint="eastAsia" w:ascii="宋体" w:hAnsi="宋体" w:eastAsia="宋体" w:cs="彩虹粗仿宋"/>
          <w:b/>
          <w:bCs/>
          <w:sz w:val="28"/>
          <w:szCs w:val="28"/>
        </w:rPr>
      </w:pPr>
      <w:r>
        <w:rPr>
          <w:rFonts w:hint="eastAsia" w:ascii="宋体" w:hAnsi="宋体" w:eastAsia="宋体" w:cs="彩虹粗仿宋"/>
          <w:b/>
          <w:bCs/>
          <w:sz w:val="28"/>
          <w:szCs w:val="28"/>
        </w:rPr>
        <w:t>（2）验收</w:t>
      </w:r>
    </w:p>
    <w:p>
      <w:pPr>
        <w:tabs>
          <w:tab w:val="left" w:pos="992"/>
        </w:tabs>
        <w:snapToGrid w:val="0"/>
        <w:spacing w:line="560" w:lineRule="exact"/>
        <w:ind w:firstLine="560" w:firstLineChars="200"/>
        <w:rPr>
          <w:rFonts w:ascii="宋体" w:hAnsi="宋体" w:eastAsia="宋体" w:cs="彩虹粗仿宋"/>
          <w:sz w:val="28"/>
          <w:szCs w:val="28"/>
        </w:rPr>
      </w:pPr>
      <w:r>
        <w:rPr>
          <w:rFonts w:hint="eastAsia" w:ascii="宋体" w:hAnsi="宋体" w:eastAsia="宋体" w:cs="彩虹粗仿宋"/>
          <w:sz w:val="28"/>
          <w:szCs w:val="28"/>
        </w:rPr>
        <w:t xml:space="preserve">项目验收需由医院、供应商、我行相关人员进行。自助设备到货并安装完毕后，供应商书面通知我行进行验收。验收合格，签署验收报告。如验收不合格，供应商应当立即采取措施纠正不符之处。若因供应商未在原定的服务完成期限内完成验收合格的，由供应商承担逾期违约责任。 </w:t>
      </w:r>
    </w:p>
    <w:p>
      <w:pPr>
        <w:tabs>
          <w:tab w:val="left" w:pos="992"/>
        </w:tabs>
        <w:snapToGrid w:val="0"/>
        <w:spacing w:line="560" w:lineRule="exact"/>
        <w:ind w:firstLine="560" w:firstLineChars="200"/>
        <w:rPr>
          <w:rFonts w:hint="eastAsia" w:ascii="宋体" w:hAnsi="宋体" w:eastAsia="宋体" w:cs="彩虹粗仿宋"/>
          <w:sz w:val="28"/>
          <w:szCs w:val="28"/>
        </w:rPr>
      </w:pPr>
    </w:p>
    <w:p>
      <w:pPr>
        <w:pStyle w:val="2"/>
        <w:spacing w:before="120" w:after="120"/>
        <w:ind w:firstLine="562" w:firstLineChars="200"/>
        <w:rPr>
          <w:rFonts w:hint="eastAsia" w:ascii="宋体" w:hAnsi="宋体" w:eastAsia="宋体" w:cs="彩虹粗仿宋"/>
          <w:b/>
          <w:bCs/>
          <w:color w:val="auto"/>
          <w:sz w:val="28"/>
        </w:rPr>
      </w:pPr>
      <w:r>
        <w:rPr>
          <w:rFonts w:hint="eastAsia" w:ascii="宋体" w:hAnsi="宋体" w:eastAsia="宋体" w:cs="彩虹粗仿宋"/>
          <w:b/>
          <w:bCs/>
          <w:color w:val="auto"/>
          <w:sz w:val="28"/>
        </w:rPr>
        <w:t>五、培训要求</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1.由供应商负责技术和保养培训、技术培训，承担售后服务，并出具相关材料。提供相应的培训计划，包括设备操作、应用培训及维修维护培训，详细说明培训的方式、内容、地点、人数、时间等实质性内容。</w:t>
      </w:r>
    </w:p>
    <w:p>
      <w:pPr>
        <w:spacing w:line="560" w:lineRule="exact"/>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2.供应商应对用户的指定人员提供培训，使其能对设备进行日常的维护保养及能对一般故障进行维修，并向培训人员提供维修图纸及维修手册、维修密码及软件备份。</w:t>
      </w:r>
    </w:p>
    <w:p>
      <w:pPr>
        <w:spacing w:line="560" w:lineRule="exact"/>
        <w:ind w:firstLine="560" w:firstLineChars="200"/>
        <w:rPr>
          <w:rFonts w:ascii="宋体" w:hAnsi="宋体" w:eastAsia="宋体" w:cs="彩虹粗仿宋"/>
          <w:sz w:val="28"/>
          <w:szCs w:val="28"/>
        </w:rPr>
      </w:pPr>
      <w:r>
        <w:rPr>
          <w:rFonts w:hint="eastAsia" w:ascii="宋体" w:hAnsi="宋体" w:eastAsia="宋体" w:cs="彩虹粗仿宋"/>
          <w:sz w:val="28"/>
          <w:szCs w:val="28"/>
        </w:rPr>
        <w:t>3.供应商应对用户的操作人员进行操作培训，使其能对设备进行熟练的操作。</w:t>
      </w:r>
    </w:p>
    <w:p>
      <w:pPr>
        <w:spacing w:line="560" w:lineRule="exact"/>
        <w:ind w:firstLine="560" w:firstLineChars="200"/>
        <w:rPr>
          <w:rFonts w:hint="eastAsia" w:ascii="宋体" w:hAnsi="宋体" w:eastAsia="宋体" w:cs="彩虹粗仿宋"/>
          <w:sz w:val="28"/>
          <w:szCs w:val="28"/>
        </w:rPr>
      </w:pPr>
    </w:p>
    <w:p>
      <w:pPr>
        <w:pStyle w:val="2"/>
        <w:spacing w:before="120" w:after="120"/>
        <w:ind w:firstLine="562" w:firstLineChars="200"/>
        <w:rPr>
          <w:rFonts w:hint="eastAsia" w:ascii="宋体" w:hAnsi="宋体" w:eastAsia="宋体" w:cs="彩虹粗仿宋"/>
          <w:b/>
          <w:bCs/>
          <w:color w:val="auto"/>
          <w:sz w:val="28"/>
        </w:rPr>
      </w:pPr>
      <w:r>
        <w:rPr>
          <w:rFonts w:hint="eastAsia" w:ascii="宋体" w:hAnsi="宋体" w:eastAsia="宋体" w:cs="彩虹粗仿宋"/>
          <w:b/>
          <w:bCs/>
          <w:color w:val="auto"/>
          <w:sz w:val="28"/>
        </w:rPr>
        <w:t>六、技术支持和保修服务要求</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(一)技术支持</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(1)中标人负责所供设备、软件的安装、调试及上线。</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(2)设备、软件的安装、调试所需的工具、仪表及安装材料等应由中标人自行解决</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(3)中标人在实施前提供详细的实施方案，并提交招标人认可。中标人应根据招标人的需要，在规定的时间内，保证质量，完成项目交付。实施过程中应科学、合理地掌握与其他工作界面的协调、交叉。</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(二)服务要求</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(1)软硬件提供至少5年的免费质保服务及维保服务</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(2)项目维保:内容包括但不限于设备维修、配套系统维护等，所免费用包含但不限于维修费、人工费、配件费差旅费等。中标人须设有维修服务电话，中标人在接到售后服务热线后，应立即做出回应，并在承诺的服务时间内实施服务，包括设备维修、系统维护升级、故障排除、性能调优、技术咨询等。如货物出现故障，电话响应无法解决，中标人必须在接报修电话0.5小时内技术响应，遇重大问题8小时内现场响应。</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(3)质保期满后，应提供优先的有偿售后服务并按不高于当下市场价格供应设备零配件。</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(4)软件支持:保修期内，中标人免费为招标人提供软件维护、软件升级(小版本)、补丁程序和软件兼容性问题的技术支持服务，确保设备软件系统正常运行。在质保期内由于国家政策变更需配合接口开发的予以免费支持(不含第三方系统的接口，仅限自助机系统端的调整开发)。质保期外免费提供影响软件正常运行的 BUG 修复升级服务，提供免费电话咨询服务，低于市场价优惠提供跨版本升级服委</w:t>
      </w:r>
    </w:p>
    <w:p>
      <w:pPr>
        <w:ind w:firstLine="560" w:firstLineChars="200"/>
        <w:rPr>
          <w:rFonts w:ascii="宋体" w:hAnsi="宋体" w:eastAsia="宋体" w:cs="彩虹粗仿宋"/>
          <w:sz w:val="28"/>
          <w:szCs w:val="28"/>
        </w:rPr>
      </w:pPr>
      <w:r>
        <w:rPr>
          <w:rFonts w:hint="eastAsia" w:ascii="宋体" w:hAnsi="宋体" w:eastAsia="宋体" w:cs="彩虹粗仿宋"/>
          <w:sz w:val="28"/>
          <w:szCs w:val="28"/>
        </w:rPr>
        <w:t>(5)供应商需定期回访客户，定期进行系统检测，提供每半年1次的巡检服务，每年对相关系统运行提供运行检测和优化报告。</w:t>
      </w:r>
    </w:p>
    <w:p>
      <w:pPr>
        <w:ind w:firstLine="560" w:firstLineChars="200"/>
        <w:rPr>
          <w:rFonts w:hint="eastAsia" w:ascii="宋体" w:hAnsi="宋体" w:eastAsia="宋体" w:cs="彩虹粗仿宋"/>
          <w:sz w:val="28"/>
          <w:szCs w:val="28"/>
        </w:rPr>
      </w:pPr>
    </w:p>
    <w:p>
      <w:pPr>
        <w:pStyle w:val="2"/>
        <w:spacing w:before="120" w:after="120"/>
        <w:ind w:firstLine="562" w:firstLineChars="200"/>
        <w:rPr>
          <w:rFonts w:hint="eastAsia" w:ascii="宋体" w:hAnsi="宋体" w:eastAsia="宋体" w:cs="彩虹粗仿宋"/>
          <w:b/>
          <w:bCs/>
          <w:color w:val="auto"/>
          <w:sz w:val="28"/>
        </w:rPr>
      </w:pPr>
      <w:r>
        <w:rPr>
          <w:rFonts w:hint="eastAsia" w:ascii="宋体" w:hAnsi="宋体" w:eastAsia="宋体" w:cs="彩虹粗仿宋"/>
          <w:b/>
          <w:bCs/>
          <w:color w:val="auto"/>
          <w:sz w:val="28"/>
        </w:rPr>
        <w:t>七、报价及款项支付要求</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报价必须按含税价进行报价，报价已包含本项目实施所有环节中涉及的全部相关费用，供应商承担遗漏的所有费用，我行不再支付其他任何费用。</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此项目报价包含“业务延伸类-固定资产”、“业务延伸类-软件”。</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（一）硬件（资本性）合同付款方式：</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（1）合同生效：合同签订生效后10个工作日内，向供应商支付合同（含税）总价款的30%；</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（2）设备安装完成：设备到货、系统调试完成加电测试正常后10个工作日内，向供应商支付合同（含税）总价款的30%；</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（3）稳定运行：设备稳定运行2个月后10个工作日内向供应商支付合同（含税）总价款的30%；</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（4）质保金：5年质保期满后的10个工作日内向供应商一次性付清剩余10%的质保金；</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（二）软件（资本性）合同付款方式：</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（1）合同生效：合同签订生效后10个工作日内，向供应商支付合同（含税）总价款的30%；</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（2）系统上线：系统安装调试完成且项目验收合格后10个工作日内，向供应商支付合同总（含税）价款的30%；</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（3）稳定运行：系统稳定运行2个月后10个工作日内向供应商支付合同（含税）总价款的30%；</w:t>
      </w:r>
    </w:p>
    <w:p>
      <w:pPr>
        <w:ind w:firstLine="560" w:firstLineChars="200"/>
        <w:rPr>
          <w:rFonts w:hint="eastAsia" w:ascii="宋体" w:hAnsi="宋体" w:eastAsia="宋体" w:cs="彩虹粗仿宋"/>
          <w:sz w:val="28"/>
          <w:szCs w:val="28"/>
        </w:rPr>
      </w:pPr>
      <w:r>
        <w:rPr>
          <w:rFonts w:hint="eastAsia" w:ascii="宋体" w:hAnsi="宋体" w:eastAsia="宋体" w:cs="彩虹粗仿宋"/>
          <w:sz w:val="28"/>
          <w:szCs w:val="28"/>
        </w:rPr>
        <w:t>（4）质保金：5年质保期满后的10个工作日内向供应商一次性付清剩余10%的质保金；</w:t>
      </w:r>
    </w:p>
    <w:p>
      <w:pPr>
        <w:ind w:firstLine="560" w:firstLineChars="200"/>
        <w:rPr>
          <w:rFonts w:hint="eastAsia" w:ascii="宋体" w:hAnsi="宋体" w:eastAsia="宋体"/>
        </w:rPr>
      </w:pPr>
      <w:r>
        <w:rPr>
          <w:rFonts w:hint="eastAsia" w:ascii="宋体" w:hAnsi="宋体" w:eastAsia="宋体" w:cs="彩虹粗仿宋"/>
          <w:sz w:val="28"/>
          <w:szCs w:val="28"/>
        </w:rPr>
        <w:t>（三）本项目供应商应为招标人开具</w:t>
      </w:r>
      <w:bookmarkStart w:id="0" w:name="_GoBack"/>
      <w:bookmarkEnd w:id="0"/>
      <w:r>
        <w:rPr>
          <w:rFonts w:hint="eastAsia" w:ascii="宋体" w:hAnsi="宋体" w:eastAsia="宋体" w:cs="彩虹粗仿宋"/>
          <w:sz w:val="28"/>
          <w:szCs w:val="28"/>
        </w:rPr>
        <w:t>增值税专用发票，如为小规模纳税人，则按企业实际税率开具增值税专用发票，但须提供小规模纳税人证明文件。</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彩虹粗仿宋">
    <w:panose1 w:val="03000509000000000000"/>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2C92"/>
    <w:rsid w:val="000E64B1"/>
    <w:rsid w:val="002253A4"/>
    <w:rsid w:val="00341279"/>
    <w:rsid w:val="003462C2"/>
    <w:rsid w:val="00630D18"/>
    <w:rsid w:val="00800AD0"/>
    <w:rsid w:val="008C3230"/>
    <w:rsid w:val="00975435"/>
    <w:rsid w:val="009C577A"/>
    <w:rsid w:val="00BF393A"/>
    <w:rsid w:val="00C3544F"/>
    <w:rsid w:val="00E05E8A"/>
    <w:rsid w:val="00ED2C92"/>
    <w:rsid w:val="03A53A63"/>
    <w:rsid w:val="073D1FEE"/>
    <w:rsid w:val="1EC31F86"/>
    <w:rsid w:val="21F326D4"/>
    <w:rsid w:val="35571E25"/>
    <w:rsid w:val="386777E3"/>
    <w:rsid w:val="48AE19A3"/>
    <w:rsid w:val="4B35476F"/>
    <w:rsid w:val="4C317A95"/>
    <w:rsid w:val="54342B34"/>
    <w:rsid w:val="5E9033B3"/>
    <w:rsid w:val="6011510B"/>
    <w:rsid w:val="63D538F9"/>
    <w:rsid w:val="648D7E85"/>
    <w:rsid w:val="6A21622D"/>
    <w:rsid w:val="6A865F51"/>
    <w:rsid w:val="77ED5DA0"/>
    <w:rsid w:val="7D5C03E3"/>
    <w:rsid w:val="CDD9F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Theme="minorHAnsi" w:hAnsiTheme="minorHAnsi" w:eastAsiaTheme="minorEastAsia" w:cstheme="minorBidi"/>
      <w:kern w:val="2"/>
      <w:sz w:val="21"/>
      <w:szCs w:val="22"/>
      <w:lang w:val="en-US" w:eastAsia="zh-CN" w:bidi="ar-SA"/>
      <w14:ligatures w14:val="none"/>
    </w:rPr>
  </w:style>
  <w:style w:type="paragraph" w:styleId="2">
    <w:name w:val="heading 1"/>
    <w:basedOn w:val="1"/>
    <w:next w:val="1"/>
    <w:link w:val="18"/>
    <w:qFormat/>
    <w:uiPriority w:val="0"/>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9"/>
    <w:semiHidden/>
    <w:unhideWhenUsed/>
    <w:qFormat/>
    <w:uiPriority w:val="0"/>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20"/>
    <w:semiHidden/>
    <w:unhideWhenUsed/>
    <w:qFormat/>
    <w:uiPriority w:val="0"/>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1"/>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2"/>
    <w:semiHidden/>
    <w:unhideWhenUsed/>
    <w:qFormat/>
    <w:uiPriority w:val="9"/>
    <w:pPr>
      <w:keepNext/>
      <w:keepLines/>
      <w:spacing w:before="80" w:after="40"/>
      <w:outlineLvl w:val="4"/>
    </w:pPr>
    <w:rPr>
      <w:rFonts w:cstheme="majorBidi"/>
      <w:color w:val="2F5597" w:themeColor="accent1" w:themeShade="BF"/>
      <w:sz w:val="24"/>
    </w:rPr>
  </w:style>
  <w:style w:type="paragraph" w:styleId="7">
    <w:name w:val="heading 6"/>
    <w:basedOn w:val="1"/>
    <w:next w:val="1"/>
    <w:link w:val="23"/>
    <w:semiHidden/>
    <w:unhideWhenUsed/>
    <w:qFormat/>
    <w:uiPriority w:val="9"/>
    <w:pPr>
      <w:keepNext/>
      <w:keepLines/>
      <w:spacing w:before="40"/>
      <w:outlineLvl w:val="5"/>
    </w:pPr>
    <w:rPr>
      <w:rFonts w:cstheme="majorBidi"/>
      <w:b/>
      <w:bCs/>
      <w:color w:val="2F5597" w:themeColor="accent1" w:themeShade="BF"/>
    </w:rPr>
  </w:style>
  <w:style w:type="paragraph" w:styleId="8">
    <w:name w:val="heading 7"/>
    <w:basedOn w:val="1"/>
    <w:next w:val="1"/>
    <w:link w:val="24"/>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6"/>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7"/>
    <w:unhideWhenUsed/>
    <w:qFormat/>
    <w:uiPriority w:val="99"/>
    <w:pPr>
      <w:tabs>
        <w:tab w:val="center" w:pos="4153"/>
        <w:tab w:val="right" w:pos="8306"/>
      </w:tabs>
      <w:snapToGrid w:val="0"/>
    </w:pPr>
    <w:rPr>
      <w:sz w:val="18"/>
      <w:szCs w:val="18"/>
    </w:rPr>
  </w:style>
  <w:style w:type="paragraph" w:styleId="12">
    <w:name w:val="header"/>
    <w:basedOn w:val="1"/>
    <w:link w:val="36"/>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8"/>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7"/>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16">
    <w:name w:val="Table Grid"/>
    <w:basedOn w:val="15"/>
    <w:qFormat/>
    <w:uiPriority w:val="0"/>
    <w:pPr>
      <w:widowControl w:val="0"/>
      <w:spacing w:after="0" w:line="240" w:lineRule="auto"/>
      <w:jc w:val="both"/>
    </w:pPr>
    <w:rPr>
      <w:rFonts w:ascii="Times New Roman" w:hAnsi="Times New Roman" w:eastAsia="宋体" w:cs="Times New Roman"/>
      <w:kern w:val="0"/>
      <w:sz w:val="20"/>
      <w:szCs w:val="2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8">
    <w:name w:val="标题 1 字符"/>
    <w:basedOn w:val="17"/>
    <w:link w:val="2"/>
    <w:qFormat/>
    <w:uiPriority w:val="9"/>
    <w:rPr>
      <w:rFonts w:asciiTheme="majorHAnsi" w:hAnsiTheme="majorHAnsi" w:eastAsiaTheme="majorEastAsia" w:cstheme="majorBidi"/>
      <w:color w:val="2F5597" w:themeColor="accent1" w:themeShade="BF"/>
      <w:sz w:val="48"/>
      <w:szCs w:val="48"/>
    </w:rPr>
  </w:style>
  <w:style w:type="character" w:customStyle="1" w:styleId="19">
    <w:name w:val="标题 2 字符"/>
    <w:basedOn w:val="17"/>
    <w:link w:val="3"/>
    <w:semiHidden/>
    <w:qFormat/>
    <w:uiPriority w:val="9"/>
    <w:rPr>
      <w:rFonts w:asciiTheme="majorHAnsi" w:hAnsiTheme="majorHAnsi" w:eastAsiaTheme="majorEastAsia" w:cstheme="majorBidi"/>
      <w:color w:val="2F5597" w:themeColor="accent1" w:themeShade="BF"/>
      <w:sz w:val="40"/>
      <w:szCs w:val="40"/>
    </w:rPr>
  </w:style>
  <w:style w:type="character" w:customStyle="1" w:styleId="20">
    <w:name w:val="标题 3 字符"/>
    <w:basedOn w:val="17"/>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21">
    <w:name w:val="标题 4 字符"/>
    <w:basedOn w:val="17"/>
    <w:link w:val="5"/>
    <w:semiHidden/>
    <w:qFormat/>
    <w:uiPriority w:val="9"/>
    <w:rPr>
      <w:rFonts w:cstheme="majorBidi"/>
      <w:color w:val="2F5597" w:themeColor="accent1" w:themeShade="BF"/>
      <w:sz w:val="28"/>
      <w:szCs w:val="28"/>
    </w:rPr>
  </w:style>
  <w:style w:type="character" w:customStyle="1" w:styleId="22">
    <w:name w:val="标题 5 字符"/>
    <w:basedOn w:val="17"/>
    <w:link w:val="6"/>
    <w:semiHidden/>
    <w:qFormat/>
    <w:uiPriority w:val="9"/>
    <w:rPr>
      <w:rFonts w:cstheme="majorBidi"/>
      <w:color w:val="2F5597" w:themeColor="accent1" w:themeShade="BF"/>
      <w:sz w:val="24"/>
    </w:rPr>
  </w:style>
  <w:style w:type="character" w:customStyle="1" w:styleId="23">
    <w:name w:val="标题 6 字符"/>
    <w:basedOn w:val="17"/>
    <w:link w:val="7"/>
    <w:semiHidden/>
    <w:qFormat/>
    <w:uiPriority w:val="9"/>
    <w:rPr>
      <w:rFonts w:cstheme="majorBidi"/>
      <w:b/>
      <w:bCs/>
      <w:color w:val="2F5597" w:themeColor="accent1" w:themeShade="BF"/>
    </w:rPr>
  </w:style>
  <w:style w:type="character" w:customStyle="1" w:styleId="24">
    <w:name w:val="标题 7 字符"/>
    <w:basedOn w:val="1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5">
    <w:name w:val="标题 8 字符"/>
    <w:basedOn w:val="1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6">
    <w:name w:val="标题 9 字符"/>
    <w:basedOn w:val="17"/>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7">
    <w:name w:val="标题 字符"/>
    <w:basedOn w:val="17"/>
    <w:link w:val="14"/>
    <w:qFormat/>
    <w:uiPriority w:val="10"/>
    <w:rPr>
      <w:rFonts w:asciiTheme="majorHAnsi" w:hAnsiTheme="majorHAnsi" w:eastAsiaTheme="majorEastAsia" w:cstheme="majorBidi"/>
      <w:spacing w:val="-10"/>
      <w:kern w:val="28"/>
      <w:sz w:val="56"/>
      <w:szCs w:val="56"/>
    </w:rPr>
  </w:style>
  <w:style w:type="character" w:customStyle="1" w:styleId="28">
    <w:name w:val="副标题 字符"/>
    <w:basedOn w:val="17"/>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0">
    <w:name w:val="引用 字符"/>
    <w:basedOn w:val="17"/>
    <w:link w:val="29"/>
    <w:qFormat/>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pPr>
  </w:style>
  <w:style w:type="character" w:customStyle="1" w:styleId="32">
    <w:name w:val="Intense Emphasis"/>
    <w:basedOn w:val="17"/>
    <w:qFormat/>
    <w:uiPriority w:val="21"/>
    <w:rPr>
      <w:i/>
      <w:iCs/>
      <w:color w:val="2F5597" w:themeColor="accent1" w:themeShade="BF"/>
    </w:rPr>
  </w:style>
  <w:style w:type="paragraph" w:styleId="33">
    <w:name w:val="Intense Quote"/>
    <w:basedOn w:val="1"/>
    <w:next w:val="1"/>
    <w:link w:val="34"/>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4">
    <w:name w:val="明显引用 字符"/>
    <w:basedOn w:val="17"/>
    <w:link w:val="33"/>
    <w:qFormat/>
    <w:uiPriority w:val="30"/>
    <w:rPr>
      <w:i/>
      <w:iCs/>
      <w:color w:val="2F5597" w:themeColor="accent1" w:themeShade="BF"/>
    </w:rPr>
  </w:style>
  <w:style w:type="character" w:customStyle="1" w:styleId="35">
    <w:name w:val="Intense Reference"/>
    <w:basedOn w:val="17"/>
    <w:qFormat/>
    <w:uiPriority w:val="32"/>
    <w:rPr>
      <w:b/>
      <w:bCs/>
      <w:smallCaps/>
      <w:color w:val="2F5597" w:themeColor="accent1" w:themeShade="BF"/>
      <w:spacing w:val="5"/>
    </w:rPr>
  </w:style>
  <w:style w:type="character" w:customStyle="1" w:styleId="36">
    <w:name w:val="页眉 字符"/>
    <w:basedOn w:val="17"/>
    <w:link w:val="12"/>
    <w:qFormat/>
    <w:uiPriority w:val="99"/>
    <w:rPr>
      <w:sz w:val="18"/>
      <w:szCs w:val="18"/>
    </w:rPr>
  </w:style>
  <w:style w:type="character" w:customStyle="1" w:styleId="37">
    <w:name w:val="页脚 字符"/>
    <w:basedOn w:val="17"/>
    <w:link w:val="11"/>
    <w:qFormat/>
    <w:uiPriority w:val="99"/>
    <w:rPr>
      <w:sz w:val="18"/>
      <w:szCs w:val="18"/>
    </w:rPr>
  </w:style>
  <w:style w:type="paragraph" w:customStyle="1" w:styleId="38">
    <w:name w:val="标准正文样式"/>
    <w:basedOn w:val="1"/>
    <w:qFormat/>
    <w:uiPriority w:val="0"/>
    <w:pPr>
      <w:spacing w:line="360" w:lineRule="auto"/>
      <w:ind w:firstLine="200" w:firstLineChars="200"/>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924</Words>
  <Characters>5273</Characters>
  <Lines>43</Lines>
  <Paragraphs>12</Paragraphs>
  <TotalTime>14</TotalTime>
  <ScaleCrop>false</ScaleCrop>
  <LinksUpToDate>false</LinksUpToDate>
  <CharactersWithSpaces>6185</CharactersWithSpaces>
  <Application>WPS Office_12.8.2.15291_F1E327BC-269C-435d-A152-05C5408002CA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2025-09-16T02:21:00Z</dcterms:created>
  <dc:creator>ht</dc:creator>
  <cp:lastModifiedBy>财务会计部综合</cp:lastModifiedBy>
  <dcterms:modified xsi:type="dcterms:W3CDTF">2025-12-01T11:15:51Z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2052-12.8.2.15291</vt:lpwstr>
  </property>
  <property fmtid="{D5CDD505-2E9C-101B-9397-08002B2CF9AE}" pid="3" name="ICV">
    <vt:lpwstr>9E666A9C211B475E88B66E3688AA3F60_13</vt:lpwstr>
  </property>
</Properties>
</file>