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彩虹小标宋" w:hAnsi="宋体" w:eastAsia="彩虹小标宋" w:cs="Times New Roman"/>
          <w:bCs/>
          <w:snapToGrid w:val="0"/>
          <w:kern w:val="0"/>
          <w:sz w:val="36"/>
          <w:szCs w:val="36"/>
        </w:rPr>
      </w:pPr>
      <w:r>
        <w:rPr>
          <w:rFonts w:hint="eastAsia" w:ascii="彩虹小标宋" w:hAnsi="宋体" w:eastAsia="彩虹小标宋" w:cs="Times New Roman"/>
          <w:bCs/>
          <w:snapToGrid w:val="0"/>
          <w:kern w:val="0"/>
          <w:sz w:val="36"/>
          <w:szCs w:val="36"/>
        </w:rPr>
        <w:t>采购需求</w:t>
      </w:r>
    </w:p>
    <w:p>
      <w:pPr>
        <w:adjustRightInd w:val="0"/>
        <w:snapToGrid w:val="0"/>
        <w:spacing w:line="360" w:lineRule="auto"/>
        <w:rPr>
          <w:rFonts w:ascii="彩虹粗仿宋" w:hAnsi="宋体" w:eastAsia="彩虹粗仿宋" w:cs="Times New Roman"/>
          <w:snapToGrid w:val="0"/>
          <w:kern w:val="0"/>
          <w:sz w:val="32"/>
          <w:szCs w:val="32"/>
        </w:rPr>
      </w:pPr>
    </w:p>
    <w:p>
      <w:pPr>
        <w:pStyle w:val="3"/>
        <w:numPr>
          <w:ilvl w:val="0"/>
          <w:numId w:val="1"/>
        </w:numPr>
        <w:bidi w:val="0"/>
        <w:rPr>
          <w:rFonts w:hint="eastAsia"/>
        </w:rPr>
      </w:pPr>
      <w:r>
        <w:rPr>
          <w:rFonts w:hint="eastAsia"/>
        </w:rPr>
        <w:t>服务供应商要求</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 1.供应商具有独立承担民事责任的能力，遵守国家有关法律、法规，具有良好的商业信誉和健全的财务会计制度。</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 2.供应商当前未处于限制开展生产经营活动、责令停产停业、责令关闭、限制从业等重大行政处罚期内。</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 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 4.法定代表人（负责人）为同一人或存在控股、管理关系的不同申请人，不得同时参加本项目。</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 5.供应商在法律和财务上独立、合法运作并独立于建设银行。</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 6.供应商与建设银行不存在利益冲突，不存在损害建设银行合法利益和声誉的情形，不存在针对建设银行的重大诚信问题。</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 7.供应商未处于建设银行供应商禁用或退出期内。</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 8.供应商承诺在本项目招标过程中不存在下列情形，如存在下列情形之一，招标人有权取消其投标或中标资格。情形包括但不限于：</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（1）法定代表人（负责人）在生产经营活动中受到刑事处罚；</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（2）重大并购或重组，影响正常生产经营；</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（3）其他重大风险事项，影响正常采购合作。</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9.本项目不接受代理商申请，不接受联合体申请。</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10.案例经验要求或资质证书要求等。</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11.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pPr>
        <w:pStyle w:val="3"/>
        <w:bidi w:val="0"/>
        <w:rPr>
          <w:rFonts w:hint="eastAsia"/>
        </w:rPr>
      </w:pPr>
      <w:r>
        <w:rPr>
          <w:rFonts w:hint="eastAsia"/>
        </w:rPr>
        <w:t>二、服务品类</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消防设施维护服务。</w:t>
      </w:r>
    </w:p>
    <w:p>
      <w:pPr>
        <w:pStyle w:val="3"/>
        <w:bidi w:val="0"/>
        <w:rPr>
          <w:rFonts w:hint="eastAsia"/>
        </w:rPr>
      </w:pPr>
      <w:r>
        <w:rPr>
          <w:rFonts w:hint="eastAsia"/>
          <w:lang w:eastAsia="zh-CN"/>
        </w:rPr>
        <w:t>三、</w:t>
      </w:r>
      <w:r>
        <w:rPr>
          <w:rFonts w:hint="eastAsia"/>
        </w:rPr>
        <w:t>服务内容</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市分行</w:t>
      </w:r>
      <w:r>
        <w:rPr>
          <w:rFonts w:hint="eastAsia" w:ascii="彩虹粗仿宋" w:hAnsi="彩虹粗仿宋" w:eastAsia="彩虹粗仿宋" w:cs="彩虹粗仿宋"/>
          <w:b w:val="0"/>
          <w:bCs w:val="0"/>
          <w:snapToGrid w:val="0"/>
          <w:kern w:val="0"/>
          <w:sz w:val="32"/>
          <w:szCs w:val="32"/>
        </w:rPr>
        <w:t>办公营业场所日常消防设施维保服务包括但不限于：消防供电配电、火灾自动报警系统、消防供水设施、消火栓系统、自动喷水灭火系统、气体灭火系统、干粉灭火系统、建筑防烟排烟系统、消防应急照明和疏散指示系统、防火分隔设施、消防电梯、灭火器等内容</w:t>
      </w:r>
      <w:r>
        <w:rPr>
          <w:rFonts w:hint="eastAsia" w:ascii="彩虹粗仿宋" w:hAnsi="彩虹粗仿宋" w:eastAsia="彩虹粗仿宋" w:cs="彩虹粗仿宋"/>
          <w:b w:val="0"/>
          <w:bCs w:val="0"/>
          <w:snapToGrid w:val="0"/>
          <w:kern w:val="0"/>
          <w:sz w:val="32"/>
          <w:szCs w:val="32"/>
          <w:lang w:eastAsia="zh-CN"/>
        </w:rPr>
        <w:t>。</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维护服务要求</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办公营业场所日常消防设施维保服务要求一般包括：巡查、检测、维修、保养、建档等工作。巡查是指对办公楼消防设施直观属性的检查；检测是指对办公楼和营业场所消防设施的功能进行测试性检查；维修是指对办公楼和营业场所消防设施的故障进行排除，使其达到正常工作状态；保养是指对办公楼和营业场所消防设施进行养护；建档是指对办公楼和营业场所消防设施基本情况和动态管理情况的资料建立档案。具体维护服务要求包括但不限于以下内容：</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（一）依据《建筑消防设施的维护管理（GB25201—2010）》、当地消防设施维护服务相关标准及建设银行相关规定要求编制维护服务方案，开展维护服务工作。</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二）根据当地要求提交相应的维护服务报告；按照建设银行要求对办公楼消防设施进行全面摸排，更新完善《办公楼消防设施清单》；根据当地消防部门和《办公楼消防设施维护服务记录表》的维护服务周期要求，制定办公楼和营业场所消防设施维护服务计划，按计划完成月度、季度、年度维护服务工作，并填写《办公楼消防设施维护服务报告》和《办公楼消防设施维护服务记录表》。</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（三）对建设银行消控室值班人员、义务消防队员、安全管理人员等进行专业技术培训及指导。</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（四）重要节假日或重要活动前，对消防系统进行全面检查和维护服务，必要时派驻专业技术人员驻场维护服务。</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（五）配合建设银行开展消防安全评估、年度检测、消防演练等工作。</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（六）配合建设银行做好改扩建及装修工程的消防点位接入、调试、验收等工作。</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（七）负责建设银行与消防监管部门的沟通协调。</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（八）消防维护服务频率、次数不应少于《办公楼消防设施维护服务记录表》中明确的频次要求，且需要响应建设银行关于消防检查、测试、评估等工作需求。</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（九）维护服务在标准化服务流程、服务人员资质与培训、设备与备品备件管理、应急预案与快速响应机制等方面应执行完整的质量管理体系，确保维护服务的标准化、专业化和可追溯化。</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十）维护服务中产生的技术信息（技术图纸、设备技术参数、报警系统逻辑程序、阀门阈值）、经营信息（消防安全管理制度、应急预算、疏散路线、消防值班人员情况）、过程信息（维护服务记录及报告、故障维修报告、设备技术缺陷）及其他建设银行标识为“保密”或被合理认定为保密的信息均需被有效保护，不应随意复制、传输、泄露等。服务人员应签署保密协议并履行相应的保密义务。</w:t>
      </w:r>
    </w:p>
    <w:p>
      <w:pPr>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b w:val="0"/>
          <w:bCs w:val="0"/>
          <w:snapToGrid w:val="0"/>
          <w:kern w:val="0"/>
          <w:sz w:val="32"/>
          <w:szCs w:val="32"/>
          <w:lang w:eastAsia="zh-CN"/>
        </w:rPr>
      </w:pPr>
      <w:r>
        <w:rPr>
          <w:rFonts w:hint="eastAsia" w:ascii="彩虹粗仿宋" w:hAnsi="彩虹粗仿宋" w:eastAsia="彩虹粗仿宋" w:cs="彩虹粗仿宋"/>
          <w:b w:val="0"/>
          <w:bCs w:val="0"/>
          <w:snapToGrid w:val="0"/>
          <w:kern w:val="0"/>
          <w:sz w:val="32"/>
          <w:szCs w:val="32"/>
          <w:lang w:eastAsia="zh-CN"/>
        </w:rPr>
        <w:t>（十一）维护服务结果验收包括消防设施设备完好有效情况，服务组织管理和沟通协调情况，服务人员资质水平，服务响应的及时性，解决问题的质量和效率，服务承诺的履行情况等。</w:t>
      </w:r>
    </w:p>
    <w:p>
      <w:pPr>
        <w:pStyle w:val="3"/>
        <w:bidi w:val="0"/>
        <w:rPr>
          <w:rFonts w:hint="eastAsia"/>
        </w:rPr>
      </w:pPr>
      <w:r>
        <w:rPr>
          <w:rFonts w:hint="eastAsia"/>
        </w:rPr>
        <w:t>四、服务团队</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维护服务团队要求包括但不限于以下内容：</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（一）项目团队应有1名技术负责人，持有注册消防工程师证书。</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（二）项目团队应配备项目负责人，持有注册消防工程师证书。</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（三）项目团队成员应持有中级及以上建（构）筑物消防员证书或四级及以上消防设施操作员证书。</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（四）项目组人员应保持稳定，以保证服务工作的正常进行。若更换项目组人员，应以相当资格与技能的人员替换；若更换项目负责人，须经建设银行同意后方可更换。</w:t>
      </w:r>
    </w:p>
    <w:p>
      <w:pPr>
        <w:pStyle w:val="3"/>
        <w:bidi w:val="0"/>
        <w:rPr>
          <w:rFonts w:hint="eastAsia"/>
        </w:rPr>
      </w:pPr>
      <w:r>
        <w:rPr>
          <w:rFonts w:hint="eastAsia"/>
        </w:rPr>
        <w:t>五、服务质量要求</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维护服务质量要求包括但不限于以下内容：</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（一）维护服务人员应着装统一、持证上岗、行为规范，遵守建行相关管理规定；具备良好的沟通能力，能够清晰解释和说明消防设施设备状况和注意事项。</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（二）服务提供商需严格按照服务内容和要求对建筑内消防设施设备进行定期巡查、检测、维修、保养，确保消防设施设备完好有效、消防系统正常运行。</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（三）服务提供商应提供7×24小时应急联系电话，并确保渠道畅通。服务过程中应有明确的应急预案，能在发生紧急故障时快速调动资源进行处理。</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（四）服务提供商巡查、检测、维修、保养等检查维护服务记录要完整、真实，与现场设备状态一致、吻合。，包括项目负责人资质经验、项目团队成员数量结构和资质经验等</w:t>
      </w:r>
    </w:p>
    <w:p>
      <w:pPr>
        <w:pStyle w:val="3"/>
        <w:bidi w:val="0"/>
        <w:rPr>
          <w:rFonts w:hint="eastAsia"/>
        </w:rPr>
      </w:pPr>
      <w:r>
        <w:rPr>
          <w:rFonts w:hint="eastAsia"/>
        </w:rPr>
        <w:t>六、服务响应要求</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服务提供商应设立专门维护服务电话，提供7×24小时全天候故障受理服务。如设备出现“严重”故障（设备无法运行或基本无法运行，或设备重要功能失效或基本失效），服务提供商应立即派出技术人员，2个小时到达现场维修。与此同时，服务提供商技术支持人员应通过电话、网络等方式进行远程指导尝试排除故障。如设备出现“一般”故障（设备可以运行，但非重要性功能的使用受到限制，或出现其他轻微影响设备使用的故障），服务提供商应立即进行远程指导，若一般故障2小时内无法排除，服务提供商应派出技术人员到场处理。服务提供商应及时消除故障，确保建筑消防设施正常运行，如在24小时内不能完成修复的，需经建设银行确认同意后延期完成修复，并提供应急处置或替代措施，确保消防安全。。</w:t>
      </w:r>
    </w:p>
    <w:p>
      <w:pPr>
        <w:pStyle w:val="3"/>
        <w:bidi w:val="0"/>
        <w:rPr>
          <w:rFonts w:hint="eastAsia"/>
        </w:rPr>
      </w:pPr>
      <w:r>
        <w:rPr>
          <w:rFonts w:hint="eastAsia"/>
          <w:lang w:eastAsia="zh-CN"/>
        </w:rPr>
        <w:t>七</w:t>
      </w:r>
      <w:r>
        <w:rPr>
          <w:rFonts w:hint="eastAsia"/>
        </w:rPr>
        <w:t>、合同期限</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2026年</w:t>
      </w:r>
      <w:r>
        <w:rPr>
          <w:rFonts w:hint="eastAsia" w:ascii="彩虹粗仿宋" w:hAnsi="彩虹粗仿宋" w:eastAsia="彩虹粗仿宋" w:cs="彩虹粗仿宋"/>
          <w:snapToGrid w:val="0"/>
          <w:kern w:val="0"/>
          <w:sz w:val="32"/>
          <w:szCs w:val="32"/>
          <w:lang w:val="en-US" w:eastAsia="zh-CN"/>
        </w:rPr>
        <w:t>1</w:t>
      </w:r>
      <w:r>
        <w:rPr>
          <w:rFonts w:hint="eastAsia" w:ascii="彩虹粗仿宋" w:hAnsi="彩虹粗仿宋" w:eastAsia="彩虹粗仿宋" w:cs="彩虹粗仿宋"/>
          <w:snapToGrid w:val="0"/>
          <w:kern w:val="0"/>
          <w:sz w:val="32"/>
          <w:szCs w:val="32"/>
        </w:rPr>
        <w:t>月</w:t>
      </w:r>
      <w:r>
        <w:rPr>
          <w:rFonts w:hint="eastAsia" w:ascii="彩虹粗仿宋" w:hAnsi="彩虹粗仿宋" w:eastAsia="彩虹粗仿宋" w:cs="彩虹粗仿宋"/>
          <w:snapToGrid w:val="0"/>
          <w:kern w:val="0"/>
          <w:sz w:val="32"/>
          <w:szCs w:val="32"/>
          <w:lang w:val="en-US" w:eastAsia="zh-CN"/>
        </w:rPr>
        <w:t>13</w:t>
      </w:r>
      <w:r>
        <w:rPr>
          <w:rFonts w:hint="eastAsia" w:ascii="彩虹粗仿宋" w:hAnsi="彩虹粗仿宋" w:eastAsia="彩虹粗仿宋" w:cs="彩虹粗仿宋"/>
          <w:snapToGrid w:val="0"/>
          <w:kern w:val="0"/>
          <w:sz w:val="32"/>
          <w:szCs w:val="32"/>
        </w:rPr>
        <w:t>日至202</w:t>
      </w:r>
      <w:r>
        <w:rPr>
          <w:rFonts w:hint="eastAsia" w:ascii="彩虹粗仿宋" w:hAnsi="彩虹粗仿宋" w:eastAsia="彩虹粗仿宋" w:cs="彩虹粗仿宋"/>
          <w:snapToGrid w:val="0"/>
          <w:kern w:val="0"/>
          <w:sz w:val="32"/>
          <w:szCs w:val="32"/>
          <w:lang w:val="en-US" w:eastAsia="zh-CN"/>
        </w:rPr>
        <w:t>8</w:t>
      </w:r>
      <w:r>
        <w:rPr>
          <w:rFonts w:hint="eastAsia" w:ascii="彩虹粗仿宋" w:hAnsi="彩虹粗仿宋" w:eastAsia="彩虹粗仿宋" w:cs="彩虹粗仿宋"/>
          <w:snapToGrid w:val="0"/>
          <w:kern w:val="0"/>
          <w:sz w:val="32"/>
          <w:szCs w:val="32"/>
        </w:rPr>
        <w:t>年</w:t>
      </w:r>
      <w:r>
        <w:rPr>
          <w:rFonts w:hint="eastAsia" w:ascii="彩虹粗仿宋" w:hAnsi="彩虹粗仿宋" w:eastAsia="彩虹粗仿宋" w:cs="彩虹粗仿宋"/>
          <w:snapToGrid w:val="0"/>
          <w:kern w:val="0"/>
          <w:sz w:val="32"/>
          <w:szCs w:val="32"/>
          <w:lang w:val="en-US" w:eastAsia="zh-CN"/>
        </w:rPr>
        <w:t>1</w:t>
      </w:r>
      <w:r>
        <w:rPr>
          <w:rFonts w:hint="eastAsia" w:ascii="彩虹粗仿宋" w:hAnsi="彩虹粗仿宋" w:eastAsia="彩虹粗仿宋" w:cs="彩虹粗仿宋"/>
          <w:snapToGrid w:val="0"/>
          <w:kern w:val="0"/>
          <w:sz w:val="32"/>
          <w:szCs w:val="32"/>
        </w:rPr>
        <w:t>月</w:t>
      </w:r>
      <w:r>
        <w:rPr>
          <w:rFonts w:hint="eastAsia" w:ascii="彩虹粗仿宋" w:hAnsi="彩虹粗仿宋" w:eastAsia="彩虹粗仿宋" w:cs="彩虹粗仿宋"/>
          <w:snapToGrid w:val="0"/>
          <w:kern w:val="0"/>
          <w:sz w:val="32"/>
          <w:szCs w:val="32"/>
          <w:lang w:val="en-US" w:eastAsia="zh-CN"/>
        </w:rPr>
        <w:t>14</w:t>
      </w:r>
      <w:r>
        <w:rPr>
          <w:rFonts w:hint="eastAsia" w:ascii="彩虹粗仿宋" w:hAnsi="彩虹粗仿宋" w:eastAsia="彩虹粗仿宋" w:cs="彩虹粗仿宋"/>
          <w:snapToGrid w:val="0"/>
          <w:kern w:val="0"/>
          <w:sz w:val="32"/>
          <w:szCs w:val="32"/>
        </w:rPr>
        <w:t>日。</w:t>
      </w:r>
    </w:p>
    <w:p>
      <w:pPr>
        <w:pStyle w:val="3"/>
        <w:bidi w:val="0"/>
        <w:rPr>
          <w:rFonts w:hint="eastAsia"/>
        </w:rPr>
      </w:pPr>
      <w:r>
        <w:rPr>
          <w:rFonts w:hint="eastAsia"/>
        </w:rPr>
        <w:t>八、合同款项支付要求</w:t>
      </w:r>
    </w:p>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本项目每</w:t>
      </w:r>
      <w:r>
        <w:rPr>
          <w:rFonts w:hint="eastAsia" w:ascii="彩虹粗仿宋" w:hAnsi="彩虹粗仿宋" w:eastAsia="彩虹粗仿宋" w:cs="彩虹粗仿宋"/>
          <w:snapToGrid w:val="0"/>
          <w:kern w:val="0"/>
          <w:sz w:val="32"/>
          <w:szCs w:val="32"/>
          <w:lang w:eastAsia="zh-CN"/>
        </w:rPr>
        <w:t>年</w:t>
      </w:r>
      <w:r>
        <w:rPr>
          <w:rFonts w:hint="eastAsia" w:ascii="彩虹粗仿宋" w:hAnsi="彩虹粗仿宋" w:eastAsia="彩虹粗仿宋" w:cs="彩虹粗仿宋"/>
          <w:snapToGrid w:val="0"/>
          <w:kern w:val="0"/>
          <w:sz w:val="32"/>
          <w:szCs w:val="32"/>
        </w:rPr>
        <w:t>度为一个付款周期，于每</w:t>
      </w:r>
      <w:r>
        <w:rPr>
          <w:rFonts w:hint="eastAsia" w:ascii="彩虹粗仿宋" w:hAnsi="彩虹粗仿宋" w:eastAsia="彩虹粗仿宋" w:cs="彩虹粗仿宋"/>
          <w:snapToGrid w:val="0"/>
          <w:kern w:val="0"/>
          <w:sz w:val="32"/>
          <w:szCs w:val="32"/>
          <w:lang w:eastAsia="zh-CN"/>
        </w:rPr>
        <w:t>年度</w:t>
      </w:r>
      <w:r>
        <w:rPr>
          <w:rFonts w:hint="eastAsia" w:ascii="彩虹粗仿宋" w:hAnsi="彩虹粗仿宋" w:eastAsia="彩虹粗仿宋" w:cs="彩虹粗仿宋"/>
          <w:snapToGrid w:val="0"/>
          <w:kern w:val="0"/>
          <w:sz w:val="32"/>
          <w:szCs w:val="32"/>
        </w:rPr>
        <w:t>结束后的次月支付</w:t>
      </w:r>
      <w:r>
        <w:rPr>
          <w:rFonts w:hint="eastAsia" w:ascii="彩虹粗仿宋" w:hAnsi="彩虹粗仿宋" w:eastAsia="彩虹粗仿宋" w:cs="彩虹粗仿宋"/>
          <w:snapToGrid w:val="0"/>
          <w:kern w:val="0"/>
          <w:sz w:val="32"/>
          <w:szCs w:val="32"/>
          <w:lang w:eastAsia="zh-CN"/>
        </w:rPr>
        <w:t>一个年度</w:t>
      </w:r>
      <w:r>
        <w:rPr>
          <w:rFonts w:hint="eastAsia" w:ascii="彩虹粗仿宋" w:hAnsi="彩虹粗仿宋" w:eastAsia="彩虹粗仿宋" w:cs="彩虹粗仿宋"/>
          <w:snapToGrid w:val="0"/>
          <w:kern w:val="0"/>
          <w:sz w:val="32"/>
          <w:szCs w:val="32"/>
        </w:rPr>
        <w:t>服务费用。如在合同执行过程中发生任何应扣款、赔偿款、乙方违约金等，建设银行有权从任何一笔付款中扣除该等款项。</w:t>
      </w:r>
    </w:p>
    <w:p>
      <w:pPr>
        <w:pStyle w:val="3"/>
        <w:bidi w:val="0"/>
        <w:rPr>
          <w:rFonts w:hint="eastAsia"/>
        </w:rPr>
      </w:pPr>
      <w:bookmarkStart w:id="0" w:name="_GoBack"/>
      <w:r>
        <w:rPr>
          <w:rFonts w:hint="eastAsia"/>
          <w:lang w:eastAsia="zh-CN"/>
        </w:rPr>
        <w:t>九</w:t>
      </w:r>
      <w:r>
        <w:rPr>
          <w:rFonts w:hint="eastAsia"/>
        </w:rPr>
        <w:t>、其他要求</w:t>
      </w:r>
    </w:p>
    <w:bookmarkEnd w:id="0"/>
    <w:p>
      <w:pPr>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在维护服务期间，因服务提供商未按合同约定的服务内容、要求等对消防设施开展维护服务工作的，或对消防设施、设备维护服务不当、不及时、不到位的，导致发生消防设施设备事故，属于服务提供商的违约责任，由服务提供商承担全部责任和经济损失。</w:t>
      </w:r>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彩虹粗仿宋">
    <w:panose1 w:val="03000509000000000000"/>
    <w:charset w:val="86"/>
    <w:family w:val="auto"/>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9FAD49"/>
    <w:multiLevelType w:val="singleLevel"/>
    <w:tmpl w:val="839FAD4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yNzkyOGE3ZjE4ZDM1M2RkMjE0NjYyNWE0YWQyMzAifQ=="/>
  </w:docVars>
  <w:rsids>
    <w:rsidRoot w:val="00830097"/>
    <w:rsid w:val="00830097"/>
    <w:rsid w:val="36BE167B"/>
    <w:rsid w:val="3E7F67CE"/>
    <w:rsid w:val="74D58DE3"/>
    <w:rsid w:val="7DEF793D"/>
    <w:rsid w:val="9BFA1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Lines="0" w:beforeAutospacing="0" w:afterLines="0" w:afterAutospacing="0" w:line="560" w:lineRule="exact"/>
      <w:ind w:firstLine="880" w:firstLineChars="200"/>
      <w:outlineLvl w:val="0"/>
    </w:pPr>
    <w:rPr>
      <w:rFonts w:ascii="彩虹黑体" w:hAnsi="彩虹黑体" w:eastAsia="彩虹黑体" w:cs="彩虹黑体"/>
      <w:kern w:val="44"/>
      <w:sz w:val="32"/>
      <w:szCs w:val="2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semiHidden/>
    <w:unhideWhenUsed/>
    <w:uiPriority w:val="99"/>
    <w:rPr>
      <w:rFonts w:ascii="宋体" w:hAnsi="Courier New"/>
    </w:rPr>
  </w:style>
  <w:style w:type="paragraph" w:styleId="4">
    <w:name w:val="footer"/>
    <w:basedOn w:val="1"/>
    <w:semiHidden/>
    <w:unhideWhenUsed/>
    <w:uiPriority w:val="99"/>
    <w:pPr>
      <w:tabs>
        <w:tab w:val="center" w:pos="4153"/>
        <w:tab w:val="right" w:pos="8306"/>
      </w:tabs>
      <w:snapToGrid w:val="0"/>
      <w:jc w:val="left"/>
    </w:pPr>
    <w:rPr>
      <w:sz w:val="18"/>
    </w:rPr>
  </w:style>
  <w:style w:type="paragraph" w:styleId="5">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50</Words>
  <Characters>291</Characters>
  <Lines>2</Lines>
  <Paragraphs>1</Paragraphs>
  <TotalTime>2</TotalTime>
  <ScaleCrop>false</ScaleCrop>
  <LinksUpToDate>false</LinksUpToDate>
  <CharactersWithSpaces>340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2020-06-24T10:31:00Z</dcterms:created>
  <dc:creator>Apache POI</dc:creator>
  <cp:lastModifiedBy>ccb</cp:lastModifiedBy>
  <dcterms:modified xsi:type="dcterms:W3CDTF">2025-12-26T18:03:08Z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CC24DA30C95F29D15761426945716440_43</vt:lpwstr>
  </property>
</Properties>
</file>