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彩虹小标宋" w:hAnsi="宋体" w:eastAsia="彩虹小标宋"/>
          <w:bCs/>
          <w:snapToGrid w:val="0"/>
          <w:kern w:val="0"/>
          <w:sz w:val="44"/>
          <w:szCs w:val="44"/>
        </w:rPr>
      </w:pPr>
      <w:bookmarkStart w:id="0" w:name="PO_PURCHASE_REQUISITION_NAME"/>
      <w:r>
        <w:rPr>
          <w:rFonts w:hint="eastAsia" w:ascii="彩虹小标宋" w:hAnsi="宋体" w:eastAsia="彩虹小标宋"/>
          <w:bCs/>
          <w:snapToGrid w:val="0"/>
          <w:kern w:val="0"/>
          <w:sz w:val="44"/>
          <w:szCs w:val="44"/>
        </w:rPr>
        <w:t>2024年押品评估机构集中采购申请</w:t>
      </w:r>
      <w:bookmarkEnd w:id="0"/>
      <w:r>
        <w:rPr>
          <w:rFonts w:hint="eastAsia" w:ascii="彩虹小标宋" w:hAnsi="宋体" w:eastAsia="彩虹小标宋"/>
          <w:bCs/>
          <w:snapToGrid w:val="0"/>
          <w:kern w:val="0"/>
          <w:sz w:val="44"/>
          <w:szCs w:val="44"/>
        </w:rPr>
        <w:t>采购需求（商丘永城）</w:t>
      </w:r>
    </w:p>
    <w:p>
      <w:pPr>
        <w:adjustRightInd w:val="0"/>
        <w:snapToGrid w:val="0"/>
        <w:spacing w:line="560" w:lineRule="exact"/>
        <w:jc w:val="center"/>
        <w:rPr>
          <w:rFonts w:hint="eastAsia" w:ascii="彩虹小标宋" w:hAnsi="宋体" w:eastAsia="彩虹小标宋"/>
          <w:bCs/>
          <w:snapToGrid w:val="0"/>
          <w:kern w:val="0"/>
          <w:sz w:val="32"/>
          <w:szCs w:val="32"/>
        </w:rPr>
      </w:pPr>
      <w:bookmarkStart w:id="1" w:name="PO_NEED_DEPT"/>
      <w:r>
        <w:rPr>
          <w:rFonts w:hint="eastAsia" w:ascii="彩虹小标宋" w:hAnsi="宋体" w:eastAsia="彩虹小标宋"/>
          <w:bCs/>
          <w:snapToGrid w:val="0"/>
          <w:kern w:val="0"/>
          <w:sz w:val="32"/>
          <w:szCs w:val="32"/>
        </w:rPr>
        <w:t>建行河南省分行风险管理部</w:t>
      </w:r>
      <w:bookmarkEnd w:id="1"/>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1.有固定的营业场所。</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2.服务供应商应取得建设行政主管部门颁发的房地产估价机构备案等级二级（含）以上证书。</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3.具有规范和完善的评估业务质量控制制度、风险防范机制和健全的内部基础管理制度。</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4.从事评估业务至少五年（含）以上，在全国范围内开展评估业务或在一级分行所辖区域范围内设立机构（含分支机构）。</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5.三分之二以上合伙人或股东应当是具有三年以上从业经历且最近三年内未受停止从业处罚的评估师。</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6.符合《资产评估法》《资产评估基本准则》和相应评估机构行业审批备案部门的要求，并具备充足的专业评估人员。</w:t>
      </w:r>
    </w:p>
    <w:p>
      <w:pPr>
        <w:adjustRightInd w:val="0"/>
        <w:snapToGrid w:val="0"/>
        <w:spacing w:line="560" w:lineRule="exact"/>
        <w:ind w:firstLine="640" w:firstLineChars="200"/>
        <w:rPr>
          <w:rFonts w:hint="eastAsia" w:ascii="彩虹粗仿宋" w:hAnsi="宋体" w:eastAsia="彩虹粗仿宋"/>
          <w:snapToGrid w:val="0"/>
          <w:sz w:val="32"/>
          <w:szCs w:val="32"/>
        </w:rPr>
      </w:pPr>
      <w:r>
        <w:rPr>
          <w:rFonts w:hint="eastAsia" w:ascii="彩虹粗仿宋" w:hAnsi="宋体" w:eastAsia="彩虹粗仿宋"/>
          <w:snapToGrid w:val="0"/>
          <w:sz w:val="32"/>
          <w:szCs w:val="32"/>
        </w:rPr>
        <w:t>7.近三年无不良执业记录，未受到评估行业管理部门的违纪整改和处罚，无媒体披露的重大违规失信事件。</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本项目采购评估服务的范围仅限商丘市永城市个人住房及消费贷款、小微企业（含个体工商户）贷款及裕农贷款涉及房地产押品。</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sz w:val="32"/>
          <w:szCs w:val="32"/>
        </w:rPr>
        <w:t>1.</w:t>
      </w:r>
      <w:r>
        <w:rPr>
          <w:rFonts w:hint="eastAsia" w:ascii="彩虹粗仿宋" w:hAnsi="宋体" w:eastAsia="彩虹粗仿宋"/>
          <w:snapToGrid w:val="0"/>
          <w:kern w:val="0"/>
          <w:sz w:val="32"/>
          <w:szCs w:val="32"/>
        </w:rPr>
        <w:t>评估机构应建立专门的评估服务团队，团队中专职房地产估价师不少于3人，且具有5年以上评估经验，以取得证书时间为准，来保障项目的实施。</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sz w:val="32"/>
          <w:szCs w:val="32"/>
        </w:rPr>
        <w:t>2.</w:t>
      </w:r>
      <w:r>
        <w:rPr>
          <w:rFonts w:hint="eastAsia" w:ascii="彩虹粗仿宋" w:hAnsi="宋体" w:eastAsia="彩虹粗仿宋"/>
          <w:snapToGrid w:val="0"/>
          <w:kern w:val="0"/>
          <w:sz w:val="32"/>
          <w:szCs w:val="32"/>
        </w:rPr>
        <w:t>团队人员应有较为丰富的评估或报告审核经验。</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sz w:val="32"/>
          <w:szCs w:val="32"/>
        </w:rPr>
        <w:t>3.</w:t>
      </w:r>
      <w:r>
        <w:rPr>
          <w:rFonts w:hint="eastAsia" w:ascii="彩虹粗仿宋" w:hAnsi="宋体" w:eastAsia="彩虹粗仿宋"/>
          <w:snapToGrid w:val="0"/>
          <w:kern w:val="0"/>
          <w:sz w:val="32"/>
          <w:szCs w:val="32"/>
        </w:rPr>
        <w:t>团队人员应保持稳定、合理分工，保证项目高质高效完成；</w:t>
      </w:r>
    </w:p>
    <w:p>
      <w:pPr>
        <w:adjustRightInd w:val="0"/>
        <w:snapToGrid w:val="0"/>
        <w:spacing w:line="560" w:lineRule="exact"/>
        <w:ind w:firstLine="640" w:firstLineChars="200"/>
        <w:rPr>
          <w:rFonts w:hint="eastAsia" w:ascii="彩虹粗仿宋" w:hAnsi="宋体" w:eastAsia="彩虹粗仿宋"/>
          <w:snapToGrid w:val="0"/>
          <w:kern w:val="0"/>
          <w:sz w:val="32"/>
          <w:szCs w:val="32"/>
          <w:highlight w:val="yellow"/>
        </w:rPr>
      </w:pPr>
      <w:r>
        <w:rPr>
          <w:rFonts w:hint="eastAsia" w:ascii="彩虹粗仿宋" w:hAnsi="宋体" w:eastAsia="彩虹粗仿宋"/>
          <w:snapToGrid w:val="0"/>
          <w:sz w:val="32"/>
          <w:szCs w:val="32"/>
        </w:rPr>
        <w:t>4.</w:t>
      </w:r>
      <w:r>
        <w:rPr>
          <w:rFonts w:hint="eastAsia" w:ascii="彩虹粗仿宋" w:hAnsi="宋体" w:eastAsia="彩虹粗仿宋"/>
          <w:snapToGrid w:val="0"/>
          <w:kern w:val="0"/>
          <w:sz w:val="32"/>
          <w:szCs w:val="32"/>
        </w:rPr>
        <w:t>团队人员近两年未被出具行政处罚单。</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560" w:lineRule="exact"/>
        <w:ind w:firstLine="643" w:firstLineChars="200"/>
        <w:rPr>
          <w:rFonts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（一）评估时限要求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对接到的我行押品评估通知，需根据合同约定的服务内容及时限要求提交押品预评/正式报告（电子及纸质）。</w:t>
      </w:r>
    </w:p>
    <w:p>
      <w:pPr>
        <w:adjustRightInd w:val="0"/>
        <w:snapToGrid w:val="0"/>
        <w:spacing w:line="560" w:lineRule="exact"/>
        <w:ind w:firstLine="643" w:firstLineChars="200"/>
        <w:rPr>
          <w:rFonts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（二）评估方式要求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针对我行（含分支机构）委托的押品评估项目，评估机构须根据我行（含分支机构）要求到现场勘查，确保对指定的押品予以客观、公正的估价，并如实反映押品的基本情况。</w:t>
      </w:r>
    </w:p>
    <w:p>
      <w:pPr>
        <w:adjustRightInd w:val="0"/>
        <w:snapToGrid w:val="0"/>
        <w:spacing w:line="560" w:lineRule="exact"/>
        <w:ind w:firstLine="643" w:firstLineChars="200"/>
        <w:rPr>
          <w:rFonts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（三）评估报告要求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评估机构出具的《评估报告》格式应符合国家相关部门规定的标准，评估报告内容应遵循审慎原则，确保评估结果的准确合理。</w:t>
      </w:r>
    </w:p>
    <w:p>
      <w:pPr>
        <w:adjustRightInd w:val="0"/>
        <w:snapToGrid w:val="0"/>
        <w:spacing w:line="560" w:lineRule="exact"/>
        <w:ind w:firstLine="643" w:firstLineChars="200"/>
        <w:rPr>
          <w:rFonts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（四）评估报告提交要求</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 xml:space="preserve">对于我行贷款所涉评估业务，评估机构在完成评估后，根据甲方通知，提交预估报告以及正式评估报告，纸质报告由专人传递，电子报告按流程上传。  </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评估机构应在使用部门编制、修改评估报告期间提供相应咨询服务。</w:t>
      </w:r>
    </w:p>
    <w:p>
      <w:pPr>
        <w:adjustRightInd w:val="0"/>
        <w:snapToGrid w:val="0"/>
        <w:spacing w:line="560" w:lineRule="exact"/>
        <w:ind w:firstLine="643" w:firstLineChars="200"/>
        <w:rPr>
          <w:rFonts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（五）保密要求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1.评估机构应对我行提供的所有资料、己方的服务行为以及结果向第三方保密，不得将因评估服务而产生的所有资料、数据向第三方提供。</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2.评估机构不得通过任何媒介宣传、介绍协助我行的服务。</w:t>
      </w:r>
    </w:p>
    <w:p>
      <w:pPr>
        <w:adjustRightInd w:val="0"/>
        <w:snapToGrid w:val="0"/>
        <w:spacing w:line="560" w:lineRule="exact"/>
        <w:ind w:firstLine="643" w:firstLineChars="200"/>
        <w:rPr>
          <w:rFonts w:hint="eastAsia" w:ascii="彩虹粗仿宋" w:hAnsi="宋体" w:eastAsia="彩虹粗仿宋"/>
          <w:b/>
          <w:bCs/>
          <w:snapToGrid w:val="0"/>
          <w:kern w:val="0"/>
          <w:sz w:val="32"/>
          <w:szCs w:val="32"/>
        </w:rPr>
      </w:pPr>
      <w:r>
        <w:rPr>
          <w:rFonts w:hint="eastAsia" w:ascii="彩虹粗仿宋" w:hAnsi="宋体" w:eastAsia="彩虹粗仿宋"/>
          <w:b/>
          <w:bCs/>
          <w:snapToGrid w:val="0"/>
          <w:kern w:val="0"/>
          <w:sz w:val="32"/>
          <w:szCs w:val="32"/>
        </w:rPr>
        <w:t>（六）检查与评价</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我行对合作评估机构开展监督检查及考核评价内容：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1.监督检查。监测发现合作评估机构出现警示、禁用等问题情形，并由分管行领导审定需要禁用或暂停合作的，及时退出合作。</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考核评价。押品价值评估审核人员完成价值审核后开展及时评价，及时评价内容包括评估报告内容是否有差错、评估要素是否齐全、参数取定是否审慎、是否滥用假设条件、评估方法与评估目的是否相符、是否超执业范围评估等方面。评估机构及时评价年度累计分值与评估机构资质重检、内外部检查发现问题等一并计入年度评价。</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1.采购供应商应在龙集采系统将采购商品上架，我行以订单形式进行订购。</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2.服务地点：采购人指定地点。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3.供应商在服务开展过程中所需的所有费用，包含技术服务、派出工作人员的住宿费、交通费、伙食补助、必要的保险费用和各项税金、其他有关费用，由供应商自行承担。</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4.服务期限为1年。</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具体数量以实际情况为准。</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color w:val="FF0000"/>
          <w:kern w:val="0"/>
          <w:sz w:val="32"/>
          <w:szCs w:val="32"/>
        </w:rPr>
      </w:pPr>
      <w:r>
        <w:rPr>
          <w:rFonts w:hint="eastAsia" w:ascii="彩虹粗仿宋" w:hAnsi="宋体" w:eastAsia="彩虹粗仿宋"/>
          <w:snapToGrid w:val="0"/>
          <w:kern w:val="0"/>
          <w:sz w:val="32"/>
          <w:szCs w:val="32"/>
        </w:rPr>
        <w:t>评估费用由项目所在二级分（支）行承担，各需求部门（业务条线）根据实际业务量按季通过龙集采系统据实结算并申请支付。</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hint="eastAsia" w:ascii="彩虹粗仿宋" w:hAnsi="宋体" w:eastAsia="彩虹粗仿宋"/>
          <w:b/>
          <w:snapToGrid w:val="0"/>
          <w:kern w:val="0"/>
          <w:sz w:val="32"/>
          <w:szCs w:val="32"/>
        </w:rPr>
      </w:pPr>
      <w:r>
        <w:rPr>
          <w:rFonts w:hint="eastAsia" w:ascii="彩虹粗仿宋" w:hAnsi="宋体" w:eastAsia="彩虹粗仿宋"/>
          <w:snapToGrid w:val="0"/>
          <w:color w:val="000000"/>
          <w:kern w:val="0"/>
          <w:sz w:val="32"/>
          <w:szCs w:val="32"/>
        </w:rPr>
        <w:t>评估机构的个贷、普惠及乡金房地产押品评估费率不得高于评估价值的千分之四。</w:t>
      </w:r>
    </w:p>
    <w:p>
      <w:pPr>
        <w:adjustRightInd w:val="0"/>
        <w:snapToGrid w:val="0"/>
        <w:spacing w:line="560" w:lineRule="exact"/>
        <w:ind w:firstLine="640" w:firstLineChars="200"/>
        <w:rPr>
          <w:rFonts w:hint="eastAsia" w:ascii="彩虹黑体" w:hAnsi="宋体" w:eastAsia="彩虹黑体"/>
          <w:snapToGrid w:val="0"/>
          <w:kern w:val="0"/>
          <w:sz w:val="32"/>
          <w:szCs w:val="32"/>
        </w:rPr>
      </w:pPr>
      <w:r>
        <w:rPr>
          <w:rFonts w:hint="eastAsia" w:ascii="彩虹黑体" w:hAnsi="宋体" w:eastAsia="彩虹黑体"/>
          <w:snapToGrid w:val="0"/>
          <w:kern w:val="0"/>
          <w:sz w:val="32"/>
          <w:szCs w:val="32"/>
        </w:rPr>
        <w:t>九、供应商开票要求</w:t>
      </w:r>
    </w:p>
    <w:p>
      <w:pPr>
        <w:adjustRightInd w:val="0"/>
        <w:snapToGrid w:val="0"/>
        <w:spacing w:line="560"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服务供应商应开具的增值税发票。</w:t>
      </w:r>
    </w:p>
    <w:p/>
    <w:p>
      <w:pPr>
        <w:adjustRightInd w:val="0"/>
        <w:snapToGrid w:val="0"/>
        <w:spacing w:line="360" w:lineRule="auto"/>
        <w:jc w:val="center"/>
      </w:pPr>
    </w:p>
    <w:p>
      <w:bookmarkStart w:id="2" w:name="_GoBack"/>
      <w:bookmarkEnd w:id="2"/>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CE4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2024-05-23T08:54:30Z</dcterms:created>
  <dc:creator>haccb</dc:creator>
  <cp:lastModifiedBy>haccb</cp:lastModifiedBy>
  <dcterms:modified xsi:type="dcterms:W3CDTF">2024-05-23T08:54:34Z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11C703574FEB4E5AAD9797287DABFAF3_12</vt:lpwstr>
  </property>
</Properties>
</file>