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彩虹黑体" w:hAnsi="彩虹黑体" w:eastAsia="彩虹黑体" w:cs="彩虹黑体"/>
          <w:bCs/>
          <w:snapToGrid w:val="0"/>
          <w:kern w:val="0"/>
          <w:sz w:val="44"/>
          <w:szCs w:val="44"/>
          <w:highlight w:val="yellow"/>
        </w:rPr>
      </w:pPr>
      <w:r>
        <w:rPr>
          <w:rFonts w:hint="eastAsia" w:ascii="彩虹黑体" w:hAnsi="彩虹黑体" w:eastAsia="彩虹黑体" w:cs="彩虹黑体"/>
          <w:sz w:val="44"/>
          <w:szCs w:val="44"/>
          <w:highlight w:val="yellow"/>
        </w:rPr>
        <w:t>漯河</w:t>
      </w:r>
      <w:r>
        <w:rPr>
          <w:rFonts w:hint="eastAsia" w:ascii="彩虹黑体" w:hAnsi="彩虹黑体" w:eastAsia="彩虹黑体" w:cs="彩虹黑体"/>
          <w:sz w:val="44"/>
          <w:szCs w:val="44"/>
          <w:highlight w:val="yellow"/>
          <w:lang w:eastAsia="zh-CN"/>
        </w:rPr>
        <w:t>临颍支行</w:t>
      </w:r>
      <w:r>
        <w:rPr>
          <w:rFonts w:hint="eastAsia" w:ascii="彩虹黑体" w:hAnsi="彩虹黑体" w:eastAsia="彩虹黑体" w:cs="彩虹黑体"/>
          <w:bCs/>
          <w:snapToGrid w:val="0"/>
          <w:kern w:val="0"/>
          <w:sz w:val="44"/>
          <w:szCs w:val="44"/>
          <w:highlight w:val="yellow"/>
        </w:rPr>
        <w:t>公安110联网报警服务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20" w:lineRule="exact"/>
        <w:ind w:firstLine="640" w:firstLineChars="200"/>
        <w:rPr>
          <w:rFonts w:ascii="彩虹粗仿宋" w:eastAsia="彩虹粗仿宋" w:hAnsiTheme="minorHAnsi" w:cstheme="minorBidi"/>
          <w:sz w:val="32"/>
          <w:szCs w:val="32"/>
        </w:rPr>
      </w:pPr>
      <w:r>
        <w:rPr>
          <w:rFonts w:hint="eastAsia" w:ascii="彩虹粗仿宋" w:eastAsia="彩虹粗仿宋" w:hAnsiTheme="minorHAnsi" w:cstheme="minorBidi"/>
          <w:sz w:val="32"/>
          <w:szCs w:val="32"/>
        </w:rPr>
        <w:t>（一）具有独立法人资格，有效的营业执照。</w:t>
      </w:r>
    </w:p>
    <w:p>
      <w:pPr>
        <w:spacing w:line="520" w:lineRule="exact"/>
        <w:ind w:firstLine="640" w:firstLineChars="200"/>
        <w:rPr>
          <w:rFonts w:hint="eastAsia" w:ascii="彩虹粗仿宋" w:eastAsia="彩虹粗仿宋" w:hAnsiTheme="minorHAnsi" w:cstheme="minorBidi"/>
          <w:sz w:val="32"/>
          <w:szCs w:val="32"/>
          <w:lang w:eastAsia="zh-CN"/>
        </w:rPr>
      </w:pPr>
      <w:r>
        <w:rPr>
          <w:rFonts w:hint="eastAsia" w:ascii="彩虹粗仿宋" w:eastAsia="彩虹粗仿宋" w:hAnsiTheme="minorHAnsi" w:cstheme="minorBidi"/>
          <w:sz w:val="32"/>
          <w:szCs w:val="32"/>
        </w:rPr>
        <w:t>（二）正常经营，财务状况良好，提供近三年（202</w:t>
      </w:r>
      <w:r>
        <w:rPr>
          <w:rFonts w:hint="eastAsia" w:ascii="彩虹粗仿宋" w:eastAsia="彩虹粗仿宋" w:cstheme="minorBidi"/>
          <w:sz w:val="32"/>
          <w:szCs w:val="32"/>
          <w:lang w:val="en-US" w:eastAsia="zh-CN"/>
        </w:rPr>
        <w:t>0</w:t>
      </w:r>
      <w:r>
        <w:rPr>
          <w:rFonts w:hint="eastAsia" w:ascii="彩虹粗仿宋" w:eastAsia="彩虹粗仿宋" w:hAnsiTheme="minorHAnsi" w:cstheme="minorBidi"/>
          <w:sz w:val="32"/>
          <w:szCs w:val="32"/>
        </w:rPr>
        <w:t>年-202</w:t>
      </w:r>
      <w:r>
        <w:rPr>
          <w:rFonts w:hint="eastAsia" w:ascii="彩虹粗仿宋" w:eastAsia="彩虹粗仿宋" w:cstheme="minorBidi"/>
          <w:sz w:val="32"/>
          <w:szCs w:val="32"/>
          <w:lang w:val="en-US" w:eastAsia="zh-CN"/>
        </w:rPr>
        <w:t>2</w:t>
      </w:r>
      <w:r>
        <w:rPr>
          <w:rFonts w:hint="eastAsia" w:ascii="彩虹粗仿宋" w:eastAsia="彩虹粗仿宋" w:hAnsiTheme="minorHAnsi" w:cstheme="minorBidi"/>
          <w:sz w:val="32"/>
          <w:szCs w:val="32"/>
        </w:rPr>
        <w:t>年）的经审计的财务报告或财务报表（新成立企业从成立日计算）</w:t>
      </w:r>
      <w:r>
        <w:rPr>
          <w:rFonts w:hint="eastAsia" w:ascii="彩虹粗仿宋" w:eastAsia="彩虹粗仿宋" w:hAnsiTheme="minorHAnsi" w:cstheme="minorBidi"/>
          <w:sz w:val="32"/>
          <w:szCs w:val="32"/>
          <w:lang w:eastAsia="zh-CN"/>
        </w:rPr>
        <w:t>。</w:t>
      </w:r>
    </w:p>
    <w:p>
      <w:pPr>
        <w:spacing w:line="520" w:lineRule="exact"/>
        <w:ind w:firstLine="640" w:firstLineChars="200"/>
        <w:rPr>
          <w:rFonts w:ascii="彩虹粗仿宋" w:eastAsia="彩虹粗仿宋" w:hAnsiTheme="minorHAnsi" w:cstheme="minorBidi"/>
          <w:sz w:val="32"/>
          <w:szCs w:val="32"/>
        </w:rPr>
      </w:pPr>
      <w:r>
        <w:rPr>
          <w:rFonts w:hint="eastAsia" w:ascii="彩虹粗仿宋" w:eastAsia="彩虹粗仿宋" w:hAnsiTheme="minorHAnsi" w:cstheme="minorBidi"/>
          <w:sz w:val="32"/>
          <w:szCs w:val="32"/>
        </w:rPr>
        <w:t>（三）具有固定的办公场所、健全的组织管理机构。</w:t>
      </w:r>
    </w:p>
    <w:p>
      <w:pPr>
        <w:spacing w:line="520" w:lineRule="exact"/>
        <w:ind w:firstLine="640" w:firstLineChars="200"/>
        <w:rPr>
          <w:rStyle w:val="5"/>
        </w:rPr>
      </w:pPr>
      <w:r>
        <w:rPr>
          <w:rFonts w:hint="eastAsia" w:ascii="彩虹粗仿宋" w:eastAsia="彩虹粗仿宋" w:hAnsiTheme="minorHAnsi" w:cstheme="minorBidi"/>
          <w:sz w:val="32"/>
          <w:szCs w:val="32"/>
        </w:rPr>
        <w:t>（四）</w:t>
      </w:r>
      <w:r>
        <w:rPr>
          <w:rStyle w:val="6"/>
          <w:rFonts w:hint="eastAsia" w:ascii="彩虹粗仿宋" w:hAnsi="微软雅黑" w:eastAsia="彩虹粗仿宋"/>
          <w:sz w:val="32"/>
          <w:szCs w:val="32"/>
        </w:rPr>
        <w:t>202</w:t>
      </w:r>
      <w:r>
        <w:rPr>
          <w:rStyle w:val="6"/>
          <w:rFonts w:hint="eastAsia" w:ascii="彩虹粗仿宋" w:hAnsi="微软雅黑" w:eastAsia="彩虹粗仿宋"/>
          <w:sz w:val="32"/>
          <w:szCs w:val="32"/>
          <w:lang w:val="en-US" w:eastAsia="zh-CN"/>
        </w:rPr>
        <w:t>1</w:t>
      </w:r>
      <w:r>
        <w:rPr>
          <w:rStyle w:val="6"/>
          <w:rFonts w:hint="eastAsia" w:ascii="彩虹粗仿宋" w:hAnsi="微软雅黑" w:eastAsia="彩虹粗仿宋"/>
          <w:sz w:val="32"/>
          <w:szCs w:val="32"/>
        </w:rPr>
        <w:t>年1月1日以来</w:t>
      </w:r>
      <w:r>
        <w:rPr>
          <w:rFonts w:hint="eastAsia" w:ascii="彩虹粗仿宋" w:eastAsia="彩虹粗仿宋" w:hAnsiTheme="minorHAnsi" w:cstheme="minorBidi"/>
          <w:sz w:val="32"/>
          <w:szCs w:val="32"/>
        </w:rPr>
        <w:t>具有银行110报警同类项目经验。</w:t>
      </w:r>
    </w:p>
    <w:p>
      <w:pPr>
        <w:adjustRightInd w:val="0"/>
        <w:snapToGrid w:val="0"/>
        <w:spacing w:line="560" w:lineRule="atLeast"/>
        <w:ind w:firstLine="640" w:firstLineChars="200"/>
        <w:rPr>
          <w:rFonts w:hint="eastAsia" w:ascii="彩虹粗仿宋" w:eastAsia="彩虹粗仿宋" w:hAnsiTheme="minorHAnsi" w:cstheme="minorBidi"/>
          <w:sz w:val="32"/>
          <w:lang w:eastAsia="zh-CN"/>
        </w:rPr>
      </w:pPr>
      <w:r>
        <w:rPr>
          <w:rFonts w:hint="eastAsia" w:ascii="彩虹粗仿宋" w:eastAsia="彩虹粗仿宋" w:hAnsiTheme="minorHAnsi" w:cstheme="minorBidi"/>
          <w:sz w:val="32"/>
        </w:rPr>
        <w:t>（</w:t>
      </w:r>
      <w:r>
        <w:rPr>
          <w:rFonts w:hint="eastAsia" w:ascii="彩虹粗仿宋" w:eastAsia="彩虹粗仿宋" w:hAnsiTheme="minorHAnsi" w:cstheme="minorBidi"/>
          <w:sz w:val="32"/>
          <w:lang w:eastAsia="zh-CN"/>
        </w:rPr>
        <w:t>五</w:t>
      </w:r>
      <w:r>
        <w:rPr>
          <w:rFonts w:hint="eastAsia" w:ascii="彩虹粗仿宋" w:eastAsia="彩虹粗仿宋" w:hAnsiTheme="minorHAnsi" w:cstheme="minorBidi"/>
          <w:sz w:val="32"/>
        </w:rPr>
        <w:t>）</w:t>
      </w:r>
      <w:r>
        <w:rPr>
          <w:rFonts w:hint="eastAsia" w:ascii="彩虹粗仿宋" w:eastAsia="彩虹粗仿宋"/>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r>
        <w:rPr>
          <w:rFonts w:hint="eastAsia" w:ascii="彩虹粗仿宋" w:eastAsia="彩虹粗仿宋"/>
          <w:sz w:val="32"/>
          <w:lang w:eastAsia="zh-CN"/>
        </w:rPr>
        <w:t>。</w:t>
      </w:r>
    </w:p>
    <w:p>
      <w:pPr>
        <w:adjustRightInd w:val="0"/>
        <w:snapToGrid w:val="0"/>
        <w:spacing w:line="560" w:lineRule="exact"/>
        <w:ind w:firstLine="420"/>
        <w:rPr>
          <w:rStyle w:val="6"/>
          <w:rFonts w:ascii="彩虹粗仿宋" w:hAnsi="微软雅黑" w:eastAsia="彩虹粗仿宋"/>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漯河市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（一）团队负责人开展110联网报警服务2年以上；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color w:val="000000" w:themeColor="text1"/>
          <w:sz w:val="32"/>
          <w:szCs w:val="32"/>
          <w14:textFill>
            <w14:solidFill>
              <w14:schemeClr w14:val="tx1"/>
            </w14:solidFill>
          </w14:textFill>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2"/>
        <w:tblW w:w="9920" w:type="dxa"/>
        <w:tblInd w:w="93" w:type="dxa"/>
        <w:tblLayout w:type="autofit"/>
        <w:tblCellMar>
          <w:top w:w="0" w:type="dxa"/>
          <w:left w:w="108" w:type="dxa"/>
          <w:bottom w:w="0" w:type="dxa"/>
          <w:right w:w="108" w:type="dxa"/>
        </w:tblCellMar>
      </w:tblPr>
      <w:tblGrid>
        <w:gridCol w:w="1080"/>
        <w:gridCol w:w="1080"/>
        <w:gridCol w:w="2380"/>
        <w:gridCol w:w="1700"/>
        <w:gridCol w:w="3680"/>
      </w:tblGrid>
      <w:tr>
        <w:tblPrEx>
          <w:tblCellMar>
            <w:top w:w="0" w:type="dxa"/>
            <w:left w:w="108" w:type="dxa"/>
            <w:bottom w:w="0" w:type="dxa"/>
            <w:right w:w="108" w:type="dxa"/>
          </w:tblCellMar>
        </w:tblPrEx>
        <w:trPr>
          <w:trHeight w:val="270" w:hRule="atLeast"/>
        </w:trPr>
        <w:tc>
          <w:tcPr>
            <w:tcW w:w="1080" w:type="dxa"/>
            <w:tcBorders>
              <w:top w:val="nil"/>
              <w:left w:val="nil"/>
              <w:bottom w:val="nil"/>
              <w:right w:val="nil"/>
            </w:tcBorders>
            <w:shd w:val="clear" w:color="auto" w:fill="auto"/>
            <w:vAlign w:val="center"/>
          </w:tcPr>
          <w:p>
            <w:pPr>
              <w:widowControl/>
              <w:jc w:val="center"/>
              <w:rPr>
                <w:rFonts w:ascii="宋体" w:hAnsi="宋体" w:eastAsia="宋体" w:cs="宋体"/>
                <w:color w:val="000000"/>
                <w:kern w:val="0"/>
                <w:sz w:val="22"/>
              </w:rPr>
            </w:pPr>
          </w:p>
        </w:tc>
        <w:tc>
          <w:tcPr>
            <w:tcW w:w="1080" w:type="dxa"/>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rPr>
            </w:pPr>
          </w:p>
        </w:tc>
        <w:tc>
          <w:tcPr>
            <w:tcW w:w="2380" w:type="dxa"/>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rPr>
            </w:pPr>
          </w:p>
        </w:tc>
        <w:tc>
          <w:tcPr>
            <w:tcW w:w="1700" w:type="dxa"/>
            <w:tcBorders>
              <w:top w:val="nil"/>
              <w:left w:val="nil"/>
              <w:bottom w:val="nil"/>
              <w:right w:val="nil"/>
            </w:tcBorders>
            <w:shd w:val="clear" w:color="auto" w:fill="auto"/>
            <w:vAlign w:val="center"/>
          </w:tcPr>
          <w:p>
            <w:pPr>
              <w:widowControl/>
              <w:jc w:val="center"/>
              <w:rPr>
                <w:rFonts w:ascii="宋体" w:hAnsi="宋体" w:eastAsia="宋体" w:cs="宋体"/>
                <w:color w:val="000000"/>
                <w:kern w:val="0"/>
                <w:sz w:val="22"/>
              </w:rPr>
            </w:pPr>
          </w:p>
        </w:tc>
        <w:tc>
          <w:tcPr>
            <w:tcW w:w="3680" w:type="dxa"/>
            <w:tcBorders>
              <w:top w:val="nil"/>
              <w:left w:val="nil"/>
              <w:bottom w:val="nil"/>
              <w:right w:val="nil"/>
            </w:tcBorders>
            <w:shd w:val="clear" w:color="auto" w:fill="auto"/>
            <w:vAlign w:val="center"/>
          </w:tcPr>
          <w:p>
            <w:pPr>
              <w:widowControl/>
              <w:rPr>
                <w:rFonts w:ascii="宋体" w:hAnsi="宋体" w:eastAsia="宋体" w:cs="宋体"/>
                <w:color w:val="000000"/>
                <w:kern w:val="0"/>
                <w:sz w:val="22"/>
              </w:rPr>
            </w:pPr>
          </w:p>
        </w:tc>
      </w:tr>
      <w:tr>
        <w:tblPrEx>
          <w:tblCellMar>
            <w:top w:w="0" w:type="dxa"/>
            <w:left w:w="108" w:type="dxa"/>
            <w:bottom w:w="0" w:type="dxa"/>
            <w:right w:w="108" w:type="dxa"/>
          </w:tblCellMar>
        </w:tblPrEx>
        <w:trPr>
          <w:trHeight w:val="450" w:hRule="atLeast"/>
        </w:trPr>
        <w:tc>
          <w:tcPr>
            <w:tcW w:w="9920" w:type="dxa"/>
            <w:gridSpan w:val="5"/>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36"/>
                <w:szCs w:val="36"/>
              </w:rPr>
            </w:pPr>
            <w:r>
              <w:rPr>
                <w:rFonts w:hint="eastAsia" w:ascii="宋体" w:hAnsi="宋体" w:eastAsia="宋体" w:cs="宋体"/>
                <w:color w:val="000000"/>
                <w:kern w:val="0"/>
                <w:sz w:val="36"/>
                <w:szCs w:val="36"/>
              </w:rPr>
              <w:t xml:space="preserve">            临颍支行110报警数量</w:t>
            </w:r>
          </w:p>
        </w:tc>
      </w:tr>
      <w:tr>
        <w:tblPrEx>
          <w:tblCellMar>
            <w:top w:w="0" w:type="dxa"/>
            <w:left w:w="108" w:type="dxa"/>
            <w:bottom w:w="0" w:type="dxa"/>
            <w:right w:w="108" w:type="dxa"/>
          </w:tblCellMar>
        </w:tblPrEx>
        <w:trPr>
          <w:trHeight w:val="555" w:hRule="atLeast"/>
        </w:trPr>
        <w:tc>
          <w:tcPr>
            <w:tcW w:w="1080" w:type="dxa"/>
            <w:tcBorders>
              <w:top w:val="single" w:color="auto" w:sz="4"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序号</w:t>
            </w:r>
          </w:p>
        </w:tc>
        <w:tc>
          <w:tcPr>
            <w:tcW w:w="1080" w:type="dxa"/>
            <w:tcBorders>
              <w:top w:val="single" w:color="auto" w:sz="4" w:space="0"/>
              <w:left w:val="nil"/>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二级（支）行</w:t>
            </w:r>
          </w:p>
        </w:tc>
        <w:tc>
          <w:tcPr>
            <w:tcW w:w="2380" w:type="dxa"/>
            <w:tcBorders>
              <w:top w:val="single" w:color="auto" w:sz="4" w:space="0"/>
              <w:left w:val="nil"/>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服务区域</w:t>
            </w:r>
          </w:p>
        </w:tc>
        <w:tc>
          <w:tcPr>
            <w:tcW w:w="1700" w:type="dxa"/>
            <w:tcBorders>
              <w:top w:val="single" w:color="auto" w:sz="4" w:space="0"/>
              <w:left w:val="nil"/>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点位数量</w:t>
            </w:r>
          </w:p>
        </w:tc>
        <w:tc>
          <w:tcPr>
            <w:tcW w:w="3680" w:type="dxa"/>
            <w:tcBorders>
              <w:top w:val="single" w:color="auto" w:sz="4" w:space="0"/>
              <w:left w:val="nil"/>
              <w:bottom w:val="single" w:color="000000" w:sz="8" w:space="0"/>
              <w:right w:val="single" w:color="000000" w:sz="8"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备注</w:t>
            </w:r>
          </w:p>
        </w:tc>
      </w:tr>
      <w:tr>
        <w:tblPrEx>
          <w:tblCellMar>
            <w:top w:w="0" w:type="dxa"/>
            <w:left w:w="108" w:type="dxa"/>
            <w:bottom w:w="0" w:type="dxa"/>
            <w:right w:w="108" w:type="dxa"/>
          </w:tblCellMar>
        </w:tblPrEx>
        <w:trPr>
          <w:trHeight w:val="81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080" w:type="dxa"/>
            <w:tcBorders>
              <w:top w:val="nil"/>
              <w:left w:val="nil"/>
              <w:bottom w:val="single" w:color="000000" w:sz="8" w:space="0"/>
              <w:right w:val="single" w:color="000000" w:sz="8"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漯河市临颍县</w:t>
            </w:r>
          </w:p>
        </w:tc>
        <w:tc>
          <w:tcPr>
            <w:tcW w:w="2380" w:type="dxa"/>
            <w:tcBorders>
              <w:top w:val="nil"/>
              <w:left w:val="nil"/>
              <w:bottom w:val="single" w:color="000000" w:sz="8" w:space="0"/>
              <w:right w:val="single" w:color="000000" w:sz="8"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对临颍县内辖内网点、自助等报警服务点进行撤布防的监控。</w:t>
            </w:r>
          </w:p>
        </w:tc>
        <w:tc>
          <w:tcPr>
            <w:tcW w:w="1700" w:type="dxa"/>
            <w:tcBorders>
              <w:top w:val="nil"/>
              <w:left w:val="nil"/>
              <w:bottom w:val="single" w:color="000000" w:sz="8" w:space="0"/>
              <w:right w:val="single" w:color="000000" w:sz="8"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7</w:t>
            </w:r>
          </w:p>
        </w:tc>
        <w:tc>
          <w:tcPr>
            <w:tcW w:w="3680" w:type="dxa"/>
            <w:tcBorders>
              <w:top w:val="nil"/>
              <w:left w:val="nil"/>
              <w:bottom w:val="single" w:color="000000" w:sz="8" w:space="0"/>
              <w:right w:val="single" w:color="000000" w:sz="8" w:space="0"/>
            </w:tcBorders>
            <w:shd w:val="clear" w:color="auto" w:fill="auto"/>
            <w:vAlign w:val="center"/>
          </w:tcPr>
          <w:p>
            <w:pPr>
              <w:widowControl/>
              <w:rPr>
                <w:rFonts w:ascii="宋体" w:hAnsi="宋体" w:eastAsia="宋体" w:cs="宋体"/>
                <w:color w:val="000000"/>
                <w:kern w:val="0"/>
                <w:sz w:val="22"/>
              </w:rPr>
            </w:pPr>
            <w:r>
              <w:rPr>
                <w:rFonts w:hint="eastAsia" w:ascii="宋体" w:hAnsi="宋体" w:eastAsia="宋体" w:cs="宋体"/>
                <w:color w:val="000000"/>
                <w:kern w:val="0"/>
                <w:sz w:val="22"/>
              </w:rPr>
              <w:t>临颍县2个支行（含自助）、3个离行式自助（设备）</w:t>
            </w:r>
          </w:p>
        </w:tc>
      </w:tr>
      <w:tr>
        <w:tblPrEx>
          <w:tblCellMar>
            <w:top w:w="0" w:type="dxa"/>
            <w:left w:w="108" w:type="dxa"/>
            <w:bottom w:w="0" w:type="dxa"/>
            <w:right w:w="108" w:type="dxa"/>
          </w:tblCellMar>
        </w:tblPrEx>
        <w:trPr>
          <w:trHeight w:val="270" w:hRule="atLeast"/>
        </w:trPr>
        <w:tc>
          <w:tcPr>
            <w:tcW w:w="1080" w:type="dxa"/>
            <w:tcBorders>
              <w:top w:val="nil"/>
              <w:left w:val="nil"/>
              <w:bottom w:val="nil"/>
              <w:right w:val="nil"/>
            </w:tcBorders>
            <w:shd w:val="clear" w:color="auto" w:fill="auto"/>
            <w:vAlign w:val="center"/>
          </w:tcPr>
          <w:p>
            <w:pPr>
              <w:widowControl/>
              <w:jc w:val="center"/>
              <w:rPr>
                <w:rFonts w:ascii="宋体" w:hAnsi="宋体" w:eastAsia="宋体" w:cs="宋体"/>
                <w:color w:val="000000"/>
                <w:kern w:val="0"/>
                <w:sz w:val="22"/>
              </w:rPr>
            </w:pPr>
          </w:p>
        </w:tc>
        <w:tc>
          <w:tcPr>
            <w:tcW w:w="1080" w:type="dxa"/>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rPr>
            </w:pPr>
          </w:p>
        </w:tc>
        <w:tc>
          <w:tcPr>
            <w:tcW w:w="2380" w:type="dxa"/>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rPr>
            </w:pPr>
          </w:p>
        </w:tc>
        <w:tc>
          <w:tcPr>
            <w:tcW w:w="1700" w:type="dxa"/>
            <w:tcBorders>
              <w:top w:val="nil"/>
              <w:left w:val="nil"/>
              <w:bottom w:val="nil"/>
              <w:right w:val="nil"/>
            </w:tcBorders>
            <w:shd w:val="clear" w:color="auto" w:fill="auto"/>
            <w:vAlign w:val="center"/>
          </w:tcPr>
          <w:p>
            <w:pPr>
              <w:widowControl/>
              <w:jc w:val="center"/>
              <w:rPr>
                <w:rFonts w:ascii="宋体" w:hAnsi="宋体" w:eastAsia="宋体" w:cs="宋体"/>
                <w:color w:val="000000"/>
                <w:kern w:val="0"/>
                <w:sz w:val="22"/>
              </w:rPr>
            </w:pPr>
          </w:p>
        </w:tc>
        <w:tc>
          <w:tcPr>
            <w:tcW w:w="3680" w:type="dxa"/>
            <w:tcBorders>
              <w:top w:val="nil"/>
              <w:left w:val="nil"/>
              <w:bottom w:val="nil"/>
              <w:right w:val="nil"/>
            </w:tcBorders>
            <w:shd w:val="clear" w:color="auto" w:fill="auto"/>
            <w:vAlign w:val="center"/>
          </w:tcPr>
          <w:p>
            <w:pPr>
              <w:widowControl/>
              <w:rPr>
                <w:rFonts w:ascii="宋体" w:hAnsi="宋体" w:eastAsia="宋体" w:cs="宋体"/>
                <w:color w:val="000000"/>
                <w:kern w:val="0"/>
                <w:sz w:val="22"/>
              </w:rPr>
            </w:pP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本次采购项目为漯河市公安110联网报警服务，按照所辖内110报警服务点数量，按“每月每点”报含税单价，超过预算为无效报价。</w:t>
      </w:r>
    </w:p>
    <w:tbl>
      <w:tblPr>
        <w:tblStyle w:val="2"/>
        <w:tblW w:w="5474" w:type="dxa"/>
        <w:tblInd w:w="0" w:type="dxa"/>
        <w:tblLayout w:type="autofit"/>
        <w:tblCellMar>
          <w:top w:w="0" w:type="dxa"/>
          <w:left w:w="0" w:type="dxa"/>
          <w:bottom w:w="0" w:type="dxa"/>
          <w:right w:w="0" w:type="dxa"/>
        </w:tblCellMar>
      </w:tblPr>
      <w:tblGrid>
        <w:gridCol w:w="612"/>
        <w:gridCol w:w="2935"/>
        <w:gridCol w:w="1927"/>
      </w:tblGrid>
      <w:tr>
        <w:tblPrEx>
          <w:tblCellMar>
            <w:top w:w="0" w:type="dxa"/>
            <w:left w:w="0" w:type="dxa"/>
            <w:bottom w:w="0" w:type="dxa"/>
            <w:right w:w="0" w:type="dxa"/>
          </w:tblCellMar>
        </w:tblPrEx>
        <w:trPr>
          <w:trHeight w:val="397"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b/>
                <w:bCs/>
                <w:sz w:val="28"/>
                <w:szCs w:val="28"/>
              </w:rPr>
            </w:pPr>
            <w:r>
              <w:rPr>
                <w:rFonts w:hint="eastAsia" w:ascii="等线" w:hAnsi="等线" w:eastAsia="等线" w:cs="等线"/>
                <w:b/>
                <w:bCs/>
                <w:kern w:val="0"/>
                <w:sz w:val="28"/>
                <w:szCs w:val="28"/>
                <w:lang w:bidi="ar"/>
              </w:rPr>
              <w:t>序号</w:t>
            </w:r>
          </w:p>
        </w:tc>
        <w:tc>
          <w:tcPr>
            <w:tcW w:w="2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sz w:val="28"/>
                <w:szCs w:val="28"/>
              </w:rPr>
            </w:pPr>
            <w:r>
              <w:rPr>
                <w:rFonts w:hint="eastAsia" w:ascii="彩虹粗仿宋" w:hAnsi="彩虹粗仿宋" w:eastAsia="彩虹粗仿宋" w:cs="彩虹粗仿宋"/>
                <w:b/>
                <w:bCs/>
                <w:kern w:val="0"/>
                <w:sz w:val="28"/>
                <w:szCs w:val="28"/>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sz w:val="28"/>
                <w:szCs w:val="28"/>
              </w:rPr>
            </w:pPr>
            <w:r>
              <w:rPr>
                <w:rFonts w:hint="eastAsia" w:ascii="彩虹粗仿宋" w:hAnsi="彩虹粗仿宋" w:eastAsia="彩虹粗仿宋" w:cs="彩虹粗仿宋"/>
                <w:b/>
                <w:bCs/>
                <w:kern w:val="0"/>
                <w:sz w:val="28"/>
                <w:szCs w:val="28"/>
                <w:lang w:bidi="ar"/>
              </w:rPr>
              <w:t>单价（月/点）</w:t>
            </w:r>
          </w:p>
        </w:tc>
      </w:tr>
      <w:tr>
        <w:tblPrEx>
          <w:tblCellMar>
            <w:top w:w="0" w:type="dxa"/>
            <w:left w:w="0" w:type="dxa"/>
            <w:bottom w:w="0" w:type="dxa"/>
            <w:right w:w="0" w:type="dxa"/>
          </w:tblCellMar>
        </w:tblPrEx>
        <w:trPr>
          <w:trHeight w:val="397"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等线" w:hAnsi="等线" w:eastAsia="等线" w:cs="等线"/>
                <w:sz w:val="24"/>
                <w:szCs w:val="24"/>
                <w:lang w:val="en-US" w:eastAsia="zh-CN"/>
              </w:rPr>
            </w:pPr>
            <w:r>
              <w:rPr>
                <w:rFonts w:hint="eastAsia" w:ascii="等线" w:hAnsi="等线" w:eastAsia="等线" w:cs="等线"/>
                <w:sz w:val="24"/>
                <w:szCs w:val="24"/>
                <w:lang w:val="en-US" w:eastAsia="zh-CN"/>
              </w:rPr>
              <w:t>1</w:t>
            </w:r>
          </w:p>
        </w:tc>
        <w:tc>
          <w:tcPr>
            <w:tcW w:w="2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彩虹粗仿宋" w:hAnsi="彩虹粗仿宋" w:eastAsia="彩虹粗仿宋" w:cs="彩虹粗仿宋"/>
                <w:sz w:val="24"/>
                <w:szCs w:val="24"/>
              </w:rPr>
            </w:pPr>
            <w:r>
              <w:rPr>
                <w:rFonts w:hint="eastAsia" w:ascii="彩虹粗仿宋" w:hAnsi="彩虹粗仿宋" w:eastAsia="彩虹粗仿宋" w:cs="彩虹粗仿宋"/>
                <w:kern w:val="0"/>
                <w:sz w:val="20"/>
                <w:szCs w:val="20"/>
                <w:lang w:bidi="ar"/>
              </w:rPr>
              <w:t>漯河分行临颍支行110联网报警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sz w:val="24"/>
                <w:szCs w:val="24"/>
              </w:rPr>
            </w:pPr>
            <w:r>
              <w:rPr>
                <w:rFonts w:hint="eastAsia" w:ascii="彩虹粗仿宋" w:hAnsi="彩虹粗仿宋" w:eastAsia="彩虹粗仿宋" w:cs="彩虹粗仿宋"/>
                <w:kern w:val="0"/>
                <w:sz w:val="20"/>
                <w:szCs w:val="20"/>
                <w:lang w:bidi="ar"/>
              </w:rPr>
              <w:t xml:space="preserve">200.00 </w:t>
            </w:r>
          </w:p>
        </w:tc>
      </w:tr>
    </w:tbl>
    <w:p>
      <w:pPr>
        <w:adjustRightInd w:val="0"/>
        <w:snapToGrid w:val="0"/>
        <w:spacing w:line="560" w:lineRule="exact"/>
        <w:ind w:firstLine="633" w:firstLineChars="198"/>
        <w:rPr>
          <w:rFonts w:ascii="彩虹粗仿宋" w:hAnsi="宋体" w:eastAsia="彩虹粗仿宋"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pPr>
        <w:rPr>
          <w:rFonts w:ascii="彩虹黑体" w:eastAsia="彩虹黑体"/>
          <w:sz w:val="44"/>
          <w:szCs w:val="44"/>
        </w:rPr>
      </w:pPr>
    </w:p>
    <w:p>
      <w:pPr>
        <w:adjustRightInd w:val="0"/>
        <w:snapToGrid w:val="0"/>
        <w:spacing w:line="560" w:lineRule="exact"/>
        <w:ind w:firstLine="321" w:firstLineChars="100"/>
        <w:rPr>
          <w:rFonts w:ascii="彩虹粗仿宋" w:hAnsi="宋体" w:eastAsia="彩虹粗仿宋" w:cs="Times New Roman"/>
          <w:b/>
          <w:snapToGrid w:val="0"/>
          <w:kern w:val="0"/>
          <w:sz w:val="32"/>
          <w:szCs w:val="32"/>
        </w:rPr>
      </w:pPr>
    </w:p>
    <w:p>
      <w:pPr>
        <w:adjustRightInd w:val="0"/>
        <w:snapToGrid w:val="0"/>
        <w:spacing w:line="560" w:lineRule="exact"/>
        <w:ind w:firstLine="321" w:firstLineChars="100"/>
        <w:rPr>
          <w:rFonts w:ascii="彩虹粗仿宋" w:hAnsi="宋体" w:eastAsia="彩虹粗仿宋" w:cs="Times New Roman"/>
          <w:b/>
          <w:snapToGrid w:val="0"/>
          <w:kern w:val="0"/>
          <w:sz w:val="32"/>
          <w:szCs w:val="32"/>
        </w:rPr>
      </w:pPr>
    </w:p>
    <w:p>
      <w:pPr>
        <w:adjustRightInd w:val="0"/>
        <w:snapToGrid w:val="0"/>
        <w:spacing w:line="560" w:lineRule="exact"/>
        <w:ind w:firstLine="482" w:firstLineChars="150"/>
        <w:rPr>
          <w:rFonts w:ascii="彩虹粗仿宋" w:hAnsi="宋体" w:eastAsia="彩虹粗仿宋" w:cs="Times New Roman"/>
          <w:b/>
          <w:snapToGrid w:val="0"/>
          <w:kern w:val="0"/>
          <w:sz w:val="32"/>
          <w:szCs w:val="32"/>
        </w:rPr>
      </w:pPr>
    </w:p>
    <w:p/>
    <w:p>
      <w:pPr>
        <w:adjustRightInd w:val="0"/>
        <w:snapToGrid w:val="0"/>
        <w:spacing w:line="360" w:lineRule="auto"/>
        <w:jc w:val="cente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550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annotation reference"/>
    <w:basedOn w:val="4"/>
    <w:semiHidden/>
    <w:unhideWhenUsed/>
    <w:qFormat/>
    <w:uiPriority w:val="99"/>
    <w:rPr>
      <w:sz w:val="21"/>
      <w:szCs w:val="21"/>
    </w:rPr>
  </w:style>
  <w:style w:type="character" w:customStyle="1" w:styleId="6">
    <w:name w:val="im-content1"/>
    <w:basedOn w:val="4"/>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2024-05-23T01:20:55Z</dcterms:created>
  <dc:creator>haccb</dc:creator>
  <cp:lastModifiedBy>haccb</cp:lastModifiedBy>
  <dcterms:modified xsi:type="dcterms:W3CDTF">2024-05-23T01:21:03Z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0D86640ABE5540129EBB808D693F26AD_12</vt:lpwstr>
  </property>
</Properties>
</file>