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宋体" w:hAnsi="宋体" w:eastAsia="宋体" w:cs="宋体"/>
          <w:snapToGrid w:val="0"/>
          <w:kern w:val="0"/>
          <w:sz w:val="44"/>
          <w:szCs w:val="44"/>
        </w:rPr>
      </w:pPr>
      <w:r>
        <w:rPr>
          <w:rFonts w:hint="eastAsia" w:ascii="宋体" w:hAnsi="宋体" w:eastAsia="宋体" w:cs="宋体"/>
          <w:snapToGrid w:val="0"/>
          <w:kern w:val="0"/>
          <w:sz w:val="44"/>
          <w:szCs w:val="44"/>
        </w:rPr>
        <w:t>开封分行市辖区营业网点押运及金库守库服务采购需求</w:t>
      </w:r>
    </w:p>
    <w:p>
      <w:pPr>
        <w:adjustRightInd w:val="0"/>
        <w:snapToGrid w:val="0"/>
        <w:spacing w:line="560" w:lineRule="exact"/>
        <w:ind w:firstLine="640" w:firstLineChars="200"/>
        <w:rPr>
          <w:rFonts w:ascii="彩虹黑体" w:hAnsi="宋体" w:eastAsia="彩虹黑体" w:cs="Times New Roman"/>
          <w:snapToGrid w:val="0"/>
          <w:kern w:val="0"/>
          <w:sz w:val="32"/>
          <w:szCs w:val="32"/>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（一）具有独立法人资格，有效的营业执照，具有</w:t>
      </w:r>
      <w:r>
        <w:rPr>
          <w:rFonts w:ascii="彩虹粗仿宋" w:eastAsia="彩虹粗仿宋"/>
          <w:sz w:val="32"/>
          <w:szCs w:val="32"/>
        </w:rPr>
        <w:t>经省公安厅批准颁发的</w:t>
      </w:r>
      <w:r>
        <w:rPr>
          <w:rFonts w:hint="eastAsia" w:ascii="彩虹粗仿宋" w:eastAsia="彩虹粗仿宋"/>
          <w:sz w:val="32"/>
        </w:rPr>
        <w:t>具有武装守护、押运的保安服务许可证</w:t>
      </w:r>
      <w:r>
        <w:rPr>
          <w:rFonts w:ascii="彩虹粗仿宋" w:eastAsia="彩虹粗仿宋"/>
          <w:sz w:val="32"/>
          <w:szCs w:val="32"/>
        </w:rPr>
        <w:t>。</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（二）正常经营，财务状况良好，提供</w:t>
      </w:r>
      <w:r>
        <w:rPr>
          <w:rFonts w:hint="eastAsia" w:ascii="彩虹粗仿宋" w:eastAsia="彩虹粗仿宋"/>
          <w:sz w:val="32"/>
          <w:szCs w:val="32"/>
          <w:lang w:val="en-US" w:eastAsia="zh-CN"/>
        </w:rPr>
        <w:t>2020-2022</w:t>
      </w:r>
      <w:bookmarkStart w:id="0" w:name="_GoBack"/>
      <w:bookmarkEnd w:id="0"/>
      <w:r>
        <w:rPr>
          <w:rFonts w:hint="eastAsia" w:ascii="彩虹粗仿宋" w:eastAsia="彩虹粗仿宋"/>
          <w:sz w:val="32"/>
          <w:szCs w:val="32"/>
        </w:rPr>
        <w:t>年经审计的财务报告或财务报表（新成立企业从成立日计算）。</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（三）2021年1月1日以来具有银行押运同类项目经验。</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（五）本项目不允许联合体投标，不允许分包或转包。</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（六）外商独资、中外合资、中外合作的保安公司不得参与（根据保安服务管理条例第二十二条规定）。</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spacing w:line="560" w:lineRule="exact"/>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3118"/>
        <w:gridCol w:w="1418"/>
        <w:gridCol w:w="3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417"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品类编码</w:t>
            </w:r>
          </w:p>
        </w:tc>
        <w:tc>
          <w:tcPr>
            <w:tcW w:w="31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品类</w:t>
            </w:r>
          </w:p>
        </w:tc>
        <w:tc>
          <w:tcPr>
            <w:tcW w:w="14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品类编码</w:t>
            </w:r>
          </w:p>
        </w:tc>
        <w:tc>
          <w:tcPr>
            <w:tcW w:w="3485"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17"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C1303</w:t>
            </w:r>
          </w:p>
        </w:tc>
        <w:tc>
          <w:tcPr>
            <w:tcW w:w="31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押运服务</w:t>
            </w:r>
          </w:p>
        </w:tc>
        <w:tc>
          <w:tcPr>
            <w:tcW w:w="14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C130301</w:t>
            </w:r>
          </w:p>
        </w:tc>
        <w:tc>
          <w:tcPr>
            <w:tcW w:w="3485"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彩虹粗仿宋" w:eastAsia="彩虹粗仿宋" w:cs="彩虹粗仿宋"/>
                <w:kern w:val="0"/>
                <w:sz w:val="28"/>
                <w:szCs w:val="32"/>
              </w:rPr>
              <w:t>人民币钞币押运服务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17" w:type="dxa"/>
            <w:vAlign w:val="center"/>
          </w:tcPr>
          <w:p>
            <w:pPr>
              <w:adjustRightInd w:val="0"/>
              <w:snapToGrid w:val="0"/>
              <w:spacing w:line="560" w:lineRule="exact"/>
              <w:jc w:val="center"/>
              <w:rPr>
                <w:rFonts w:ascii="彩虹粗仿宋" w:hAnsi="宋体" w:eastAsia="彩虹粗仿宋" w:cs="Times New Roman"/>
                <w:snapToGrid w:val="0"/>
                <w:color w:val="FF0000"/>
                <w:kern w:val="0"/>
                <w:sz w:val="28"/>
                <w:szCs w:val="32"/>
              </w:rPr>
            </w:pPr>
          </w:p>
        </w:tc>
        <w:tc>
          <w:tcPr>
            <w:tcW w:w="3118" w:type="dxa"/>
            <w:vAlign w:val="center"/>
          </w:tcPr>
          <w:p>
            <w:pPr>
              <w:adjustRightInd w:val="0"/>
              <w:snapToGrid w:val="0"/>
              <w:spacing w:line="560" w:lineRule="exact"/>
              <w:jc w:val="center"/>
              <w:rPr>
                <w:rFonts w:ascii="彩虹粗仿宋" w:hAnsi="宋体" w:eastAsia="彩虹粗仿宋" w:cs="Times New Roman"/>
                <w:snapToGrid w:val="0"/>
                <w:color w:val="FF0000"/>
                <w:kern w:val="0"/>
                <w:sz w:val="28"/>
                <w:szCs w:val="32"/>
              </w:rPr>
            </w:pPr>
            <w:r>
              <w:rPr>
                <w:rFonts w:hint="eastAsia" w:ascii="彩虹粗仿宋" w:hAnsi="宋体" w:eastAsia="彩虹粗仿宋" w:cs="Times New Roman"/>
                <w:snapToGrid w:val="0"/>
                <w:color w:val="FF0000"/>
                <w:kern w:val="0"/>
                <w:sz w:val="28"/>
                <w:szCs w:val="32"/>
              </w:rPr>
              <w:t>金库值守</w:t>
            </w:r>
          </w:p>
        </w:tc>
        <w:tc>
          <w:tcPr>
            <w:tcW w:w="1418" w:type="dxa"/>
            <w:vAlign w:val="center"/>
          </w:tcPr>
          <w:p>
            <w:pPr>
              <w:adjustRightInd w:val="0"/>
              <w:snapToGrid w:val="0"/>
              <w:spacing w:line="560" w:lineRule="exact"/>
              <w:jc w:val="center"/>
              <w:rPr>
                <w:rFonts w:ascii="彩虹粗仿宋" w:hAnsi="宋体" w:eastAsia="彩虹粗仿宋" w:cs="Times New Roman"/>
                <w:snapToGrid w:val="0"/>
                <w:color w:val="FF0000"/>
                <w:kern w:val="0"/>
                <w:sz w:val="28"/>
                <w:szCs w:val="32"/>
              </w:rPr>
            </w:pPr>
          </w:p>
        </w:tc>
        <w:tc>
          <w:tcPr>
            <w:tcW w:w="3485" w:type="dxa"/>
            <w:vAlign w:val="center"/>
          </w:tcPr>
          <w:p>
            <w:pPr>
              <w:adjustRightInd w:val="0"/>
              <w:snapToGrid w:val="0"/>
              <w:spacing w:line="560" w:lineRule="exact"/>
              <w:jc w:val="center"/>
              <w:rPr>
                <w:rFonts w:ascii="彩虹粗仿宋" w:hAnsi="彩虹粗仿宋" w:eastAsia="彩虹粗仿宋" w:cs="彩虹粗仿宋"/>
                <w:color w:val="FF0000"/>
                <w:kern w:val="0"/>
                <w:sz w:val="28"/>
                <w:szCs w:val="32"/>
              </w:rPr>
            </w:pPr>
            <w:r>
              <w:rPr>
                <w:rFonts w:hint="eastAsia" w:ascii="彩虹粗仿宋" w:hAnsi="彩虹粗仿宋" w:eastAsia="彩虹粗仿宋" w:cs="彩虹粗仿宋"/>
                <w:color w:val="FF0000"/>
                <w:kern w:val="0"/>
                <w:sz w:val="28"/>
                <w:szCs w:val="32"/>
              </w:rPr>
              <w:t>金库值守</w:t>
            </w:r>
          </w:p>
        </w:tc>
      </w:tr>
    </w:tbl>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（二）服务范围：</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微软雅黑" w:eastAsia="彩虹粗仿宋" w:cs="宋体"/>
          <w:kern w:val="0"/>
          <w:sz w:val="32"/>
          <w:szCs w:val="32"/>
        </w:rPr>
        <w:t>本次集中采购项目为开封分行城区支行现有</w:t>
      </w:r>
      <w:r>
        <w:rPr>
          <w:rFonts w:ascii="彩虹粗仿宋" w:hAnsi="微软雅黑" w:eastAsia="彩虹粗仿宋" w:cs="宋体"/>
          <w:kern w:val="0"/>
          <w:sz w:val="32"/>
          <w:szCs w:val="32"/>
        </w:rPr>
        <w:t>1</w:t>
      </w:r>
      <w:r>
        <w:rPr>
          <w:rFonts w:hint="eastAsia" w:ascii="彩虹粗仿宋" w:hAnsi="微软雅黑" w:eastAsia="彩虹粗仿宋" w:cs="宋体"/>
          <w:kern w:val="0"/>
          <w:sz w:val="32"/>
          <w:szCs w:val="32"/>
        </w:rPr>
        <w:t>9个营业网点（含附行自助）、21个离行式自助（设备）银行的武装押运服务及金库值守服务</w:t>
      </w:r>
      <w:r>
        <w:rPr>
          <w:rFonts w:hint="eastAsia" w:ascii="彩虹粗仿宋" w:hAnsi="Calibri" w:eastAsia="彩虹粗仿宋" w:cs="宋体"/>
          <w:kern w:val="0"/>
          <w:sz w:val="32"/>
          <w:szCs w:val="32"/>
        </w:rPr>
        <w:t>。</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（三）服务内容：</w:t>
      </w:r>
    </w:p>
    <w:p>
      <w:pPr>
        <w:adjustRightInd w:val="0"/>
        <w:snapToGrid w:val="0"/>
        <w:spacing w:line="560" w:lineRule="exact"/>
        <w:ind w:firstLine="640" w:firstLineChars="200"/>
        <w:rPr>
          <w:rFonts w:ascii="彩虹粗仿宋" w:hAnsi="宋体" w:eastAsia="彩虹粗仿宋" w:cs="Courier New"/>
          <w:sz w:val="32"/>
          <w:szCs w:val="32"/>
        </w:rPr>
      </w:pPr>
      <w:r>
        <w:rPr>
          <w:rFonts w:hint="eastAsia" w:ascii="彩虹粗仿宋" w:eastAsia="彩虹粗仿宋" w:cs="Times New Roman" w:hAnsiTheme="minorEastAsia"/>
          <w:sz w:val="32"/>
          <w:szCs w:val="32"/>
        </w:rPr>
        <w:t>1.供应商负责向</w:t>
      </w:r>
      <w:r>
        <w:rPr>
          <w:rFonts w:hint="eastAsia" w:ascii="彩虹粗仿宋" w:hAnsi="宋体" w:eastAsia="彩虹粗仿宋" w:cs="Courier New"/>
          <w:sz w:val="32"/>
          <w:szCs w:val="32"/>
        </w:rPr>
        <w:t>业务点（是指营业场所、自助设备、上门服务点）的早、晚营业尾款箱（包）接送；业务点营业期间提缴现金；业务点配送外币、实物黄金;离行式自助（设备）银行收、送现金;我行客户上门收、送现金；去往当地人行提取或缴存现金；到开封分行本部领取重要空白凭证和向业务点配送重要空白凭证;业务点之间的票据、紧急公文等重要物品传递或者</w:t>
      </w:r>
      <w:r>
        <w:rPr>
          <w:rFonts w:hint="eastAsia" w:ascii="彩虹粗仿宋" w:hAnsi="微软雅黑" w:eastAsia="彩虹粗仿宋" w:cs="宋体"/>
          <w:kern w:val="0"/>
          <w:sz w:val="32"/>
          <w:szCs w:val="32"/>
        </w:rPr>
        <w:t>因业务需要产生的临时押运事项等</w:t>
      </w:r>
      <w:r>
        <w:rPr>
          <w:rFonts w:hint="eastAsia" w:ascii="彩虹粗仿宋" w:hAnsi="宋体" w:eastAsia="彩虹粗仿宋" w:cs="Courier New"/>
          <w:sz w:val="32"/>
          <w:szCs w:val="32"/>
        </w:rPr>
        <w:t>提供武装押运服务。</w:t>
      </w:r>
    </w:p>
    <w:p>
      <w:pPr>
        <w:adjustRightInd w:val="0"/>
        <w:snapToGrid w:val="0"/>
        <w:spacing w:line="560" w:lineRule="exact"/>
        <w:ind w:firstLine="640" w:firstLineChars="200"/>
        <w:rPr>
          <w:rFonts w:ascii="彩虹粗仿宋" w:hAnsi="宋体" w:eastAsia="彩虹粗仿宋" w:cs="Courier New"/>
          <w:sz w:val="32"/>
          <w:szCs w:val="32"/>
        </w:rPr>
      </w:pPr>
      <w:r>
        <w:rPr>
          <w:rFonts w:hint="eastAsia" w:ascii="彩虹粗仿宋" w:hAnsi="宋体" w:eastAsia="彩虹粗仿宋" w:cs="Courier New"/>
          <w:sz w:val="32"/>
          <w:szCs w:val="32"/>
        </w:rPr>
        <w:t>2.</w:t>
      </w:r>
      <w:r>
        <w:rPr>
          <w:rFonts w:hint="eastAsia" w:ascii="彩虹粗仿宋" w:hAnsi="微软雅黑" w:eastAsia="彩虹粗仿宋" w:cs="宋体"/>
          <w:kern w:val="0"/>
          <w:sz w:val="32"/>
          <w:szCs w:val="32"/>
        </w:rPr>
        <w:t>金库24小时武装安保值守服务</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1.押运公司6台制式押运车组，每车组不低于5人（含2名押运人员、2名款箱员和1名司机）（不含守押公司驻行联系人）；外包服务人员经过专业培训，符合武装守护要求，持证上岗；三是驻行车组及人员按照我行的要求完成每次的任务，遵章守纪，合规履职；四是守押公司承诺为我行车组人员提供营运期间的支持保障及应急工作；五是合作期限不低于一年。</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2.金库24小时武装安保值守，三班轮值，每班不得少于2人次。</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560" w:lineRule="exact"/>
        <w:ind w:firstLine="643" w:firstLineChars="200"/>
        <w:rPr>
          <w:rFonts w:ascii="彩虹楷体" w:hAnsi="宋体" w:eastAsia="彩虹楷体" w:cs="Courier New"/>
          <w:b/>
          <w:sz w:val="32"/>
          <w:szCs w:val="32"/>
        </w:rPr>
      </w:pPr>
      <w:r>
        <w:rPr>
          <w:rFonts w:hint="eastAsia" w:ascii="彩虹楷体" w:eastAsia="彩虹楷体"/>
          <w:b/>
          <w:sz w:val="32"/>
          <w:szCs w:val="32"/>
        </w:rPr>
        <w:t>（一）服务质量标准</w:t>
      </w:r>
    </w:p>
    <w:p>
      <w:pPr>
        <w:adjustRightInd w:val="0"/>
        <w:snapToGrid w:val="0"/>
        <w:spacing w:line="560" w:lineRule="exact"/>
        <w:ind w:firstLine="640" w:firstLineChars="200"/>
        <w:rPr>
          <w:rFonts w:ascii="彩虹粗仿宋" w:hAnsi="宋体" w:eastAsia="彩虹粗仿宋" w:cs="Courier New"/>
          <w:sz w:val="32"/>
          <w:szCs w:val="32"/>
        </w:rPr>
      </w:pPr>
      <w:r>
        <w:rPr>
          <w:rFonts w:hint="eastAsia" w:ascii="彩虹粗仿宋" w:hAnsi="宋体" w:eastAsia="彩虹粗仿宋" w:cs="Courier New"/>
          <w:sz w:val="32"/>
          <w:szCs w:val="32"/>
        </w:rPr>
        <w:t>1.供应商承诺提供合格的服务，接受我行对其工作的指导和监督。</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2.供应商配备必要的制式押运车辆、枪械和钞币运送人员。</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3.供应商负责与服务人员签订符合《劳动法》的正式合同，负责劳动用工以及涉及劳动关系管理的所有事宜。并承诺基本保障性工资不低于所在工作地区最低工资标准，按照国家规定缴纳社会保险等。</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4.供应商负责制定与受托业务相关的内控制度、操作规程、人员考核等办法，并报我行备案；未经我行书面同意，供应商不得将其在协议约定项下全部或部分权利义务转让或分包给任意第三方。</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5.供应商派驻的服务人员应经过培训，并取得上岗资格证。</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6.供应商派驻的服务人员未经允许，不得进入我方营业柜台等场所，不得以任何手段窃取、泄漏我方商业机密，不得干涉我方的正常经营。</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7.专用运钞车内应按规定安装报警、电视监控、通讯器材、配备必要消防器材。</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8.</w:t>
      </w:r>
      <w:r>
        <w:rPr>
          <w:rFonts w:hint="eastAsia" w:ascii="彩虹粗仿宋" w:hAnsi="宋体" w:eastAsia="彩虹粗仿宋" w:cs="Times New Roman"/>
          <w:snapToGrid w:val="0"/>
          <w:kern w:val="0"/>
          <w:sz w:val="32"/>
          <w:szCs w:val="32"/>
        </w:rPr>
        <w:t xml:space="preserve"> 运钞车应按时停靠在我行指定的地点，保证随叫随到，准时、安全地将押运物送达我行要求的地点。出入我行营业场所的押运物在该营业场所现金业务区联动互锁门以内的视频监控下进行交接，守护人员按规定着装。</w:t>
      </w:r>
    </w:p>
    <w:p>
      <w:pPr>
        <w:adjustRightInd w:val="0"/>
        <w:snapToGrid w:val="0"/>
        <w:spacing w:line="560" w:lineRule="exact"/>
        <w:ind w:firstLine="643" w:firstLineChars="200"/>
        <w:rPr>
          <w:rFonts w:ascii="彩虹楷体" w:eastAsia="彩虹楷体"/>
          <w:b/>
          <w:sz w:val="32"/>
          <w:szCs w:val="32"/>
        </w:rPr>
      </w:pPr>
      <w:r>
        <w:rPr>
          <w:rFonts w:hint="eastAsia" w:ascii="彩虹楷体" w:eastAsia="彩虹楷体"/>
          <w:b/>
          <w:sz w:val="32"/>
          <w:szCs w:val="32"/>
        </w:rPr>
        <w:t>（二）风险控制和应急措施</w:t>
      </w:r>
    </w:p>
    <w:p>
      <w:pPr>
        <w:adjustRightInd w:val="0"/>
        <w:snapToGrid w:val="0"/>
        <w:spacing w:line="560" w:lineRule="exact"/>
        <w:ind w:firstLine="6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为保证我行权益和商业机密，需采取以下风险控制和应急措施。</w:t>
      </w:r>
    </w:p>
    <w:p>
      <w:pPr>
        <w:adjustRightInd w:val="0"/>
        <w:snapToGrid w:val="0"/>
        <w:spacing w:line="560" w:lineRule="exact"/>
        <w:ind w:firstLine="656" w:firstLineChars="205"/>
        <w:rPr>
          <w:rFonts w:ascii="彩虹楷体" w:hAnsi="宋体" w:eastAsia="彩虹楷体" w:cs="Times New Roman"/>
          <w:sz w:val="32"/>
          <w:szCs w:val="32"/>
        </w:rPr>
      </w:pPr>
      <w:r>
        <w:rPr>
          <w:rFonts w:hint="eastAsia" w:ascii="彩虹楷体" w:hAnsi="宋体" w:eastAsia="彩虹楷体" w:cs="Times New Roman"/>
          <w:sz w:val="32"/>
          <w:szCs w:val="32"/>
        </w:rPr>
        <w:t>1.风险控制措施</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严禁供应商以我行名义进行用工管理或开展生产经营活动。</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（1）日常管理、监督和检查。</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fldChar w:fldCharType="begin"/>
      </w:r>
      <w:r>
        <w:rPr>
          <w:rFonts w:hint="eastAsia" w:ascii="彩虹粗仿宋" w:hAnsi="Times New Roman" w:eastAsia="彩虹粗仿宋" w:cs="Times New Roman"/>
          <w:sz w:val="32"/>
          <w:szCs w:val="32"/>
        </w:rPr>
        <w:instrText xml:space="preserve"> = 1 \* GB3 \* MERGEFORMAT </w:instrText>
      </w:r>
      <w:r>
        <w:rPr>
          <w:rFonts w:hint="eastAsia" w:ascii="彩虹粗仿宋" w:hAnsi="Times New Roman" w:eastAsia="彩虹粗仿宋" w:cs="Times New Roman"/>
          <w:sz w:val="32"/>
          <w:szCs w:val="32"/>
        </w:rPr>
        <w:fldChar w:fldCharType="separate"/>
      </w:r>
      <w:r>
        <w:t>①</w:t>
      </w:r>
      <w:r>
        <w:rPr>
          <w:rFonts w:hint="eastAsia" w:ascii="彩虹粗仿宋" w:hAnsi="Times New Roman" w:eastAsia="彩虹粗仿宋" w:cs="Times New Roman"/>
          <w:sz w:val="32"/>
          <w:szCs w:val="32"/>
        </w:rPr>
        <w:fldChar w:fldCharType="end"/>
      </w:r>
      <w:r>
        <w:rPr>
          <w:rFonts w:hint="eastAsia" w:ascii="彩虹粗仿宋" w:hAnsi="Times New Roman" w:eastAsia="彩虹粗仿宋" w:cs="Times New Roman"/>
          <w:sz w:val="32"/>
          <w:szCs w:val="32"/>
        </w:rPr>
        <w:t>钞币运送和守护业务应按规程操作。</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fldChar w:fldCharType="begin"/>
      </w:r>
      <w:r>
        <w:rPr>
          <w:rFonts w:hint="eastAsia" w:ascii="彩虹粗仿宋" w:hAnsi="Times New Roman" w:eastAsia="彩虹粗仿宋" w:cs="Times New Roman"/>
          <w:sz w:val="32"/>
          <w:szCs w:val="32"/>
        </w:rPr>
        <w:instrText xml:space="preserve"> = 2 \* GB3 \* MERGEFORMAT </w:instrText>
      </w:r>
      <w:r>
        <w:rPr>
          <w:rFonts w:hint="eastAsia" w:ascii="彩虹粗仿宋" w:hAnsi="Times New Roman" w:eastAsia="彩虹粗仿宋" w:cs="Times New Roman"/>
          <w:sz w:val="32"/>
          <w:szCs w:val="32"/>
        </w:rPr>
        <w:fldChar w:fldCharType="separate"/>
      </w:r>
      <w:r>
        <w:t>②</w:t>
      </w:r>
      <w:r>
        <w:rPr>
          <w:rFonts w:hint="eastAsia" w:ascii="彩虹粗仿宋" w:hAnsi="Times New Roman" w:eastAsia="彩虹粗仿宋" w:cs="Times New Roman"/>
          <w:sz w:val="32"/>
          <w:szCs w:val="32"/>
        </w:rPr>
        <w:fldChar w:fldCharType="end"/>
      </w:r>
      <w:r>
        <w:rPr>
          <w:rFonts w:hint="eastAsia" w:ascii="彩虹粗仿宋" w:hAnsi="Times New Roman" w:eastAsia="彩虹粗仿宋" w:cs="Times New Roman"/>
          <w:sz w:val="32"/>
          <w:szCs w:val="32"/>
        </w:rPr>
        <w:t>定期对服务进行检查，每季度至少开展一次检查，每季度召开一次联席会，对检查发现问题及时通报供应商，限期整改和落实，每年度结束后形成年度评估报告。</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③服务监督管理实行“对事不对人”，供应商负责服务人员的招聘、管理、考核、薪酬发放等工作，我行负责监督检查供应商服务的数量、质量、应急处置。</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（2）保密要求</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①供应商需与服务人员签订《保密协议》，防范客户信息泄露的风险，严格防范操作风险、声誉风险及其它风险。</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②服务人员只能掌握了解工作需要的相关信息，不得将我行信息资料以任何方式透露给其他任何机构或个人。</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③服务人员不得利用工作之便窃取、收买或者非法提供他人申请信息资料进行各种非法活动。</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④由于供应商原因导致我行及客户信息泄漏的，按我行将追究相关责任。</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⑤供应商应严守我行的商业秘密、技术秘密和其他业务信息，不得泄露。</w:t>
      </w:r>
    </w:p>
    <w:p>
      <w:pPr>
        <w:adjustRightInd w:val="0"/>
        <w:snapToGrid w:val="0"/>
        <w:spacing w:line="560" w:lineRule="exact"/>
        <w:ind w:firstLine="819" w:firstLineChars="256"/>
        <w:rPr>
          <w:rFonts w:ascii="彩虹粗仿宋" w:hAnsi="宋体" w:eastAsia="彩虹粗仿宋" w:cs="Times New Roman"/>
          <w:sz w:val="32"/>
          <w:szCs w:val="32"/>
        </w:rPr>
      </w:pPr>
      <w:r>
        <w:rPr>
          <w:rFonts w:hint="eastAsia" w:ascii="彩虹粗仿宋" w:hAnsi="宋体" w:eastAsia="彩虹粗仿宋" w:cs="Times New Roman"/>
          <w:sz w:val="32"/>
          <w:szCs w:val="32"/>
        </w:rPr>
        <w:t>2.应急措施</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（1）供应商应制定应急预案，预案场景设置、预案分工、预案演练、预案评估，并明确应急处置流程。</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（2）押运途中或守护期间如遇抢劫、事故等情况，服务人员应及时报告我行以及供应商，启动应急处置预案。</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（3）造成我行经济损失的，我行将进行索赔；造成我行声誉损失的，供应商应积极配合我行采取措施消除影响、恢复声誉；涉嫌违法犯罪的，及时向公安机关报案。</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（4）供应商在处理事（案）件过程中要时刻向我行报告进展情况，待风险解除后，形成书面报告报送我行，我行综合评估后确定是否继续开展事项。</w:t>
      </w:r>
    </w:p>
    <w:p>
      <w:pPr>
        <w:adjustRightInd w:val="0"/>
        <w:snapToGrid w:val="0"/>
        <w:spacing w:line="560" w:lineRule="exact"/>
        <w:ind w:firstLine="643" w:firstLineChars="200"/>
        <w:rPr>
          <w:rFonts w:ascii="彩虹楷体" w:eastAsia="彩虹楷体"/>
          <w:b/>
          <w:sz w:val="32"/>
          <w:szCs w:val="32"/>
        </w:rPr>
      </w:pPr>
      <w:r>
        <w:rPr>
          <w:rFonts w:hint="eastAsia" w:ascii="彩虹楷体" w:eastAsia="彩虹楷体"/>
          <w:b/>
          <w:sz w:val="32"/>
          <w:szCs w:val="32"/>
        </w:rPr>
        <w:t>（三）消保条款要求</w:t>
      </w:r>
    </w:p>
    <w:p>
      <w:pPr>
        <w:spacing w:line="560" w:lineRule="exact"/>
        <w:ind w:firstLine="636"/>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3.消费者投诉条款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4.其他行为监督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spacing w:line="600" w:lineRule="exact"/>
        <w:ind w:firstLine="643" w:firstLineChars="200"/>
        <w:jc w:val="left"/>
        <w:rPr>
          <w:rFonts w:ascii="彩虹楷体" w:hAnsi="彩虹楷体" w:eastAsia="彩虹楷体" w:cs="彩虹楷体"/>
          <w:b/>
          <w:bCs/>
          <w:kern w:val="0"/>
          <w:sz w:val="32"/>
          <w:szCs w:val="32"/>
        </w:rPr>
      </w:pPr>
      <w:r>
        <w:rPr>
          <w:rFonts w:hint="eastAsia" w:ascii="彩虹楷体" w:hAnsi="彩虹楷体" w:eastAsia="彩虹楷体" w:cs="彩虹楷体"/>
          <w:b/>
          <w:bCs/>
          <w:kern w:val="0"/>
          <w:sz w:val="32"/>
          <w:szCs w:val="32"/>
        </w:rPr>
        <w:t>（四）验收标准和验收方法</w:t>
      </w:r>
    </w:p>
    <w:p>
      <w:pPr>
        <w:spacing w:line="600" w:lineRule="exact"/>
        <w:ind w:firstLine="640" w:firstLineChars="200"/>
        <w:jc w:val="left"/>
        <w:rPr>
          <w:rFonts w:ascii="彩虹楷体" w:hAnsi="彩虹楷体" w:eastAsia="彩虹粗仿宋" w:cs="彩虹楷体"/>
          <w:b/>
          <w:bCs/>
          <w:kern w:val="0"/>
          <w:sz w:val="32"/>
          <w:szCs w:val="32"/>
        </w:rPr>
      </w:pPr>
      <w:r>
        <w:rPr>
          <w:rFonts w:hint="eastAsia" w:ascii="彩虹粗仿宋" w:hAnsi="宋体" w:eastAsia="彩虹粗仿宋" w:cs="Times New Roman"/>
          <w:snapToGrid w:val="0"/>
          <w:kern w:val="0"/>
          <w:sz w:val="32"/>
          <w:szCs w:val="32"/>
        </w:rPr>
        <w:t>供应商应按照我行要求准确及时运送标的物并保证其正常，如出现标的物的遗失或损坏，供应商应照价赔偿并接受每次10000元的考核。</w:t>
      </w:r>
    </w:p>
    <w:p>
      <w:pPr>
        <w:adjustRightInd w:val="0"/>
        <w:snapToGrid w:val="0"/>
        <w:spacing w:line="560" w:lineRule="exact"/>
        <w:ind w:firstLine="600"/>
        <w:rPr>
          <w:rFonts w:ascii="彩虹黑体" w:hAnsi="彩虹黑体" w:eastAsia="彩虹黑体" w:cs="彩虹黑体"/>
          <w:sz w:val="32"/>
          <w:szCs w:val="32"/>
        </w:rPr>
      </w:pPr>
      <w:r>
        <w:rPr>
          <w:rFonts w:hint="eastAsia" w:ascii="彩虹黑体" w:hAnsi="彩虹黑体" w:eastAsia="彩虹黑体" w:cs="彩虹黑体"/>
          <w:sz w:val="32"/>
          <w:szCs w:val="32"/>
        </w:rPr>
        <w:t>五、服务供应安排</w:t>
      </w:r>
    </w:p>
    <w:p>
      <w:pPr>
        <w:adjustRightInd w:val="0"/>
        <w:snapToGrid w:val="0"/>
        <w:spacing w:line="560" w:lineRule="atLeas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1.开封分行城区支行现有19个营业网点（含附行自助）、21个离行式自助（设备）银行，保证</w:t>
      </w:r>
      <w:r>
        <w:rPr>
          <w:rFonts w:hint="eastAsia" w:ascii="彩虹粗仿宋" w:hAnsi="宋体" w:eastAsia="彩虹粗仿宋" w:cs="Courier New"/>
          <w:sz w:val="32"/>
          <w:szCs w:val="32"/>
        </w:rPr>
        <w:t>业务点（是指营业场所、自助设备、上门服务点）的早、晚营业尾款箱（包）接送；业务点营业期间提缴现金；业务点配送外币、实物黄金;离行式自助（设备）银行收、送现金;我行客户上门收、送现金；去往当地人行提取或缴存现金；去往开封分行本部领取重要空白凭证和向业务点配送重要空白凭证;业务点与开封分行本部之间的票据、紧急公文等重要物品传递</w:t>
      </w:r>
      <w:r>
        <w:rPr>
          <w:rFonts w:hint="eastAsia" w:ascii="彩虹粗仿宋" w:hAnsi="微软雅黑" w:eastAsia="彩虹粗仿宋" w:cs="宋体"/>
          <w:kern w:val="0"/>
          <w:sz w:val="32"/>
          <w:szCs w:val="32"/>
        </w:rPr>
        <w:t>或者因业务需要产生的临时押运事项。</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押运人员执勤的工作时间与网点营业时间保持一致，接受我行的安全业务检查，每人每周工作时间符合国家法定工作时间。服务过程中产生的人员、车辆等费用均有供应商承担。</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微软雅黑" w:eastAsia="彩虹粗仿宋" w:cs="宋体"/>
          <w:kern w:val="0"/>
          <w:sz w:val="32"/>
          <w:szCs w:val="32"/>
        </w:rPr>
        <w:t>2.金库24小时武装安保值守，三班轮值，每班不得少于2人次。</w:t>
      </w:r>
    </w:p>
    <w:p>
      <w:pPr>
        <w:adjustRightInd w:val="0"/>
        <w:snapToGrid w:val="0"/>
        <w:spacing w:line="560" w:lineRule="exact"/>
        <w:ind w:firstLine="600"/>
        <w:rPr>
          <w:rFonts w:ascii="彩虹黑体" w:hAnsi="彩虹黑体" w:eastAsia="彩虹黑体" w:cs="彩虹黑体"/>
          <w:sz w:val="32"/>
          <w:szCs w:val="32"/>
        </w:rPr>
      </w:pPr>
      <w:r>
        <w:rPr>
          <w:rFonts w:hint="eastAsia" w:ascii="彩虹黑体" w:hAnsi="彩虹黑体" w:eastAsia="彩虹黑体" w:cs="彩虹黑体"/>
          <w:sz w:val="32"/>
          <w:szCs w:val="32"/>
        </w:rPr>
        <w:t>六、服务数量要求</w:t>
      </w:r>
    </w:p>
    <w:p>
      <w:pPr>
        <w:adjustRightInd w:val="0"/>
        <w:snapToGrid w:val="0"/>
        <w:spacing w:line="560" w:lineRule="exact"/>
        <w:ind w:firstLine="358" w:firstLineChars="112"/>
        <w:rPr>
          <w:rFonts w:ascii="彩虹粗仿宋" w:hAnsi="宋体" w:eastAsia="彩虹粗仿宋" w:cs="Times New Roman"/>
          <w:sz w:val="32"/>
          <w:szCs w:val="32"/>
        </w:rPr>
      </w:pPr>
      <w:r>
        <w:rPr>
          <w:rFonts w:hint="eastAsia" w:ascii="彩虹粗仿宋" w:hAnsi="微软雅黑" w:eastAsia="彩虹粗仿宋" w:cs="宋体"/>
          <w:kern w:val="0"/>
          <w:sz w:val="32"/>
          <w:szCs w:val="32"/>
        </w:rPr>
        <w:t>开封分行城区支行现有19个营业网点（含附行自助）、21个离行式自助（设备）银行，</w:t>
      </w:r>
      <w:r>
        <w:rPr>
          <w:rFonts w:hint="eastAsia" w:ascii="彩虹粗仿宋" w:hAnsi="Calibri" w:eastAsia="彩虹粗仿宋" w:cs="宋体"/>
          <w:kern w:val="0"/>
          <w:sz w:val="32"/>
          <w:szCs w:val="32"/>
        </w:rPr>
        <w:t>为保障我行业务安全运营，</w:t>
      </w:r>
      <w:r>
        <w:rPr>
          <w:rFonts w:hint="eastAsia" w:ascii="彩虹粗仿宋" w:hAnsi="宋体" w:eastAsia="彩虹粗仿宋" w:cs="Times New Roman"/>
          <w:sz w:val="32"/>
          <w:szCs w:val="32"/>
        </w:rPr>
        <w:t>预计2024年度共需求6台押运车辆，负责开封分行城区支行所辖营业点的早晚接送款、清机加钞、上门收款等业务服务。</w:t>
      </w:r>
    </w:p>
    <w:p>
      <w:pPr>
        <w:adjustRightInd w:val="0"/>
        <w:snapToGrid w:val="0"/>
        <w:spacing w:line="560" w:lineRule="exact"/>
        <w:ind w:firstLine="600"/>
        <w:rPr>
          <w:rFonts w:ascii="彩虹黑体" w:hAnsi="彩虹黑体" w:eastAsia="彩虹黑体" w:cs="彩虹黑体"/>
          <w:sz w:val="32"/>
          <w:szCs w:val="32"/>
        </w:rPr>
      </w:pPr>
      <w:r>
        <w:rPr>
          <w:rFonts w:hint="eastAsia" w:ascii="彩虹黑体" w:hAnsi="彩虹黑体" w:eastAsia="彩虹黑体" w:cs="彩虹黑体"/>
          <w:sz w:val="32"/>
          <w:szCs w:val="32"/>
        </w:rPr>
        <w:t>七、款项支付要求</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楷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5053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2024-05-23T02:04:50Z</dcterms:created>
  <dc:creator>haccb</dc:creator>
  <cp:lastModifiedBy>haccb</cp:lastModifiedBy>
  <dcterms:modified xsi:type="dcterms:W3CDTF">2024-05-23T02:05:19Z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9481DCC165244654BD73A1516F21926A_12</vt:lpwstr>
  </property>
</Properties>
</file>