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cs="Times New Roman"/>
          <w:bCs/>
          <w:kern w:val="0"/>
          <w:sz w:val="36"/>
          <w:szCs w:val="36"/>
        </w:rPr>
      </w:pPr>
      <w:r>
        <w:rPr>
          <w:rFonts w:hint="eastAsia" w:ascii="彩虹小标宋" w:hAnsi="宋体" w:eastAsia="彩虹小标宋" w:cs="Times New Roman"/>
          <w:bCs/>
          <w:kern w:val="0"/>
          <w:sz w:val="36"/>
          <w:szCs w:val="36"/>
        </w:rPr>
        <w:t>关于郑州城区</w:t>
      </w:r>
      <w:r>
        <w:rPr>
          <w:rFonts w:hint="eastAsia" w:ascii="彩虹小标宋" w:hAnsi="宋体" w:eastAsia="彩虹小标宋" w:cs="Times New Roman"/>
          <w:bCs/>
          <w:kern w:val="0"/>
          <w:sz w:val="36"/>
          <w:szCs w:val="36"/>
          <w:lang w:val="en-US" w:eastAsia="zh-CN"/>
        </w:rPr>
        <w:t>大众品牌</w:t>
      </w:r>
      <w:r>
        <w:rPr>
          <w:rFonts w:hint="eastAsia" w:ascii="彩虹小标宋" w:hAnsi="宋体" w:eastAsia="彩虹小标宋" w:cs="Times New Roman"/>
          <w:bCs/>
          <w:kern w:val="0"/>
          <w:sz w:val="36"/>
          <w:szCs w:val="36"/>
        </w:rPr>
        <w:t>公务车辆维修保养</w:t>
      </w:r>
      <w:r>
        <w:rPr>
          <w:rFonts w:hint="eastAsia" w:ascii="彩虹小标宋" w:hAnsi="宋体" w:eastAsia="彩虹小标宋" w:cs="Times New Roman"/>
          <w:bCs/>
          <w:kern w:val="0"/>
          <w:sz w:val="36"/>
          <w:szCs w:val="36"/>
          <w:lang w:val="en-US" w:eastAsia="zh-CN"/>
        </w:rPr>
        <w:t>服务</w:t>
      </w:r>
      <w:r>
        <w:rPr>
          <w:rFonts w:hint="eastAsia" w:ascii="彩虹小标宋" w:hAnsi="宋体" w:eastAsia="彩虹小标宋" w:cs="Times New Roman"/>
          <w:bCs/>
          <w:kern w:val="0"/>
          <w:sz w:val="36"/>
          <w:szCs w:val="36"/>
        </w:rPr>
        <w:t>的采购需求</w:t>
      </w:r>
    </w:p>
    <w:p>
      <w:pPr>
        <w:adjustRightInd w:val="0"/>
        <w:snapToGrid w:val="0"/>
        <w:spacing w:line="360" w:lineRule="auto"/>
        <w:jc w:val="center"/>
        <w:rPr>
          <w:rFonts w:hint="eastAsia" w:ascii="彩虹小标宋" w:hAnsi="宋体" w:eastAsia="彩虹小标宋" w:cs="Times New Roman"/>
          <w:bCs/>
          <w:kern w:val="0"/>
          <w:sz w:val="36"/>
          <w:szCs w:val="36"/>
        </w:rPr>
      </w:pPr>
      <w:r>
        <w:rPr>
          <w:rFonts w:hint="eastAsia" w:ascii="彩虹小标宋" w:hAnsi="宋体" w:eastAsia="彩虹小标宋" w:cs="Times New Roman"/>
          <w:bCs/>
          <w:kern w:val="0"/>
          <w:sz w:val="36"/>
          <w:szCs w:val="36"/>
        </w:rPr>
        <w:t>（主要包括以下内容）</w:t>
      </w:r>
    </w:p>
    <w:p>
      <w:pPr>
        <w:adjustRightInd w:val="0"/>
        <w:snapToGrid w:val="0"/>
        <w:spacing w:line="360" w:lineRule="auto"/>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需求部门：建行河南省分行办公室</w:t>
      </w:r>
    </w:p>
    <w:p>
      <w:pPr>
        <w:adjustRightInd w:val="0"/>
        <w:snapToGrid w:val="0"/>
        <w:spacing w:line="560" w:lineRule="exact"/>
        <w:ind w:firstLine="720" w:firstLineChars="200"/>
        <w:jc w:val="center"/>
        <w:rPr>
          <w:rFonts w:hint="eastAsia" w:ascii="彩虹小标宋" w:hAnsi="宋体" w:eastAsia="彩虹小标宋" w:cs="Times New Roman"/>
          <w:bCs/>
          <w:kern w:val="0"/>
          <w:sz w:val="36"/>
          <w:szCs w:val="36"/>
        </w:rPr>
      </w:pPr>
      <w:r>
        <w:rPr>
          <w:rFonts w:hint="eastAsia" w:ascii="彩虹小标宋" w:hAnsi="宋体" w:eastAsia="彩虹小标宋" w:cs="Times New Roman"/>
          <w:bCs/>
          <w:kern w:val="0"/>
          <w:sz w:val="36"/>
          <w:szCs w:val="36"/>
        </w:rPr>
        <w:t xml:space="preserve"> </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一、对候选供应商的要求</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1.候选供应商是在中国境内办理工商注册的独立法人或组织（含分公司），具有有效的营业执照，遵守国家有关法律、法规。</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2.财务状况良好，具有良好的商业信誉和健全的财务会计制度，提供2021年-2023年的财务报表或经审计的财务报告（新成立企业从成立日计算）。</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3.候选供应商需是</w:t>
      </w:r>
      <w:r>
        <w:rPr>
          <w:rFonts w:hint="eastAsia" w:ascii="彩虹粗仿宋" w:hAnsi="宋体" w:eastAsia="彩虹粗仿宋" w:cs="Times New Roman"/>
          <w:kern w:val="0"/>
          <w:sz w:val="32"/>
          <w:szCs w:val="32"/>
          <w:lang w:val="en-US" w:eastAsia="zh-CN"/>
        </w:rPr>
        <w:t>大众</w:t>
      </w:r>
      <w:r>
        <w:rPr>
          <w:rFonts w:hint="eastAsia" w:ascii="彩虹粗仿宋" w:hAnsi="宋体" w:eastAsia="彩虹粗仿宋" w:cs="Times New Roman"/>
          <w:kern w:val="0"/>
          <w:sz w:val="32"/>
          <w:szCs w:val="32"/>
        </w:rPr>
        <w:t>品牌车辆维修、保养单位4S店，具有二类或以上汽车维修资质（候选供应商需提供4S店证明材料，需提供“经营者名称”与候选商名称一致的《机动车维修经营备案表》）。</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4.候选供应商经营地址在郑州市城区，以供应商《机动车维修经营备案表》所列“经营地址”为准。</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5.候选供应商具有自2022年1月1日以来与政府部门、企业、事业单位合作的单位车辆维修保养合同案例（提供合同扫描件）。</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6.信用要求：投标人当前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法定代表人未被“中国执行信息公开网”列入失信被执行人名单。</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7.其他要求：</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（1）近三年内在经营活动中没有重大违法、违纪行为。</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（2）投标人与建设银行不存在利益冲突，不存在损害建设银行合法利益和声誉的情形，不存在针对建设银行的重大诚信问题。</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（3）投标人参加招标活动时未被列入中国建设银行供应商禁用或退出名单中。在中国建设银行龙集采平台上无重大风险预警提示（以招标人查询结果为准）或其他不良行为。</w:t>
      </w:r>
    </w:p>
    <w:p>
      <w:pPr>
        <w:wordWrap w:val="0"/>
        <w:adjustRightInd w:val="0"/>
        <w:snapToGrid w:val="0"/>
        <w:spacing w:line="360" w:lineRule="auto"/>
        <w:ind w:firstLine="640" w:firstLineChars="200"/>
        <w:outlineLvl w:val="1"/>
        <w:rPr>
          <w:rFonts w:hint="eastAsia" w:ascii="彩虹粗仿宋" w:hAnsi="宋体" w:eastAsia="彩虹粗仿宋" w:cs="Times New Roman"/>
          <w:sz w:val="32"/>
          <w:szCs w:val="32"/>
        </w:rPr>
      </w:pPr>
      <w:r>
        <w:rPr>
          <w:rFonts w:hint="eastAsia" w:ascii="彩虹粗仿宋" w:hAnsi="宋体" w:eastAsia="彩虹粗仿宋" w:cs="Times New Roman"/>
          <w:sz w:val="32"/>
          <w:szCs w:val="32"/>
        </w:rPr>
        <w:t>（4）</w:t>
      </w:r>
      <w:r>
        <w:rPr>
          <w:rFonts w:hint="eastAsia" w:ascii="彩虹粗仿宋" w:hAnsi="Calibri" w:eastAsia="彩虹粗仿宋" w:cs="Times New Roman"/>
          <w:sz w:val="32"/>
          <w:szCs w:val="32"/>
        </w:rPr>
        <w:t>单位负责人为同一人或者存在控股、管理关系的不同投标人（包含法定代表人为同一个人的两个及两个以上法人，母公司、全资子公司及其控股公司），不得同时参加本项目投标。</w:t>
      </w:r>
    </w:p>
    <w:p>
      <w:pPr>
        <w:spacing w:line="520" w:lineRule="exact"/>
        <w:ind w:firstLine="640" w:firstLineChars="200"/>
        <w:rPr>
          <w:rFonts w:hint="eastAsia" w:ascii="彩虹粗仿宋" w:hAnsi="宋体" w:eastAsia="彩虹粗仿宋" w:cs="Times New Roman"/>
          <w:kern w:val="0"/>
          <w:sz w:val="32"/>
          <w:szCs w:val="32"/>
        </w:rPr>
      </w:pPr>
      <w:r>
        <w:rPr>
          <w:rFonts w:hint="eastAsia" w:ascii="彩虹粗仿宋" w:hAnsi="宋体" w:eastAsia="彩虹粗仿宋" w:cs="Times New Roman"/>
          <w:kern w:val="0"/>
          <w:sz w:val="32"/>
          <w:szCs w:val="32"/>
        </w:rPr>
        <w:t>8.本项目不接受联合体投标，不允许转包和分包。</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二、服务基本内容</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1.本项目采购内容为河南省分行本部及郑州城区七家分支行</w:t>
      </w:r>
      <w:r>
        <w:rPr>
          <w:rFonts w:hint="eastAsia" w:ascii="彩虹粗仿宋" w:hAnsi="Calibri" w:eastAsia="彩虹粗仿宋" w:cs="Times New Roman"/>
          <w:color w:val="000000"/>
          <w:sz w:val="32"/>
          <w:szCs w:val="32"/>
          <w:lang w:val="en-US" w:eastAsia="zh-CN"/>
        </w:rPr>
        <w:t>大众品牌</w:t>
      </w:r>
      <w:r>
        <w:rPr>
          <w:rFonts w:hint="eastAsia" w:ascii="彩虹粗仿宋" w:hAnsi="Calibri" w:eastAsia="彩虹粗仿宋" w:cs="Times New Roman"/>
          <w:color w:val="000000"/>
          <w:sz w:val="32"/>
          <w:szCs w:val="32"/>
        </w:rPr>
        <w:t xml:space="preserve">公务车辆维修维护服务，服务期限两年。 </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lang w:val="en-US" w:eastAsia="zh-CN"/>
        </w:rPr>
        <w:t>2</w:t>
      </w:r>
      <w:r>
        <w:rPr>
          <w:rFonts w:hint="eastAsia" w:ascii="彩虹粗仿宋" w:hAnsi="Calibri" w:eastAsia="彩虹粗仿宋" w:cs="Times New Roman"/>
          <w:color w:val="000000"/>
          <w:sz w:val="32"/>
          <w:szCs w:val="32"/>
        </w:rPr>
        <w:t>.服务内容：包括相应车型的整车修理、总成修理、整车维护、小修、维修救援和专项修理工作。具体内容如下：</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（1）整车修理：包括发动机附离合器、底盘、车身、车架、车门和车窗的检修，全车内饰清洁、修理，全车电系、电控、线路的检修；全车喷漆，整车竣工质量检验；</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（2）总成修理：含发动机总成、变速器总成、底盘修理、轮胎修理、电器维修和钣金喷漆；</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（3）一级维护：除日常维护作业外，以清洁、润滑、紧固为主，检查有关制动、操纵等安全部件；</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（4）二级维护：除一级维护外，以检查、调整转向节、转向摇臂、制动蹄片、悬挂等易损耗的安全部件为主，并拆检轮胎，进行轮胎换位，检查调整发动机工作状况和排气污染控制装置；</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（5）小修：包括发动机、变速器、转向系、悬挂系统、制动系、电器及电控、钣金；</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6）维修救援：提供车辆的24小时故障路途施救工作，不包含高速公路车辆救援服务。郑州市城区范围内提供免费施救，如果车辆故障无法在现场解决，供应商服务人员免费将故障车辆拖回厂进行维修。现场施救的维修材料费、工时费据实收取。车辆经维修竣工出厂后，在质保期内发生故障的，原承修供应商应免费维修施救，不得收取任何施救费用；</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（7）专项修理：车用空调、自动变速器、车辆美容、车轮动平衡、轮胎、车门和车窗玻璃、车载液压系统等。</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三、服务团队要求</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1.供应商须配备专人负责对接我行车辆维修服务项目；</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2.供应商须配备至少1名技术负责人员、质量检验人员、业务接待人员以及从事机修、电器、钣金、涂漆的维修技术人员，需提供技术人员名单且技术人员均持有行业主管部门颁发的从业资格证书或专业技术职称证明（中级技工或以上资质证书）。</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3.新能源车须由经过新能源车辆维修培训且具有新能源维修经验的技术人员进行维修，维修人员应持有低压电工证。</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四、服务质量要求</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1.供应商应当按照国家、行业或者地方的维修标准规范和机动车生产、进口企业公开的维修技术信息进行维修。尚无标准或规范的，可参照机动车生产企业提供的维修手册、使用说明书和有关技术资料进行维修。</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 xml:space="preserve">2.供应商不得使用假冒伪劣配件维修机动车，机动车维修配件应实行追溯制度。机动车维修主要配件原则上使用原厂配件，质量应符合 GB/T32007-2015《汽车零部件的统一编码与标识》国家标准和国家其他相关规定，规格必须要满足车辆维修需要的规格型号。 </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3.供应商维修实行竣工出厂质量保证期制度。供应商投标承诺的机动车维修质量保证期不得低于其公示承诺的机动车维修质量保证期（符合下列行业最低标准）。</w:t>
      </w:r>
    </w:p>
    <w:p>
      <w:pPr>
        <w:adjustRightInd w:val="0"/>
        <w:snapToGrid w:val="0"/>
        <w:spacing w:line="560" w:lineRule="exact"/>
        <w:ind w:firstLine="640" w:firstLineChars="200"/>
        <w:rPr>
          <w:rFonts w:hint="eastAsia" w:ascii="彩虹粗仿宋" w:hAnsi="Calibri" w:eastAsia="彩虹粗仿宋" w:cs="Times New Roman"/>
          <w:sz w:val="32"/>
          <w:szCs w:val="32"/>
        </w:rPr>
      </w:pPr>
      <w:r>
        <w:rPr>
          <w:rFonts w:hint="eastAsia" w:ascii="彩虹粗仿宋" w:hAnsi="Calibri" w:eastAsia="彩虹粗仿宋" w:cs="Times New Roman"/>
          <w:sz w:val="32"/>
          <w:szCs w:val="32"/>
        </w:rPr>
        <w:t>（1）整车修理或总成修理质保期不少于车辆行驶2万公里或者365日；</w:t>
      </w:r>
    </w:p>
    <w:p>
      <w:pPr>
        <w:adjustRightInd w:val="0"/>
        <w:snapToGrid w:val="0"/>
        <w:spacing w:line="560" w:lineRule="exact"/>
        <w:ind w:firstLine="640" w:firstLineChars="200"/>
        <w:rPr>
          <w:rFonts w:hint="eastAsia" w:ascii="彩虹粗仿宋" w:hAnsi="Calibri" w:eastAsia="彩虹粗仿宋" w:cs="Times New Roman"/>
          <w:sz w:val="32"/>
          <w:szCs w:val="32"/>
        </w:rPr>
      </w:pPr>
      <w:r>
        <w:rPr>
          <w:rFonts w:hint="eastAsia" w:ascii="彩虹粗仿宋" w:hAnsi="Calibri" w:eastAsia="彩虹粗仿宋" w:cs="Times New Roman"/>
          <w:sz w:val="32"/>
          <w:szCs w:val="32"/>
        </w:rPr>
        <w:t>（2）二级维护质保期不少于车辆行驶5000公里或者180日；</w:t>
      </w:r>
    </w:p>
    <w:p>
      <w:pPr>
        <w:adjustRightInd w:val="0"/>
        <w:snapToGrid w:val="0"/>
        <w:spacing w:line="560" w:lineRule="exact"/>
        <w:ind w:firstLine="640" w:firstLineChars="200"/>
        <w:rPr>
          <w:rFonts w:hint="eastAsia" w:ascii="彩虹粗仿宋" w:hAnsi="Calibri" w:eastAsia="彩虹粗仿宋" w:cs="Times New Roman"/>
          <w:sz w:val="32"/>
          <w:szCs w:val="32"/>
        </w:rPr>
      </w:pPr>
      <w:r>
        <w:rPr>
          <w:rFonts w:hint="eastAsia" w:ascii="彩虹粗仿宋" w:hAnsi="Calibri" w:eastAsia="彩虹粗仿宋" w:cs="Times New Roman"/>
          <w:sz w:val="32"/>
          <w:szCs w:val="32"/>
        </w:rPr>
        <w:t>（3）一级维修、小修及专项修理质保期不少于车辆行驶2000公里或者90日。</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质保期中行驶里程和日期指标，以先达到者为准。</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一级维护是指：以清洁、润滑、紧固为作业中心内容，并检查有关制动、操纵等安全部件。</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二级维护是指：除一级维护作业外，以检查、调整转向节、转向摇臂、制动蹄片、悬挂等经过一定时间的使用容易磨损或变形的安全部件为主，并拆检轮胎、进行轮胎换位，检查调整发动机工作状况和排气污染控制装置等。</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小修及专项修理是指：发动机及车身、自动变速器、转向系、行驶系统（含车架、悬挂）、制动系、空调、车辆美容、车门和车窗、车轮动平衡与修补、电器和电控、钣金相关部位的拆除、更换和修理。</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4.在供应商承诺质保期内，凡因修理质量问题造成机动车无法正常使用，供应商要优先安排无偿返修，不得故意拖延或者无理拒绝。</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如造成车辆故障或机件损坏，或者造成车辆安全事故直接损失的，经道路运输管理机构组织专家组或委托具有法定检测资格的检测机构分析、鉴定属于供应商维修原因引起的，供应商要全额赔偿我行损失及承担鉴定费用。</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如因同一故障或者维修项目经两次修理仍不能正常使用的，供应商应负责联系其他机动车维修经营者修理，并承担相应修理费用。</w:t>
      </w:r>
    </w:p>
    <w:p>
      <w:pPr>
        <w:widowControl/>
        <w:spacing w:line="560" w:lineRule="exact"/>
        <w:ind w:firstLine="640" w:firstLineChars="200"/>
        <w:jc w:val="left"/>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 xml:space="preserve">5. 供应商应对所修车辆建立好维修档案，做好各项记录，保管好原始单据，做好跟踪服务工作。 </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五、服务供应安排</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供应商提供24小时维修接待，以第一时间到达上门抢修：如果车辆出现故障，拨打急救电话进行故障咨询，供应商服务人员应在接到急救电话1小时内到达(市区四环内)。在故障车辆急需维修，但又没有时间排队等候时，供应商应优先安排服务。供应商对我行托修车辆提供接送服务，检修后为车辆提供免费洗车服务。</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2.供应商对我行9座以下的车辆按中型乘用车标准实行限时维修，具体时限为：一般故障排除不超过3小时，二级保养不超过24小时，整车油漆不超过5天，整车大修不超过7天。其他维修项目参照供应商对外承诺时限（即机动车维修经营者备案标准）办理。</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3.托修车辆修理完成后，需经我行驾驶员对车辆进行验收，确认合格并在验收单和结算单上签字认可。</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4.在车辆进行维修时，供应商应为维修车辆驾驶员提供休息室、饮用水、工作餐等便利服务；如维修时间较长（超过2小时的），由供应商免费将维修车辆驾驶员送回所在单位。</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5. 供应商保证随时接受我行相关部门的监督检查。</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六、售后服务要求</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1.供应商应每季开展一次电话回访，征询我行对车辆维修服务的意见。对我行反馈的意见或整改要求，应在2小时内响应。</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2.免费提供下列售后服务：</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（1）检测轮胎气压（平衡四轮气压）、长途车况检查；</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（2）为四门合页锁除锈、打油、免费为玻璃去油污、漆面去胶；</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（3）每年提供一次轮胎调位、钢圈平衡、全车抛光；</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（4）每台车每年检测一次，内容包括检查底盘、检查刹车、检测发动机、检测灯光、检测空调。</w:t>
      </w:r>
    </w:p>
    <w:p>
      <w:pPr>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（5）每半年上门为车辆驾驶人员组织一次日常维护及注意事项的培训；</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七、服务数量要求</w:t>
      </w:r>
    </w:p>
    <w:p>
      <w:pPr>
        <w:adjustRightInd w:val="0"/>
        <w:snapToGrid w:val="0"/>
        <w:spacing w:line="560" w:lineRule="exact"/>
        <w:ind w:firstLine="960" w:firstLineChars="300"/>
        <w:rPr>
          <w:rFonts w:hint="eastAsia" w:ascii="彩虹粗仿宋" w:hAnsi="Calibri" w:eastAsia="彩虹粗仿宋" w:cs="Times New Roman"/>
          <w:sz w:val="32"/>
          <w:szCs w:val="32"/>
          <w:lang w:eastAsia="zh-CN"/>
        </w:rPr>
      </w:pPr>
      <w:r>
        <w:rPr>
          <w:rFonts w:hint="eastAsia" w:ascii="彩虹粗仿宋" w:hAnsi="Calibri" w:eastAsia="彩虹粗仿宋" w:cs="Times New Roman"/>
          <w:color w:val="000000"/>
          <w:sz w:val="32"/>
          <w:szCs w:val="32"/>
        </w:rPr>
        <w:t>本次采购的车辆维修服务为建行河南省分行本部及郑州城区七家分支行</w:t>
      </w:r>
      <w:r>
        <w:rPr>
          <w:rFonts w:hint="eastAsia" w:ascii="彩虹粗仿宋" w:hAnsi="Calibri" w:eastAsia="彩虹粗仿宋" w:cs="Times New Roman"/>
          <w:color w:val="000000"/>
          <w:sz w:val="32"/>
          <w:szCs w:val="32"/>
          <w:lang w:val="en-US" w:eastAsia="zh-CN"/>
        </w:rPr>
        <w:t>大众品牌</w:t>
      </w:r>
      <w:r>
        <w:rPr>
          <w:rFonts w:hint="eastAsia" w:ascii="彩虹粗仿宋" w:hAnsi="Calibri" w:eastAsia="彩虹粗仿宋" w:cs="Times New Roman"/>
          <w:color w:val="000000"/>
          <w:sz w:val="32"/>
          <w:szCs w:val="32"/>
        </w:rPr>
        <w:t>公务车辆维修服务，数量共计</w:t>
      </w:r>
      <w:r>
        <w:rPr>
          <w:rFonts w:hint="eastAsia" w:ascii="彩虹粗仿宋" w:hAnsi="Calibri" w:eastAsia="彩虹粗仿宋" w:cs="Times New Roman"/>
          <w:color w:val="000000"/>
          <w:sz w:val="32"/>
          <w:szCs w:val="32"/>
          <w:lang w:val="en-US" w:eastAsia="zh-CN"/>
        </w:rPr>
        <w:t>23</w:t>
      </w:r>
      <w:r>
        <w:rPr>
          <w:rFonts w:hint="eastAsia" w:ascii="彩虹粗仿宋" w:hAnsi="Calibri" w:eastAsia="彩虹粗仿宋" w:cs="Times New Roman"/>
          <w:color w:val="000000"/>
          <w:sz w:val="32"/>
          <w:szCs w:val="32"/>
        </w:rPr>
        <w:t>辆</w:t>
      </w:r>
      <w:r>
        <w:rPr>
          <w:rFonts w:hint="eastAsia" w:ascii="彩虹粗仿宋" w:hAnsi="Calibri" w:eastAsia="彩虹粗仿宋" w:cs="Times New Roman"/>
          <w:color w:val="000000"/>
          <w:sz w:val="32"/>
          <w:szCs w:val="32"/>
          <w:lang w:eastAsia="zh-CN"/>
        </w:rPr>
        <w:t>。</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八、报价要求</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1.维修费及工时费计价基本标准见附件</w:t>
      </w:r>
      <w:r>
        <w:rPr>
          <w:rFonts w:hint="eastAsia" w:ascii="彩虹粗仿宋" w:hAnsi="Calibri" w:eastAsia="彩虹粗仿宋" w:cs="Times New Roman"/>
          <w:color w:val="000000"/>
          <w:sz w:val="32"/>
          <w:szCs w:val="32"/>
          <w:lang w:val="en-US" w:eastAsia="zh-CN"/>
        </w:rPr>
        <w:t>一</w:t>
      </w:r>
      <w:r>
        <w:rPr>
          <w:rFonts w:hint="eastAsia" w:ascii="彩虹粗仿宋" w:hAnsi="Calibri" w:eastAsia="彩虹粗仿宋" w:cs="Times New Roman"/>
          <w:color w:val="000000"/>
          <w:sz w:val="32"/>
          <w:szCs w:val="32"/>
        </w:rPr>
        <w:t>《车辆维修常规工时和常规材料费价格表》，由供应商报折扣率，最终按照基础价格表价格*折扣率的报价执行。</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sz w:val="32"/>
          <w:szCs w:val="32"/>
        </w:rPr>
        <w:t>2.修理车辆主要配件原则上在《</w:t>
      </w:r>
      <w:r>
        <w:rPr>
          <w:rFonts w:hint="eastAsia" w:ascii="彩虹粗仿宋" w:hAnsi="Calibri" w:eastAsia="彩虹粗仿宋" w:cs="Times New Roman"/>
          <w:color w:val="000000"/>
          <w:kern w:val="0"/>
          <w:sz w:val="32"/>
          <w:szCs w:val="32"/>
        </w:rPr>
        <w:t>车辆维修常规工时和常规材料费价格表</w:t>
      </w:r>
      <w:r>
        <w:rPr>
          <w:rFonts w:hint="eastAsia" w:ascii="彩虹粗仿宋" w:hAnsi="Calibri" w:eastAsia="彩虹粗仿宋" w:cs="Times New Roman"/>
          <w:color w:val="000000"/>
          <w:sz w:val="32"/>
          <w:szCs w:val="32"/>
        </w:rPr>
        <w:t>》中选配。合同履行过程中，确需更换《</w:t>
      </w:r>
      <w:r>
        <w:rPr>
          <w:rFonts w:hint="eastAsia" w:ascii="彩虹粗仿宋" w:hAnsi="Calibri" w:eastAsia="彩虹粗仿宋" w:cs="Times New Roman"/>
          <w:color w:val="000000"/>
          <w:kern w:val="0"/>
          <w:sz w:val="32"/>
          <w:szCs w:val="32"/>
        </w:rPr>
        <w:t>车辆维修常规工时和常规材料费价格表</w:t>
      </w:r>
      <w:r>
        <w:rPr>
          <w:rFonts w:hint="eastAsia" w:ascii="彩虹粗仿宋" w:hAnsi="Calibri" w:eastAsia="彩虹粗仿宋" w:cs="Times New Roman"/>
          <w:color w:val="000000"/>
          <w:sz w:val="32"/>
          <w:szCs w:val="32"/>
        </w:rPr>
        <w:t>》中未列示的配件时，供应商应向我行提供该配件的进货增值税发票，按【进货发票金额*（1+供应商向我行出具的增值税专票税率）】为该配件的配件费价格，工时费按供应商所报工时费折扣率执行。</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九、款项支付要求</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1.我行车辆的维修费用原则上实行每季度结算一次，每季首月10号前结算上季度维修费用，供应商须在每季首月10日前向我行提供上季度结算费用清单，并开具增值税专用发票。</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2.支付时，我行按照合同约定将款项转入供应商指定的账户。供应商所指定的开户银行及银行帐号以合同中所注明的为准，如有变更，供应商应在合同规定的相关付款期限前 10 日以书面方式通知我行，通知应加盖供应商公章。</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十、入选供应商数量要求</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sz w:val="32"/>
          <w:szCs w:val="32"/>
        </w:rPr>
        <w:t>拟入选1家供应商。</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十一、违约责任</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1.供应商或其服务人员在提供服务过程中，造成我行或第三方人身、财产或其他损害的，供应商应承担赔偿责任。</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2.供应商未按合同约定提供服务，我行有权要求供应商限期整改、采取补救措施或重新提供符合合同约定的服务。有下列情形之一的，供应商就每一项违约行为，按当次维修费用40%支付违约金：</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（1）无正当理由拒修或者拖延维修时长；</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（2）服务态度消极，形成有效投诉；</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（3）每季度配件结算清单价格抽查中（每次不少于三笔），出现配件单价高于市场价格20%的。</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3.供应商有下列情形之一的，我行除拒付维修费用外，还有权提前解除合同：</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（1）合同期内累计出现第2条所列情形3次（含）以上的；</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（2）随意增加、虚报维修项目的；</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（3）擅自扩大收费范围、提高收费标准或者重复收费；</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（4）保修期内因维修质量问题拒绝免费返修；</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（5）规定时限内拒不整改或者在限期内未予以解决；</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（6）擅自将其协议项下的全部或部分权利义务转让或分包给第三方的；</w:t>
      </w:r>
    </w:p>
    <w:p>
      <w:pPr>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 xml:space="preserve">（7）违反廉洁管理要求的； </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（8）严重违反合同约定或相关法律法规的。</w:t>
      </w:r>
    </w:p>
    <w:p>
      <w:pPr>
        <w:adjustRightInd w:val="0"/>
        <w:snapToGrid w:val="0"/>
        <w:spacing w:line="560" w:lineRule="exact"/>
        <w:ind w:firstLine="640" w:firstLineChars="2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4.供应商应当向我行支付违约金或赔偿金的，应当在我行发出索赔通知后5个工作日内支付给我行。我行尚有未向供应商支付的款项的，供应商同意我行有权从未支付款项中扣除相应数额的款项。</w:t>
      </w:r>
    </w:p>
    <w:p>
      <w:pPr>
        <w:adjustRightInd w:val="0"/>
        <w:snapToGrid w:val="0"/>
        <w:spacing w:line="560" w:lineRule="exact"/>
        <w:ind w:firstLine="640" w:firstLineChars="200"/>
        <w:rPr>
          <w:rFonts w:hint="eastAsia" w:ascii="彩虹粗仿宋" w:hAnsi="Calibri" w:eastAsia="彩虹粗仿宋" w:cs="Times New Roman"/>
          <w:color w:val="000000"/>
          <w:sz w:val="32"/>
          <w:szCs w:val="32"/>
        </w:rPr>
      </w:pPr>
      <w:r>
        <w:rPr>
          <w:rFonts w:hint="eastAsia" w:ascii="彩虹粗仿宋" w:hAnsi="Calibri" w:eastAsia="彩虹粗仿宋" w:cs="Times New Roman"/>
          <w:color w:val="000000"/>
          <w:kern w:val="0"/>
          <w:sz w:val="32"/>
          <w:szCs w:val="32"/>
        </w:rPr>
        <w:t>5.双方协议中未约定的违约事项，可按国家有关法律规定执行。</w:t>
      </w:r>
    </w:p>
    <w:p>
      <w:pPr>
        <w:adjustRightInd w:val="0"/>
        <w:snapToGrid w:val="0"/>
        <w:spacing w:line="560" w:lineRule="exact"/>
        <w:ind w:firstLine="640" w:firstLineChars="200"/>
        <w:rPr>
          <w:rFonts w:hint="eastAsia" w:ascii="彩虹黑体" w:hAnsi="宋体" w:eastAsia="彩虹黑体" w:cs="Times New Roman"/>
          <w:kern w:val="0"/>
          <w:sz w:val="32"/>
          <w:szCs w:val="32"/>
        </w:rPr>
      </w:pPr>
      <w:r>
        <w:rPr>
          <w:rFonts w:hint="eastAsia" w:ascii="彩虹黑体" w:hAnsi="宋体" w:eastAsia="彩虹黑体" w:cs="Times New Roman"/>
          <w:kern w:val="0"/>
          <w:sz w:val="32"/>
          <w:szCs w:val="32"/>
        </w:rPr>
        <w:t>十二、其他要求</w:t>
      </w:r>
    </w:p>
    <w:p>
      <w:pPr>
        <w:adjustRightInd w:val="0"/>
        <w:snapToGrid w:val="0"/>
        <w:spacing w:line="560" w:lineRule="exact"/>
        <w:ind w:firstLine="1280" w:firstLineChars="400"/>
        <w:rPr>
          <w:rFonts w:hint="eastAsia" w:ascii="彩虹粗仿宋" w:hAnsi="Calibri" w:eastAsia="彩虹粗仿宋" w:cs="Times New Roman"/>
          <w:color w:val="000000"/>
          <w:kern w:val="0"/>
          <w:sz w:val="32"/>
          <w:szCs w:val="32"/>
        </w:rPr>
      </w:pPr>
      <w:r>
        <w:rPr>
          <w:rFonts w:hint="eastAsia" w:ascii="彩虹粗仿宋" w:hAnsi="Calibri" w:eastAsia="彩虹粗仿宋" w:cs="Times New Roman"/>
          <w:color w:val="000000"/>
          <w:kern w:val="0"/>
          <w:sz w:val="32"/>
          <w:szCs w:val="32"/>
        </w:rPr>
        <w:t>无</w:t>
      </w: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r>
        <w:rPr>
          <w:rFonts w:hint="eastAsia" w:ascii="彩虹粗仿宋" w:hAnsi="Calibri" w:eastAsia="彩虹粗仿宋" w:cs="Times New Roman"/>
          <w:color w:val="FF0000"/>
          <w:kern w:val="0"/>
          <w:sz w:val="32"/>
          <w:szCs w:val="32"/>
        </w:rPr>
        <w:t xml:space="preserve"> </w:t>
      </w: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adjustRightInd w:val="0"/>
        <w:snapToGrid w:val="0"/>
        <w:spacing w:line="560" w:lineRule="exact"/>
        <w:ind w:firstLine="640" w:firstLineChars="200"/>
        <w:rPr>
          <w:rFonts w:hint="eastAsia" w:ascii="彩虹粗仿宋" w:hAnsi="Calibri" w:eastAsia="彩虹粗仿宋" w:cs="Times New Roman"/>
          <w:color w:val="FF0000"/>
          <w:kern w:val="0"/>
          <w:sz w:val="32"/>
          <w:szCs w:val="32"/>
        </w:rPr>
      </w:pPr>
    </w:p>
    <w:p>
      <w:pPr>
        <w:jc w:val="center"/>
        <w:rPr>
          <w:rFonts w:hint="eastAsia" w:ascii="彩虹黑体" w:hAnsi="宋体" w:eastAsia="彩虹黑体" w:cs="Times New Roman"/>
          <w:kern w:val="0"/>
          <w:sz w:val="28"/>
          <w:szCs w:val="28"/>
        </w:rPr>
      </w:pPr>
    </w:p>
    <w:p>
      <w:pPr>
        <w:jc w:val="both"/>
        <w:rPr>
          <w:rFonts w:hint="default" w:ascii="彩虹黑体" w:hAnsi="宋体" w:eastAsia="彩虹黑体" w:cs="Times New Roman"/>
          <w:kern w:val="0"/>
          <w:sz w:val="28"/>
          <w:szCs w:val="28"/>
          <w:lang w:val="en-US" w:eastAsia="zh-CN"/>
        </w:rPr>
      </w:pPr>
      <w:r>
        <w:rPr>
          <w:rFonts w:hint="eastAsia" w:ascii="彩虹黑体" w:hAnsi="宋体" w:eastAsia="彩虹黑体" w:cs="Times New Roman"/>
          <w:kern w:val="0"/>
          <w:sz w:val="28"/>
          <w:szCs w:val="28"/>
          <w:lang w:val="en-US" w:eastAsia="zh-CN"/>
        </w:rPr>
        <w:t>附件一：车辆维修常规工时和常规材料费价格表</w:t>
      </w:r>
    </w:p>
    <w:p>
      <w:pPr>
        <w:jc w:val="center"/>
        <w:rPr>
          <w:rFonts w:hint="eastAsia" w:ascii="彩虹黑体" w:hAnsi="宋体" w:eastAsia="彩虹黑体" w:cs="Times New Roman"/>
          <w:kern w:val="0"/>
          <w:sz w:val="28"/>
          <w:szCs w:val="28"/>
        </w:rPr>
      </w:pPr>
    </w:p>
    <w:p>
      <w:pPr>
        <w:overflowPunct w:val="0"/>
        <w:snapToGrid w:val="0"/>
        <w:spacing w:line="317" w:lineRule="auto"/>
        <w:jc w:val="center"/>
        <w:textAlignment w:val="bottom"/>
        <w:rPr>
          <w:rFonts w:ascii="彩虹黑体" w:hAnsi="宋体" w:eastAsia="彩虹黑体" w:cs="Times New Roman"/>
          <w:kern w:val="0"/>
          <w:sz w:val="28"/>
          <w:szCs w:val="28"/>
        </w:rPr>
      </w:pPr>
      <w:r>
        <w:rPr>
          <w:rFonts w:hint="eastAsia" w:ascii="彩虹黑体" w:hAnsi="宋体" w:eastAsia="彩虹黑体" w:cs="Times New Roman"/>
          <w:kern w:val="0"/>
          <w:sz w:val="28"/>
          <w:szCs w:val="28"/>
        </w:rPr>
        <w:t>大众帕萨特车辆</w:t>
      </w:r>
      <w:bookmarkStart w:id="0" w:name="_GoBack"/>
      <w:bookmarkEnd w:id="0"/>
      <w:r>
        <w:rPr>
          <w:rFonts w:hint="eastAsia" w:ascii="彩虹黑体" w:hAnsi="宋体" w:eastAsia="彩虹黑体" w:cs="Times New Roman"/>
          <w:kern w:val="0"/>
          <w:sz w:val="28"/>
          <w:szCs w:val="28"/>
        </w:rPr>
        <w:t>维修常规工时和常规材料费价格表</w:t>
      </w:r>
    </w:p>
    <w:p>
      <w:pPr>
        <w:rPr>
          <w:rFonts w:ascii="Calibri" w:hAnsi="Calibri" w:eastAsia="宋体" w:cs="Times New Roman"/>
          <w:szCs w:val="22"/>
        </w:rPr>
      </w:pPr>
      <w:r>
        <w:rPr>
          <w:rFonts w:hint="eastAsia" w:ascii="彩虹粗仿宋" w:hAnsi="宋体" w:eastAsia="彩虹粗仿宋" w:cs="Times New Roman"/>
          <w:sz w:val="28"/>
          <w:szCs w:val="28"/>
        </w:rPr>
        <w:t>1、车辆修理常规工时费价格表(单位:元)</w:t>
      </w:r>
    </w:p>
    <w:tbl>
      <w:tblPr>
        <w:tblStyle w:val="3"/>
        <w:tblW w:w="8198" w:type="dxa"/>
        <w:jc w:val="center"/>
        <w:tblLayout w:type="autofit"/>
        <w:tblCellMar>
          <w:top w:w="0" w:type="dxa"/>
          <w:left w:w="108" w:type="dxa"/>
          <w:bottom w:w="0" w:type="dxa"/>
          <w:right w:w="108" w:type="dxa"/>
        </w:tblCellMar>
      </w:tblPr>
      <w:tblGrid>
        <w:gridCol w:w="1082"/>
        <w:gridCol w:w="3012"/>
        <w:gridCol w:w="1126"/>
        <w:gridCol w:w="2948"/>
        <w:gridCol w:w="30"/>
      </w:tblGrid>
      <w:tr>
        <w:tblPrEx>
          <w:tblCellMar>
            <w:top w:w="0" w:type="dxa"/>
            <w:left w:w="108" w:type="dxa"/>
            <w:bottom w:w="0" w:type="dxa"/>
            <w:right w:w="108" w:type="dxa"/>
          </w:tblCellMar>
        </w:tblPrEx>
        <w:trPr>
          <w:trHeight w:val="768" w:hRule="atLeast"/>
          <w:jc w:val="center"/>
        </w:trPr>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序号</w:t>
            </w:r>
          </w:p>
        </w:tc>
        <w:tc>
          <w:tcPr>
            <w:tcW w:w="3012" w:type="dxa"/>
            <w:tcBorders>
              <w:top w:val="single" w:color="auto" w:sz="4" w:space="0"/>
              <w:left w:val="nil"/>
              <w:bottom w:val="single" w:color="auto" w:sz="4" w:space="0"/>
              <w:right w:val="single" w:color="auto" w:sz="4" w:space="0"/>
            </w:tcBorders>
            <w:shd w:val="clear" w:color="auto" w:fill="auto"/>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维修项目</w:t>
            </w:r>
          </w:p>
        </w:tc>
        <w:tc>
          <w:tcPr>
            <w:tcW w:w="1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单位</w:t>
            </w:r>
          </w:p>
        </w:tc>
        <w:tc>
          <w:tcPr>
            <w:tcW w:w="297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b/>
                <w:sz w:val="24"/>
                <w:szCs w:val="24"/>
              </w:rPr>
            </w:pPr>
            <w:r>
              <w:rPr>
                <w:rFonts w:hint="eastAsia" w:ascii="彩虹粗仿宋" w:hAnsi="宋体" w:eastAsia="彩虹粗仿宋" w:cs="宋体"/>
                <w:b/>
                <w:sz w:val="24"/>
                <w:szCs w:val="24"/>
              </w:rPr>
              <w:t>帕萨特</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发动机大修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3720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2</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发动机三级保养</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403</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3</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冷却系统检修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279</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4</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前悬挂检修（含走向系统）</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5</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后悬挂检修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6</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自动变速箱检修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7</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金属车身补漆</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平方米</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500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8</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更换前档玻璃</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775</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9</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更换离合器总成</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color w:val="FF0000"/>
                <w:sz w:val="24"/>
                <w:szCs w:val="24"/>
              </w:rPr>
            </w:pP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961</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10</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空调维修（不含充氟）</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11</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电器、电路维修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次</w:t>
            </w: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300</w:t>
            </w:r>
          </w:p>
        </w:tc>
      </w:tr>
      <w:tr>
        <w:tblPrEx>
          <w:tblCellMar>
            <w:top w:w="0" w:type="dxa"/>
            <w:left w:w="108" w:type="dxa"/>
            <w:bottom w:w="0" w:type="dxa"/>
            <w:right w:w="108" w:type="dxa"/>
          </w:tblCellMar>
        </w:tblPrEx>
        <w:trPr>
          <w:gridAfter w:val="1"/>
          <w:wAfter w:w="30" w:type="dxa"/>
          <w:trHeight w:val="768" w:hRule="atLeast"/>
          <w:jc w:val="center"/>
        </w:trPr>
        <w:tc>
          <w:tcPr>
            <w:tcW w:w="108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12</w:t>
            </w:r>
          </w:p>
        </w:tc>
        <w:tc>
          <w:tcPr>
            <w:tcW w:w="3012" w:type="dxa"/>
            <w:tcBorders>
              <w:top w:val="nil"/>
              <w:left w:val="nil"/>
              <w:bottom w:val="single" w:color="auto" w:sz="4" w:space="0"/>
              <w:right w:val="single" w:color="auto" w:sz="4" w:space="0"/>
            </w:tcBorders>
            <w:shd w:val="clear" w:color="auto" w:fill="auto"/>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刹车系统维修</w:t>
            </w:r>
          </w:p>
        </w:tc>
        <w:tc>
          <w:tcPr>
            <w:tcW w:w="1126"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p>
        </w:tc>
        <w:tc>
          <w:tcPr>
            <w:tcW w:w="2948"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217</w:t>
            </w:r>
          </w:p>
        </w:tc>
      </w:tr>
    </w:tbl>
    <w:p>
      <w:pPr>
        <w:widowControl/>
        <w:jc w:val="left"/>
        <w:rPr>
          <w:rFonts w:ascii="彩虹粗仿宋" w:hAnsi="宋体" w:eastAsia="彩虹粗仿宋" w:cs="Times New Roman"/>
          <w:sz w:val="28"/>
          <w:szCs w:val="28"/>
        </w:rPr>
      </w:pPr>
    </w:p>
    <w:p>
      <w:pPr>
        <w:widowControl/>
        <w:jc w:val="left"/>
        <w:rPr>
          <w:rFonts w:ascii="彩虹粗仿宋" w:hAnsi="宋体" w:eastAsia="彩虹粗仿宋" w:cs="Times New Roman"/>
          <w:sz w:val="28"/>
          <w:szCs w:val="28"/>
        </w:rPr>
      </w:pPr>
    </w:p>
    <w:p>
      <w:pPr>
        <w:widowControl/>
        <w:jc w:val="left"/>
        <w:rPr>
          <w:rFonts w:ascii="彩虹粗仿宋" w:hAnsi="宋体" w:eastAsia="彩虹粗仿宋" w:cs="Times New Roman"/>
          <w:sz w:val="28"/>
          <w:szCs w:val="28"/>
        </w:rPr>
      </w:pPr>
    </w:p>
    <w:p>
      <w:pPr>
        <w:widowControl/>
        <w:jc w:val="left"/>
        <w:rPr>
          <w:rFonts w:ascii="彩虹粗仿宋" w:hAnsi="宋体" w:eastAsia="彩虹粗仿宋" w:cs="Times New Roman"/>
          <w:sz w:val="28"/>
          <w:szCs w:val="28"/>
        </w:rPr>
      </w:pPr>
    </w:p>
    <w:p>
      <w:pPr>
        <w:widowControl/>
        <w:jc w:val="left"/>
        <w:rPr>
          <w:rFonts w:ascii="彩虹粗仿宋" w:hAnsi="宋体" w:eastAsia="彩虹粗仿宋" w:cs="Times New Roman"/>
          <w:sz w:val="28"/>
          <w:szCs w:val="28"/>
        </w:rPr>
      </w:pPr>
      <w:r>
        <w:rPr>
          <w:rFonts w:hint="eastAsia" w:ascii="彩虹粗仿宋" w:hAnsi="宋体" w:eastAsia="彩虹粗仿宋" w:cs="Times New Roman"/>
          <w:sz w:val="28"/>
          <w:szCs w:val="28"/>
        </w:rPr>
        <w:t>2、车辆修理常规材料费价格表(单位:元)</w:t>
      </w:r>
    </w:p>
    <w:tbl>
      <w:tblPr>
        <w:tblStyle w:val="3"/>
        <w:tblW w:w="8212" w:type="dxa"/>
        <w:jc w:val="center"/>
        <w:tblLayout w:type="autofit"/>
        <w:tblCellMar>
          <w:top w:w="0" w:type="dxa"/>
          <w:left w:w="108" w:type="dxa"/>
          <w:bottom w:w="0" w:type="dxa"/>
          <w:right w:w="108" w:type="dxa"/>
        </w:tblCellMar>
      </w:tblPr>
      <w:tblGrid>
        <w:gridCol w:w="1269"/>
        <w:gridCol w:w="3065"/>
        <w:gridCol w:w="1129"/>
        <w:gridCol w:w="2749"/>
      </w:tblGrid>
      <w:tr>
        <w:tblPrEx>
          <w:tblCellMar>
            <w:top w:w="0" w:type="dxa"/>
            <w:left w:w="108" w:type="dxa"/>
            <w:bottom w:w="0" w:type="dxa"/>
            <w:right w:w="108" w:type="dxa"/>
          </w:tblCellMar>
        </w:tblPrEx>
        <w:trPr>
          <w:trHeight w:val="506" w:hRule="atLeast"/>
          <w:jc w:val="center"/>
        </w:trPr>
        <w:tc>
          <w:tcPr>
            <w:tcW w:w="1269"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序号</w:t>
            </w:r>
          </w:p>
        </w:tc>
        <w:tc>
          <w:tcPr>
            <w:tcW w:w="3065" w:type="dxa"/>
            <w:tcBorders>
              <w:top w:val="single" w:color="auto" w:sz="4" w:space="0"/>
              <w:left w:val="nil"/>
              <w:bottom w:val="single" w:color="auto" w:sz="4" w:space="0"/>
              <w:right w:val="single" w:color="auto" w:sz="4" w:space="0"/>
            </w:tcBorders>
            <w:shd w:val="clear" w:color="auto" w:fill="auto"/>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配件名称</w:t>
            </w:r>
          </w:p>
        </w:tc>
        <w:tc>
          <w:tcPr>
            <w:tcW w:w="1129" w:type="dxa"/>
            <w:tcBorders>
              <w:top w:val="single" w:color="auto" w:sz="4" w:space="0"/>
              <w:left w:val="nil"/>
              <w:bottom w:val="single" w:color="auto" w:sz="4" w:space="0"/>
              <w:right w:val="single" w:color="auto" w:sz="4" w:space="0"/>
            </w:tcBorders>
            <w:shd w:val="clear" w:color="auto" w:fill="auto"/>
            <w:vAlign w:val="center"/>
          </w:tcPr>
          <w:p>
            <w:pPr>
              <w:jc w:val="center"/>
              <w:rPr>
                <w:rFonts w:ascii="彩虹粗仿宋" w:hAnsi="宋体" w:eastAsia="彩虹粗仿宋" w:cs="宋体"/>
                <w:b/>
                <w:sz w:val="24"/>
                <w:szCs w:val="24"/>
              </w:rPr>
            </w:pPr>
            <w:r>
              <w:rPr>
                <w:rFonts w:hint="eastAsia" w:ascii="彩虹粗仿宋" w:hAnsi="Calibri" w:eastAsia="彩虹粗仿宋" w:cs="Times New Roman"/>
                <w:b/>
                <w:sz w:val="24"/>
                <w:szCs w:val="24"/>
              </w:rPr>
              <w:t>单位</w:t>
            </w:r>
          </w:p>
        </w:tc>
        <w:tc>
          <w:tcPr>
            <w:tcW w:w="2749"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b/>
                <w:sz w:val="24"/>
                <w:szCs w:val="24"/>
              </w:rPr>
            </w:pPr>
            <w:r>
              <w:rPr>
                <w:rFonts w:hint="eastAsia" w:ascii="彩虹粗仿宋" w:hAnsi="宋体" w:eastAsia="彩虹粗仿宋" w:cs="宋体"/>
                <w:b/>
                <w:sz w:val="24"/>
                <w:szCs w:val="24"/>
              </w:rPr>
              <w:t>帕萨特</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水泵总成</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1556</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2</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机油滤芯</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115</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3</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空气滤芯</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118</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4</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汽油滤芯</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331</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5</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汽油泵</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1302</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6</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皮带涨紧轮</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212</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7</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空调氟利昂</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桶</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400</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8</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火花塞</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支</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148</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9</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点火线圈</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套</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1580</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10</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前刹车片</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付</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948</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11</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后刹车片</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付</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984</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12</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前轮轴承</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套</w:t>
            </w:r>
          </w:p>
        </w:tc>
        <w:tc>
          <w:tcPr>
            <w:tcW w:w="2749" w:type="dxa"/>
            <w:tcBorders>
              <w:top w:val="nil"/>
              <w:left w:val="nil"/>
              <w:bottom w:val="single" w:color="auto" w:sz="4" w:space="0"/>
              <w:right w:val="single" w:color="auto" w:sz="4" w:space="0"/>
            </w:tcBorders>
            <w:shd w:val="clear" w:color="auto" w:fill="auto"/>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410</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13</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后轮轴承</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套</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427</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14</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制动钳壳体</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支</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1492</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15</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制动钳壳体</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支</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1051</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16</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雨刮器片/无骨</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付</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170</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17</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大灯总成(含灯泡）</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套</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1669</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18</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角灯总成</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套</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290</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19</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水温感应器</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466</w:t>
            </w:r>
          </w:p>
        </w:tc>
      </w:tr>
      <w:tr>
        <w:tblPrEx>
          <w:tblCellMar>
            <w:top w:w="0" w:type="dxa"/>
            <w:left w:w="108" w:type="dxa"/>
            <w:bottom w:w="0" w:type="dxa"/>
            <w:right w:w="108" w:type="dxa"/>
          </w:tblCellMar>
        </w:tblPrEx>
        <w:trPr>
          <w:trHeight w:val="506" w:hRule="atLeast"/>
          <w:jc w:val="center"/>
        </w:trPr>
        <w:tc>
          <w:tcPr>
            <w:tcW w:w="126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ascii="彩虹粗仿宋" w:hAnsi="Calibri" w:eastAsia="彩虹粗仿宋" w:cs="Times New Roman"/>
                <w:sz w:val="24"/>
                <w:szCs w:val="24"/>
              </w:rPr>
              <w:t>20</w:t>
            </w:r>
          </w:p>
        </w:tc>
        <w:tc>
          <w:tcPr>
            <w:tcW w:w="3065" w:type="dxa"/>
            <w:tcBorders>
              <w:top w:val="nil"/>
              <w:left w:val="nil"/>
              <w:bottom w:val="single" w:color="auto" w:sz="4" w:space="0"/>
              <w:right w:val="single" w:color="auto" w:sz="4" w:space="0"/>
            </w:tcBorders>
            <w:shd w:val="clear" w:color="auto" w:fill="auto"/>
            <w:noWrap/>
            <w:vAlign w:val="center"/>
          </w:tcPr>
          <w:p>
            <w:pPr>
              <w:rPr>
                <w:rFonts w:ascii="彩虹粗仿宋" w:hAnsi="宋体" w:eastAsia="彩虹粗仿宋" w:cs="宋体"/>
                <w:sz w:val="24"/>
                <w:szCs w:val="24"/>
              </w:rPr>
            </w:pPr>
            <w:r>
              <w:rPr>
                <w:rFonts w:hint="eastAsia" w:ascii="彩虹粗仿宋" w:hAnsi="Calibri" w:eastAsia="彩虹粗仿宋" w:cs="Times New Roman"/>
                <w:sz w:val="24"/>
                <w:szCs w:val="24"/>
              </w:rPr>
              <w:t>电子扇总成</w:t>
            </w:r>
          </w:p>
        </w:tc>
        <w:tc>
          <w:tcPr>
            <w:tcW w:w="112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Calibri" w:eastAsia="彩虹粗仿宋" w:cs="Times New Roman"/>
                <w:sz w:val="24"/>
                <w:szCs w:val="24"/>
              </w:rPr>
              <w:t>个</w:t>
            </w:r>
          </w:p>
        </w:tc>
        <w:tc>
          <w:tcPr>
            <w:tcW w:w="2749" w:type="dxa"/>
            <w:tcBorders>
              <w:top w:val="nil"/>
              <w:left w:val="nil"/>
              <w:bottom w:val="single" w:color="auto" w:sz="4" w:space="0"/>
              <w:right w:val="single" w:color="auto" w:sz="4" w:space="0"/>
            </w:tcBorders>
            <w:shd w:val="clear" w:color="auto" w:fill="auto"/>
            <w:noWrap/>
            <w:vAlign w:val="center"/>
          </w:tcPr>
          <w:p>
            <w:pPr>
              <w:jc w:val="center"/>
              <w:rPr>
                <w:rFonts w:ascii="彩虹粗仿宋" w:hAnsi="宋体" w:eastAsia="彩虹粗仿宋" w:cs="宋体"/>
                <w:sz w:val="24"/>
                <w:szCs w:val="24"/>
              </w:rPr>
            </w:pPr>
            <w:r>
              <w:rPr>
                <w:rFonts w:hint="eastAsia" w:ascii="彩虹粗仿宋" w:hAnsi="宋体" w:eastAsia="彩虹粗仿宋" w:cs="宋体"/>
                <w:sz w:val="24"/>
                <w:szCs w:val="24"/>
              </w:rPr>
              <w:t>928</w:t>
            </w:r>
          </w:p>
        </w:tc>
      </w:tr>
    </w:tbl>
    <w:p>
      <w:pPr>
        <w:rPr>
          <w:rFonts w:ascii="彩虹粗仿宋" w:hAnsi="宋体" w:eastAsia="彩虹粗仿宋" w:cs="Times New Roman"/>
          <w:sz w:val="28"/>
          <w:szCs w:val="28"/>
        </w:rPr>
      </w:pPr>
    </w:p>
    <w:p>
      <w:pPr>
        <w:adjustRightInd w:val="0"/>
        <w:snapToGrid w:val="0"/>
        <w:spacing w:line="5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35029"/>
    <w:rsid w:val="21716D30"/>
    <w:rsid w:val="265808F0"/>
    <w:rsid w:val="33F30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2025-05-21T02:19:00Z</dcterms:created>
  <dc:creator>haccb</dc:creator>
  <cp:lastModifiedBy>徐召</cp:lastModifiedBy>
  <dcterms:modified xsi:type="dcterms:W3CDTF">2025-05-21T02:37:04Z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B907E2F8D0BE473B9FFC1611F7497FA4_12</vt:lpwstr>
  </property>
</Properties>
</file>