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0" w:beforeLines="-2147483648" w:line="560" w:lineRule="exact"/>
        <w:jc w:val="center"/>
        <w:textAlignment w:val="auto"/>
        <w:outlineLvl w:val="9"/>
        <w:rPr>
          <w:rFonts w:hint="default" w:ascii="Times New Roman" w:hAnsi="Times New Roman" w:eastAsia="方正小标宋简体" w:cs="方正小标宋简体"/>
          <w:b w:val="0"/>
          <w:bCs w:val="0"/>
          <w:color w:val="auto"/>
          <w:sz w:val="36"/>
          <w:szCs w:val="36"/>
          <w:highlight w:val="none"/>
          <w:lang w:val="en-US" w:eastAsia="zh-CN"/>
        </w:rPr>
      </w:pPr>
      <w:r>
        <w:rPr>
          <w:rFonts w:hint="eastAsia" w:ascii="Times New Roman" w:hAnsi="Times New Roman" w:eastAsia="方正小标宋简体" w:cs="方正小标宋简体"/>
          <w:b w:val="0"/>
          <w:bCs w:val="0"/>
          <w:color w:val="auto"/>
          <w:sz w:val="36"/>
          <w:szCs w:val="36"/>
          <w:highlight w:val="none"/>
          <w:lang w:val="en-US" w:eastAsia="zh-CN"/>
        </w:rPr>
        <w:t xml:space="preserve"> </w:t>
      </w:r>
    </w:p>
    <w:p>
      <w:pPr>
        <w:keepNext w:val="0"/>
        <w:keepLines w:val="0"/>
        <w:pageBreakBefore w:val="0"/>
        <w:widowControl/>
        <w:kinsoku/>
        <w:wordWrap/>
        <w:overflowPunct/>
        <w:topLinePunct w:val="0"/>
        <w:autoSpaceDE/>
        <w:autoSpaceDN/>
        <w:bidi w:val="0"/>
        <w:adjustRightInd/>
        <w:snapToGrid/>
        <w:spacing w:before="0" w:beforeLines="-2147483648" w:line="560" w:lineRule="exact"/>
        <w:jc w:val="center"/>
        <w:textAlignment w:val="auto"/>
        <w:outlineLvl w:val="9"/>
        <w:rPr>
          <w:rFonts w:hint="eastAsia" w:ascii="Times New Roman" w:hAnsi="Times New Roman" w:eastAsia="方正小标宋简体" w:cs="方正小标宋简体"/>
          <w:b w:val="0"/>
          <w:bCs w:val="0"/>
          <w:color w:val="auto"/>
          <w:sz w:val="36"/>
          <w:szCs w:val="36"/>
          <w:highlight w:val="none"/>
          <w:lang w:val="en-US" w:eastAsia="zh-CN"/>
        </w:rPr>
      </w:pPr>
      <w:r>
        <w:rPr>
          <w:rFonts w:hint="eastAsia" w:ascii="Times New Roman" w:hAnsi="Times New Roman" w:eastAsia="方正小标宋简体" w:cs="方正小标宋简体"/>
          <w:b w:val="0"/>
          <w:bCs w:val="0"/>
          <w:color w:val="auto"/>
          <w:sz w:val="36"/>
          <w:szCs w:val="36"/>
          <w:highlight w:val="none"/>
          <w:lang w:val="en-US" w:eastAsia="zh-CN"/>
        </w:rPr>
        <w:t>苏州中国太平金融大厦2026年度20KV高压变电站</w:t>
      </w:r>
    </w:p>
    <w:p>
      <w:pPr>
        <w:keepNext w:val="0"/>
        <w:keepLines w:val="0"/>
        <w:pageBreakBefore w:val="0"/>
        <w:widowControl/>
        <w:kinsoku/>
        <w:wordWrap/>
        <w:overflowPunct/>
        <w:topLinePunct w:val="0"/>
        <w:autoSpaceDE/>
        <w:autoSpaceDN/>
        <w:bidi w:val="0"/>
        <w:adjustRightInd/>
        <w:snapToGrid/>
        <w:spacing w:before="0" w:beforeLines="-2147483648" w:line="560" w:lineRule="exact"/>
        <w:jc w:val="center"/>
        <w:textAlignment w:val="auto"/>
        <w:outlineLvl w:val="9"/>
        <w:rPr>
          <w:rFonts w:hint="eastAsia" w:ascii="Times New Roman" w:hAnsi="Times New Roman" w:eastAsia="方正小标宋简体" w:cs="方正小标宋简体"/>
          <w:color w:val="auto"/>
          <w:sz w:val="36"/>
          <w:szCs w:val="36"/>
          <w:highlight w:val="none"/>
          <w:lang w:val="en-US" w:eastAsia="zh-CN"/>
        </w:rPr>
      </w:pPr>
      <w:r>
        <w:rPr>
          <w:rFonts w:hint="eastAsia" w:ascii="Times New Roman" w:hAnsi="Times New Roman" w:eastAsia="方正小标宋简体" w:cs="方正小标宋简体"/>
          <w:b w:val="0"/>
          <w:bCs w:val="0"/>
          <w:color w:val="auto"/>
          <w:sz w:val="36"/>
          <w:szCs w:val="36"/>
          <w:highlight w:val="none"/>
          <w:lang w:val="en-US" w:eastAsia="zh-CN"/>
        </w:rPr>
        <w:t>委托管理服务采购项目供应商公开寻源公告</w:t>
      </w:r>
    </w:p>
    <w:p>
      <w:pPr>
        <w:pStyle w:val="13"/>
        <w:keepNext w:val="0"/>
        <w:keepLines w:val="0"/>
        <w:pageBreakBefore w:val="0"/>
        <w:widowControl/>
        <w:suppressLineNumbers w:val="0"/>
        <w:kinsoku/>
        <w:wordWrap/>
        <w:overflowPunct/>
        <w:topLinePunct w:val="0"/>
        <w:autoSpaceDE/>
        <w:autoSpaceDN/>
        <w:bidi w:val="0"/>
        <w:adjustRightInd/>
        <w:snapToGrid/>
        <w:spacing w:before="252" w:beforeAutospacing="0" w:after="100" w:afterAutospacing="0" w:line="520" w:lineRule="exact"/>
        <w:ind w:left="0" w:right="0" w:firstLine="560" w:firstLineChars="200"/>
        <w:textAlignment w:val="auto"/>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太平产业投资管理有限公司苏州分公司（以下简称“采购人”）现就“苏州中国太平金融大厦2026年度20KV高压变电站委托管理服务采购项目”（以下简称“本项目”）进行公开寻源，诚邀符合条件的单位报名参加。</w:t>
      </w:r>
    </w:p>
    <w:p>
      <w:pPr>
        <w:pStyle w:val="27"/>
        <w:keepNext w:val="0"/>
        <w:keepLines w:val="0"/>
        <w:pageBreakBefore w:val="0"/>
        <w:numPr>
          <w:ilvl w:val="-1"/>
          <w:numId w:val="0"/>
        </w:numPr>
        <w:kinsoku/>
        <w:wordWrap/>
        <w:overflowPunct/>
        <w:topLinePunct w:val="0"/>
        <w:autoSpaceDE/>
        <w:autoSpaceDN/>
        <w:bidi w:val="0"/>
        <w:adjustRightInd/>
        <w:snapToGrid/>
        <w:spacing w:line="520" w:lineRule="exact"/>
        <w:ind w:firstLine="562" w:firstLineChars="200"/>
        <w:textAlignment w:val="auto"/>
        <w:outlineLvl w:val="0"/>
        <w:rPr>
          <w:rFonts w:hint="eastAsia" w:ascii="仿宋_GB2312" w:hAnsi="仿宋" w:eastAsia="仿宋_GB2312" w:cs="Times New Roman"/>
          <w:b/>
          <w:bCs/>
          <w:color w:val="auto"/>
          <w:kern w:val="2"/>
          <w:sz w:val="28"/>
          <w:szCs w:val="28"/>
          <w:highlight w:val="none"/>
          <w:lang w:val="en-US" w:eastAsia="zh-CN" w:bidi="ar-SA"/>
        </w:rPr>
      </w:pPr>
      <w:r>
        <w:rPr>
          <w:rFonts w:hint="eastAsia" w:ascii="仿宋_GB2312" w:hAnsi="仿宋" w:eastAsia="仿宋_GB2312" w:cs="Times New Roman"/>
          <w:b/>
          <w:bCs/>
          <w:color w:val="auto"/>
          <w:kern w:val="2"/>
          <w:sz w:val="28"/>
          <w:szCs w:val="28"/>
          <w:highlight w:val="none"/>
          <w:lang w:val="en-US" w:eastAsia="zh-CN" w:bidi="ar-SA"/>
        </w:rPr>
        <w:t>一、项目概况：</w:t>
      </w:r>
    </w:p>
    <w:p>
      <w:pPr>
        <w:pStyle w:val="27"/>
        <w:keepNext w:val="0"/>
        <w:keepLines w:val="0"/>
        <w:pageBreakBefore w:val="0"/>
        <w:widowControl/>
        <w:numPr>
          <w:ilvl w:val="2"/>
          <w:numId w:val="0"/>
        </w:numPr>
        <w:kinsoku/>
        <w:wordWrap/>
        <w:overflowPunct/>
        <w:topLinePunct w:val="0"/>
        <w:autoSpaceDE/>
        <w:autoSpaceDN/>
        <w:bidi w:val="0"/>
        <w:adjustRightInd/>
        <w:snapToGrid/>
        <w:spacing w:line="520" w:lineRule="exact"/>
        <w:ind w:firstLine="560" w:firstLineChars="200"/>
        <w:textAlignment w:val="auto"/>
        <w:outlineLvl w:val="1"/>
        <w:rPr>
          <w:rFonts w:hint="eastAsia" w:ascii="仿宋_GB2312" w:hAnsi="仿宋" w:eastAsia="仿宋_GB2312" w:cs="Times New Roman"/>
          <w:b w:val="0"/>
          <w:bCs w:val="0"/>
          <w:color w:val="auto"/>
          <w:kern w:val="2"/>
          <w:sz w:val="28"/>
          <w:szCs w:val="28"/>
          <w:highlight w:val="none"/>
          <w:lang w:val="en-US" w:eastAsia="zh-CN"/>
        </w:rPr>
      </w:pPr>
      <w:r>
        <w:rPr>
          <w:rFonts w:hint="eastAsia" w:ascii="仿宋_GB2312" w:hAnsi="仿宋" w:eastAsia="仿宋_GB2312" w:cs="Times New Roman"/>
          <w:b w:val="0"/>
          <w:bCs w:val="0"/>
          <w:color w:val="auto"/>
          <w:kern w:val="2"/>
          <w:sz w:val="28"/>
          <w:szCs w:val="28"/>
          <w:highlight w:val="none"/>
          <w:lang w:val="en-US" w:eastAsia="zh-CN"/>
        </w:rPr>
        <w:t>（一）项目地址:苏州市苏州大道东398号苏州中国太平金融大厦。</w:t>
      </w:r>
    </w:p>
    <w:p>
      <w:pPr>
        <w:pStyle w:val="27"/>
        <w:keepNext w:val="0"/>
        <w:keepLines w:val="0"/>
        <w:pageBreakBefore w:val="0"/>
        <w:widowControl/>
        <w:numPr>
          <w:ilvl w:val="2"/>
          <w:numId w:val="0"/>
        </w:numPr>
        <w:kinsoku/>
        <w:wordWrap/>
        <w:overflowPunct/>
        <w:topLinePunct w:val="0"/>
        <w:autoSpaceDE/>
        <w:autoSpaceDN/>
        <w:bidi w:val="0"/>
        <w:adjustRightInd/>
        <w:snapToGrid/>
        <w:spacing w:line="520" w:lineRule="exact"/>
        <w:ind w:firstLine="560" w:firstLineChars="200"/>
        <w:textAlignment w:val="auto"/>
        <w:outlineLvl w:val="1"/>
        <w:rPr>
          <w:rFonts w:hint="eastAsia" w:ascii="仿宋_GB2312" w:hAnsi="仿宋" w:eastAsia="仿宋_GB2312" w:cs="Times New Roman"/>
          <w:b w:val="0"/>
          <w:bCs w:val="0"/>
          <w:color w:val="auto"/>
          <w:kern w:val="2"/>
          <w:sz w:val="28"/>
          <w:szCs w:val="28"/>
          <w:highlight w:val="none"/>
          <w:lang w:val="en-US" w:eastAsia="zh-CN"/>
        </w:rPr>
      </w:pPr>
      <w:r>
        <w:rPr>
          <w:rFonts w:hint="eastAsia" w:ascii="仿宋_GB2312" w:hAnsi="仿宋" w:eastAsia="仿宋_GB2312" w:cs="Times New Roman"/>
          <w:b w:val="0"/>
          <w:bCs w:val="0"/>
          <w:color w:val="auto"/>
          <w:kern w:val="2"/>
          <w:sz w:val="28"/>
          <w:szCs w:val="28"/>
          <w:highlight w:val="none"/>
          <w:lang w:val="en-US" w:eastAsia="zh-CN"/>
        </w:rPr>
        <w:t>（二）采购人:太平产业投资管理有限公司苏州分公司。</w:t>
      </w:r>
    </w:p>
    <w:p>
      <w:pPr>
        <w:pStyle w:val="27"/>
        <w:keepNext w:val="0"/>
        <w:keepLines w:val="0"/>
        <w:pageBreakBefore w:val="0"/>
        <w:widowControl/>
        <w:numPr>
          <w:ilvl w:val="2"/>
          <w:numId w:val="0"/>
        </w:numPr>
        <w:kinsoku/>
        <w:wordWrap/>
        <w:overflowPunct/>
        <w:topLinePunct w:val="0"/>
        <w:autoSpaceDE/>
        <w:autoSpaceDN/>
        <w:bidi w:val="0"/>
        <w:adjustRightInd/>
        <w:snapToGrid/>
        <w:spacing w:line="520" w:lineRule="exact"/>
        <w:ind w:firstLine="560" w:firstLineChars="200"/>
        <w:textAlignment w:val="auto"/>
        <w:outlineLvl w:val="1"/>
        <w:rPr>
          <w:rFonts w:hint="eastAsia" w:ascii="仿宋_GB2312" w:hAnsi="仿宋" w:eastAsia="仿宋_GB2312" w:cs="Times New Roman"/>
          <w:b w:val="0"/>
          <w:bCs w:val="0"/>
          <w:color w:val="auto"/>
          <w:kern w:val="2"/>
          <w:sz w:val="28"/>
          <w:szCs w:val="28"/>
          <w:highlight w:val="none"/>
          <w:lang w:val="en-US" w:eastAsia="zh-CN"/>
        </w:rPr>
      </w:pPr>
      <w:r>
        <w:rPr>
          <w:rFonts w:hint="eastAsia" w:ascii="仿宋_GB2312" w:hAnsi="仿宋" w:eastAsia="仿宋_GB2312" w:cs="Times New Roman"/>
          <w:b w:val="0"/>
          <w:bCs w:val="0"/>
          <w:color w:val="auto"/>
          <w:kern w:val="2"/>
          <w:sz w:val="28"/>
          <w:szCs w:val="28"/>
          <w:highlight w:val="none"/>
          <w:lang w:val="en-US" w:eastAsia="zh-CN"/>
        </w:rPr>
        <w:t>（三）采购项目名称:苏州中国太平金融大厦2026年度20KV高压变电站委托管理服务采购项目。</w:t>
      </w:r>
    </w:p>
    <w:p>
      <w:pPr>
        <w:pStyle w:val="27"/>
        <w:keepNext w:val="0"/>
        <w:keepLines w:val="0"/>
        <w:pageBreakBefore w:val="0"/>
        <w:widowControl/>
        <w:numPr>
          <w:ilvl w:val="2"/>
          <w:numId w:val="0"/>
        </w:numPr>
        <w:kinsoku/>
        <w:wordWrap/>
        <w:overflowPunct/>
        <w:topLinePunct w:val="0"/>
        <w:autoSpaceDE/>
        <w:autoSpaceDN/>
        <w:bidi w:val="0"/>
        <w:adjustRightInd/>
        <w:snapToGrid/>
        <w:spacing w:line="520" w:lineRule="exact"/>
        <w:ind w:firstLine="560" w:firstLineChars="200"/>
        <w:textAlignment w:val="auto"/>
        <w:outlineLvl w:val="1"/>
        <w:rPr>
          <w:rFonts w:hint="eastAsia" w:ascii="仿宋_GB2312" w:hAnsi="仿宋" w:eastAsia="仿宋_GB2312" w:cs="Times New Roman"/>
          <w:b w:val="0"/>
          <w:bCs w:val="0"/>
          <w:color w:val="auto"/>
          <w:kern w:val="2"/>
          <w:sz w:val="28"/>
          <w:szCs w:val="28"/>
          <w:highlight w:val="none"/>
          <w:lang w:val="en-US" w:eastAsia="zh-CN"/>
        </w:rPr>
      </w:pPr>
      <w:r>
        <w:rPr>
          <w:rFonts w:hint="eastAsia" w:ascii="仿宋_GB2312" w:hAnsi="仿宋" w:eastAsia="仿宋_GB2312" w:cs="Times New Roman"/>
          <w:b w:val="0"/>
          <w:bCs w:val="0"/>
          <w:color w:val="auto"/>
          <w:kern w:val="2"/>
          <w:sz w:val="28"/>
          <w:szCs w:val="28"/>
          <w:highlight w:val="none"/>
          <w:lang w:val="en-US" w:eastAsia="zh-CN"/>
        </w:rPr>
        <w:t>（四）项目概况:苏州中国太平金融大厦位于苏州工业园区苏州大道东398号。大厦占地面积9559.31平方米，总建筑面积11万平方米，其中地上8.8万平方米；地下2.2万平方米，地上：42层；地下3层，总建筑高度187.8米，标准层面积2200平方米左右；地下1-3层为设备用房、车库及人防，裙楼地上1层至4层为商业及配套用房（包括配套餐厅），塔楼地上1-42层为办公楼，12层、26层、38层为避难层，机动车位358个 (其中机械车位208个)。</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leftChars="0" w:firstLine="560" w:firstLineChars="200"/>
        <w:textAlignment w:val="auto"/>
        <w:outlineLvl w:val="1"/>
        <w:rPr>
          <w:rFonts w:hint="eastAsia" w:ascii="仿宋_GB2312" w:hAnsi="仿宋" w:eastAsia="仿宋_GB2312" w:cs="Times New Roman"/>
          <w:b w:val="0"/>
          <w:bCs w:val="0"/>
          <w:color w:val="auto"/>
          <w:kern w:val="2"/>
          <w:sz w:val="28"/>
          <w:szCs w:val="28"/>
          <w:highlight w:val="none"/>
          <w:lang w:val="en-US" w:eastAsia="zh-CN"/>
        </w:rPr>
      </w:pPr>
      <w:r>
        <w:rPr>
          <w:rFonts w:hint="eastAsia" w:ascii="仿宋_GB2312" w:hAnsi="仿宋" w:eastAsia="仿宋_GB2312" w:cs="Times New Roman"/>
          <w:b w:val="0"/>
          <w:bCs w:val="0"/>
          <w:color w:val="auto"/>
          <w:kern w:val="2"/>
          <w:sz w:val="28"/>
          <w:szCs w:val="28"/>
          <w:highlight w:val="none"/>
          <w:lang w:val="en-US" w:eastAsia="zh-CN"/>
        </w:rPr>
        <w:t>（五）服务期限:暂定2026年1月1日至2026年12月31日</w:t>
      </w:r>
      <w:r>
        <w:rPr>
          <w:rFonts w:hint="eastAsia" w:ascii="仿宋_GB2312" w:hAnsi="仿宋" w:eastAsia="仿宋_GB2312"/>
          <w:color w:val="auto"/>
          <w:sz w:val="28"/>
          <w:szCs w:val="28"/>
          <w:highlight w:val="none"/>
          <w:lang w:val="en-US" w:eastAsia="zh-CN"/>
        </w:rPr>
        <w:t>，最终以合同约定为准。</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firstLine="560" w:firstLineChars="200"/>
        <w:textAlignment w:val="auto"/>
        <w:outlineLvl w:val="1"/>
        <w:rPr>
          <w:rFonts w:hint="default" w:ascii="仿宋_GB2312" w:hAnsi="仿宋" w:eastAsia="仿宋_GB2312" w:cs="Times New Roman"/>
          <w:b w:val="0"/>
          <w:bCs w:val="0"/>
          <w:color w:val="auto"/>
          <w:kern w:val="2"/>
          <w:sz w:val="28"/>
          <w:szCs w:val="28"/>
          <w:highlight w:val="none"/>
          <w:lang w:val="en-US" w:eastAsia="zh-CN"/>
        </w:rPr>
      </w:pPr>
      <w:r>
        <w:rPr>
          <w:rFonts w:hint="eastAsia" w:ascii="仿宋_GB2312" w:hAnsi="仿宋" w:eastAsia="仿宋_GB2312" w:cs="Times New Roman"/>
          <w:b w:val="0"/>
          <w:bCs w:val="0"/>
          <w:color w:val="auto"/>
          <w:kern w:val="2"/>
          <w:sz w:val="28"/>
          <w:szCs w:val="28"/>
          <w:highlight w:val="none"/>
          <w:lang w:val="en-US" w:eastAsia="zh-CN"/>
        </w:rPr>
        <w:t>（六）采购需求:为了大厦20KV高压变电站持续可靠的运行，需对2026年20KV高压变电站委托管理。变电站编号：SS1、SS2、SS3；B1F SS1变配电站，SCB-1600KVA变压器2台、SCB-1250KVA变压器2台；B1F SS3变配电站，SCB-1250KVA变压器2台；26FSS2变配电站，SCB-1000KVA变压器4台及配电房附属设施等进行24小时值班管理。</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firstLine="0" w:firstLineChars="0"/>
        <w:textAlignment w:val="auto"/>
        <w:outlineLvl w:val="0"/>
        <w:rPr>
          <w:rFonts w:hint="eastAsia" w:ascii="仿宋_GB2312" w:hAnsi="仿宋" w:eastAsia="仿宋_GB2312" w:cs="Times New Roman"/>
          <w:b/>
          <w:bCs/>
          <w:color w:val="auto"/>
          <w:kern w:val="2"/>
          <w:sz w:val="28"/>
          <w:szCs w:val="28"/>
          <w:highlight w:val="none"/>
          <w:lang w:val="en-US" w:eastAsia="zh-CN" w:bidi="ar-SA"/>
        </w:rPr>
      </w:pPr>
      <w:r>
        <w:rPr>
          <w:rFonts w:hint="eastAsia" w:ascii="仿宋_GB2312" w:hAnsi="仿宋" w:eastAsia="仿宋_GB2312" w:cs="Times New Roman"/>
          <w:b/>
          <w:bCs/>
          <w:color w:val="auto"/>
          <w:kern w:val="2"/>
          <w:sz w:val="28"/>
          <w:szCs w:val="28"/>
          <w:highlight w:val="none"/>
          <w:lang w:val="en-US" w:eastAsia="zh-CN" w:bidi="ar-SA"/>
        </w:rPr>
        <w:t>二、报名人资格要求</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firstLine="560" w:firstLineChars="200"/>
        <w:textAlignment w:val="auto"/>
        <w:outlineLvl w:val="1"/>
        <w:rPr>
          <w:rFonts w:hint="eastAsia" w:ascii="仿宋_GB2312" w:hAnsi="仿宋" w:eastAsia="仿宋_GB2312" w:cs="Times New Roman"/>
          <w:b/>
          <w:bCs/>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（一）</w:t>
      </w:r>
      <w:r>
        <w:rPr>
          <w:rFonts w:hint="eastAsia" w:ascii="仿宋_GB2312" w:hAnsi="仿宋" w:eastAsia="仿宋_GB2312" w:cs="Times New Roman"/>
          <w:b/>
          <w:bCs/>
          <w:color w:val="auto"/>
          <w:kern w:val="2"/>
          <w:sz w:val="28"/>
          <w:szCs w:val="28"/>
          <w:highlight w:val="none"/>
          <w:lang w:val="en-US" w:eastAsia="zh-CN" w:bidi="ar-SA"/>
        </w:rPr>
        <w:t xml:space="preserve"> 基本资格要求：</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left="0" w:leftChars="0" w:firstLine="560" w:firstLineChars="200"/>
        <w:jc w:val="left"/>
        <w:textAlignment w:val="auto"/>
        <w:outlineLvl w:val="1"/>
        <w:rPr>
          <w:rFonts w:hint="eastAsia" w:ascii="仿宋_GB2312" w:hAnsi="仿宋" w:eastAsia="仿宋_GB2312" w:cs="Times New Roman"/>
          <w:color w:val="auto"/>
          <w:sz w:val="28"/>
          <w:szCs w:val="28"/>
          <w:highlight w:val="none"/>
          <w:lang w:val="en-US" w:eastAsia="zh-CN"/>
        </w:rPr>
      </w:pPr>
      <w:r>
        <w:rPr>
          <w:rFonts w:hint="eastAsia" w:ascii="仿宋_GB2312" w:hAnsi="仿宋" w:eastAsia="仿宋_GB2312" w:cs="Times New Roman"/>
          <w:b w:val="0"/>
          <w:bCs w:val="0"/>
          <w:color w:val="auto"/>
          <w:kern w:val="2"/>
          <w:sz w:val="28"/>
          <w:szCs w:val="28"/>
          <w:highlight w:val="none"/>
          <w:lang w:val="en-US" w:eastAsia="zh-CN" w:bidi="ar-SA"/>
        </w:rPr>
        <w:t>1.报名人为具有独立法人资格或是具有独立承担民事责任能力的其他组织。</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left="0" w:leftChars="0" w:firstLine="560" w:firstLineChars="200"/>
        <w:jc w:val="left"/>
        <w:textAlignment w:val="auto"/>
        <w:outlineLvl w:val="1"/>
        <w:rPr>
          <w:rFonts w:hint="eastAsia" w:ascii="仿宋_GB2312" w:hAnsi="仿宋" w:eastAsia="仿宋_GB2312" w:cs="Times New Roman"/>
          <w:color w:val="auto"/>
          <w:sz w:val="28"/>
          <w:szCs w:val="28"/>
          <w:highlight w:val="none"/>
          <w:lang w:val="en-US" w:eastAsia="zh-CN"/>
        </w:rPr>
      </w:pPr>
      <w:r>
        <w:rPr>
          <w:rFonts w:hint="eastAsia" w:ascii="仿宋_GB2312" w:hAnsi="仿宋" w:eastAsia="仿宋_GB2312" w:cs="Times New Roman"/>
          <w:color w:val="auto"/>
          <w:sz w:val="28"/>
          <w:szCs w:val="28"/>
          <w:highlight w:val="none"/>
          <w:lang w:val="en-US" w:eastAsia="zh-CN"/>
        </w:rPr>
        <w:t>2.</w:t>
      </w:r>
      <w:r>
        <w:rPr>
          <w:rFonts w:hint="eastAsia" w:ascii="仿宋_GB2312" w:hAnsi="仿宋" w:eastAsia="仿宋_GB2312" w:cs="Times New Roman"/>
          <w:color w:val="auto"/>
          <w:sz w:val="28"/>
          <w:szCs w:val="28"/>
          <w:highlight w:val="none"/>
        </w:rPr>
        <w:t>报名人经营范围</w:t>
      </w:r>
      <w:r>
        <w:rPr>
          <w:rFonts w:hint="eastAsia" w:ascii="仿宋_GB2312" w:hAnsi="仿宋" w:eastAsia="仿宋_GB2312" w:cs="Times New Roman"/>
          <w:color w:val="auto"/>
          <w:sz w:val="28"/>
          <w:szCs w:val="28"/>
          <w:highlight w:val="none"/>
          <w:lang w:val="en-US" w:eastAsia="zh-CN"/>
        </w:rPr>
        <w:t>符合本项目要求：报名人可提供包括但不限于营业执照或经工商备案的公司章程或有关政府部门颁发的行政许可或资格资质等能体现经营范围的证明材料。以上材料须加盖报名人公章。</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firstLine="562" w:firstLineChars="200"/>
        <w:textAlignment w:val="auto"/>
        <w:outlineLvl w:val="9"/>
        <w:rPr>
          <w:rFonts w:hint="eastAsia" w:ascii="仿宋_GB2312" w:hAnsi="仿宋" w:eastAsia="仿宋_GB2312" w:cs="Times New Roman"/>
          <w:b/>
          <w:bCs/>
          <w:color w:val="auto"/>
          <w:kern w:val="2"/>
          <w:sz w:val="28"/>
          <w:szCs w:val="28"/>
          <w:highlight w:val="none"/>
          <w:lang w:val="en-US" w:eastAsia="zh-CN" w:bidi="ar-SA"/>
        </w:rPr>
      </w:pPr>
      <w:r>
        <w:rPr>
          <w:rFonts w:hint="eastAsia" w:ascii="仿宋_GB2312" w:hAnsi="仿宋" w:eastAsia="仿宋_GB2312" w:cs="Times New Roman"/>
          <w:b/>
          <w:bCs/>
          <w:color w:val="auto"/>
          <w:kern w:val="2"/>
          <w:sz w:val="28"/>
          <w:szCs w:val="28"/>
          <w:highlight w:val="none"/>
          <w:lang w:val="en-US" w:eastAsia="zh-CN" w:bidi="ar-SA"/>
        </w:rPr>
        <w:t>（二）资质要求：</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firstLine="560" w:firstLineChars="200"/>
        <w:textAlignment w:val="auto"/>
        <w:outlineLvl w:val="9"/>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1.报名人具有政府部门颁发的有效期内承装（修、试）电力设施许可证四级或四级以上资质；</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firstLine="560" w:firstLineChars="200"/>
        <w:textAlignment w:val="auto"/>
        <w:outlineLvl w:val="1"/>
        <w:rPr>
          <w:rFonts w:hint="eastAsia" w:ascii="仿宋_GB2312" w:hAnsi="仿宋" w:eastAsia="仿宋_GB2312" w:cs="Times New Roman"/>
          <w:b/>
          <w:bCs/>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2.报名人具有政府部门颁发的有效期内安全生产许可证。</w:t>
      </w:r>
      <w:r>
        <w:rPr>
          <w:rFonts w:hint="eastAsia" w:ascii="仿宋_GB2312" w:hAnsi="仿宋" w:eastAsia="仿宋_GB2312" w:cs="Times New Roman"/>
          <w:b/>
          <w:bCs/>
          <w:color w:val="auto"/>
          <w:kern w:val="2"/>
          <w:sz w:val="28"/>
          <w:szCs w:val="28"/>
          <w:highlight w:val="none"/>
          <w:lang w:val="en-US" w:eastAsia="zh-CN" w:bidi="ar-SA"/>
        </w:rPr>
        <w:t xml:space="preserve"> </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firstLine="562" w:firstLineChars="200"/>
        <w:textAlignment w:val="auto"/>
        <w:outlineLvl w:val="2"/>
        <w:rPr>
          <w:rFonts w:hint="eastAsia" w:ascii="仿宋_GB2312" w:hAnsi="仿宋" w:eastAsia="仿宋_GB2312" w:cs="Times New Roman"/>
          <w:b/>
          <w:bCs/>
          <w:color w:val="auto"/>
          <w:kern w:val="2"/>
          <w:sz w:val="28"/>
          <w:szCs w:val="28"/>
          <w:highlight w:val="none"/>
          <w:lang w:val="en-US" w:eastAsia="zh-CN" w:bidi="ar-SA"/>
        </w:rPr>
      </w:pPr>
      <w:r>
        <w:rPr>
          <w:rFonts w:hint="eastAsia" w:ascii="仿宋_GB2312" w:hAnsi="仿宋" w:eastAsia="仿宋_GB2312" w:cs="Times New Roman"/>
          <w:b/>
          <w:bCs/>
          <w:color w:val="auto"/>
          <w:kern w:val="2"/>
          <w:sz w:val="28"/>
          <w:szCs w:val="28"/>
          <w:highlight w:val="none"/>
          <w:lang w:val="en-US" w:eastAsia="zh-CN" w:bidi="ar-SA"/>
        </w:rPr>
        <w:t>（三）同类业绩要求：</w:t>
      </w:r>
    </w:p>
    <w:p>
      <w:pPr>
        <w:spacing w:line="240" w:lineRule="auto"/>
        <w:ind w:firstLine="562" w:firstLineChars="200"/>
        <w:rPr>
          <w:rFonts w:hint="eastAsia" w:ascii="仿宋_GB2312" w:hAnsi="仿宋" w:eastAsia="仿宋_GB2312" w:cs="Times New Roman"/>
          <w:b/>
          <w:bCs/>
          <w:color w:val="auto"/>
          <w:kern w:val="2"/>
          <w:sz w:val="28"/>
          <w:szCs w:val="28"/>
          <w:highlight w:val="none"/>
          <w:lang w:val="en-US" w:eastAsia="zh-CN" w:bidi="ar-SA"/>
        </w:rPr>
      </w:pPr>
      <w:r>
        <w:rPr>
          <w:rFonts w:hint="eastAsia" w:ascii="仿宋_GB2312" w:hAnsi="仿宋" w:eastAsia="仿宋_GB2312" w:cs="Times New Roman"/>
          <w:b/>
          <w:bCs/>
          <w:color w:val="auto"/>
          <w:kern w:val="2"/>
          <w:sz w:val="28"/>
          <w:szCs w:val="28"/>
          <w:highlight w:val="none"/>
          <w:lang w:val="en-US" w:eastAsia="zh-CN" w:bidi="ar-SA"/>
        </w:rPr>
        <w:t>报名人提供至少2个同类项目业绩合同，具体要求如下：</w:t>
      </w:r>
    </w:p>
    <w:p>
      <w:pPr>
        <w:spacing w:line="240" w:lineRule="auto"/>
        <w:ind w:firstLine="560" w:firstLineChars="200"/>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1.业绩时间要求：须符合自2022年1月1</w:t>
      </w:r>
      <w:bookmarkStart w:id="0" w:name="_GoBack"/>
      <w:bookmarkEnd w:id="0"/>
      <w:r>
        <w:rPr>
          <w:rFonts w:hint="eastAsia" w:ascii="仿宋_GB2312" w:hAnsi="仿宋" w:eastAsia="仿宋_GB2312" w:cs="Times New Roman"/>
          <w:b w:val="0"/>
          <w:bCs w:val="0"/>
          <w:color w:val="auto"/>
          <w:kern w:val="2"/>
          <w:sz w:val="28"/>
          <w:szCs w:val="28"/>
          <w:highlight w:val="none"/>
          <w:lang w:val="en-US" w:eastAsia="zh-CN" w:bidi="ar-SA"/>
        </w:rPr>
        <w:t>日至本项目文件递交截止日期间履约中或已完成的业绩合同。</w:t>
      </w:r>
    </w:p>
    <w:p>
      <w:pPr>
        <w:spacing w:line="240" w:lineRule="auto"/>
        <w:ind w:firstLine="560" w:firstLineChars="200"/>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2.业绩金额要求：单个项目合同金额≥28万元（人民币）。</w:t>
      </w:r>
    </w:p>
    <w:p>
      <w:pPr>
        <w:spacing w:line="240" w:lineRule="auto"/>
        <w:ind w:firstLine="560" w:firstLineChars="200"/>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3.同类项目业绩指提供的业绩合同中须包含以下两种类型之一，即被认定为有效业绩：变配电技术服务/变配电运维管理服务。</w:t>
      </w:r>
    </w:p>
    <w:p>
      <w:pPr>
        <w:spacing w:line="240" w:lineRule="auto"/>
        <w:outlineLvl w:val="9"/>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报名人须提供上述同类业绩合同关键页复印件，合同关键页包括但不限于：合同双方名称、服务范围及内容、双方盖章页、合同金额、合同服务期限或合同签订日期等重要信息；投标人未提供业绩合同关键页复印件或提供不全，或提供的复印件难以辨认关键信息的，属无效业绩证明不符合上述条件的业绩将不予认可。</w:t>
      </w:r>
      <w:r>
        <w:rPr>
          <w:rFonts w:hint="eastAsia" w:ascii="仿宋_GB2312" w:hAnsi="仿宋" w:eastAsia="仿宋_GB2312" w:cs="Times New Roman"/>
          <w:i w:val="0"/>
          <w:iCs w:val="0"/>
          <w:caps w:val="0"/>
          <w:color w:val="auto"/>
          <w:spacing w:val="0"/>
          <w:sz w:val="28"/>
          <w:szCs w:val="28"/>
          <w:highlight w:val="none"/>
          <w:lang w:eastAsia="zh-CN"/>
        </w:rPr>
        <w:t xml:space="preserve"> </w:t>
      </w:r>
      <w:r>
        <w:rPr>
          <w:rFonts w:hint="eastAsia" w:ascii="仿宋_GB2312" w:hAnsi="仿宋" w:eastAsia="仿宋_GB2312" w:cs="Times New Roman"/>
          <w:b w:val="0"/>
          <w:bCs w:val="0"/>
          <w:color w:val="auto"/>
          <w:kern w:val="2"/>
          <w:sz w:val="28"/>
          <w:szCs w:val="28"/>
          <w:highlight w:val="none"/>
          <w:lang w:val="en-US" w:eastAsia="zh-CN" w:bidi="ar-SA"/>
        </w:rPr>
        <w:t xml:space="preserve">  </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firstLine="562" w:firstLineChars="200"/>
        <w:textAlignment w:val="auto"/>
        <w:outlineLvl w:val="1"/>
        <w:rPr>
          <w:rFonts w:hint="eastAsia" w:ascii="仿宋_GB2312" w:hAnsi="仿宋" w:eastAsia="仿宋_GB2312" w:cs="Times New Roman"/>
          <w:b/>
          <w:bCs/>
          <w:color w:val="auto"/>
          <w:kern w:val="2"/>
          <w:sz w:val="28"/>
          <w:szCs w:val="28"/>
          <w:highlight w:val="none"/>
          <w:lang w:val="en-US" w:eastAsia="zh-CN" w:bidi="ar-SA"/>
        </w:rPr>
      </w:pPr>
      <w:r>
        <w:rPr>
          <w:rFonts w:hint="eastAsia" w:ascii="仿宋_GB2312" w:hAnsi="仿宋" w:eastAsia="仿宋_GB2312" w:cs="Times New Roman"/>
          <w:b/>
          <w:bCs/>
          <w:color w:val="auto"/>
          <w:kern w:val="2"/>
          <w:sz w:val="28"/>
          <w:szCs w:val="28"/>
          <w:highlight w:val="none"/>
          <w:lang w:val="en-US" w:eastAsia="zh-CN" w:bidi="ar-SA"/>
        </w:rPr>
        <w:t>（四）信用要求:</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1.报名人未被“国家企业信用信息公示系统”网（查询网址：</w:t>
      </w:r>
      <w:r>
        <w:rPr>
          <w:rFonts w:hint="eastAsia" w:ascii="仿宋_GB2312" w:hAnsi="仿宋" w:eastAsia="仿宋_GB2312" w:cs="Times New Roman"/>
          <w:b w:val="0"/>
          <w:bCs w:val="0"/>
          <w:color w:val="auto"/>
          <w:kern w:val="2"/>
          <w:sz w:val="28"/>
          <w:szCs w:val="28"/>
          <w:highlight w:val="none"/>
          <w:lang w:val="en-US" w:eastAsia="zh-CN" w:bidi="ar-SA"/>
        </w:rPr>
        <w:fldChar w:fldCharType="begin"/>
      </w:r>
      <w:r>
        <w:rPr>
          <w:rFonts w:hint="eastAsia" w:ascii="仿宋_GB2312" w:hAnsi="仿宋" w:eastAsia="仿宋_GB2312" w:cs="Times New Roman"/>
          <w:b w:val="0"/>
          <w:bCs w:val="0"/>
          <w:color w:val="auto"/>
          <w:kern w:val="2"/>
          <w:sz w:val="28"/>
          <w:szCs w:val="28"/>
          <w:highlight w:val="none"/>
          <w:lang w:val="en-US" w:eastAsia="zh-CN" w:bidi="ar-SA"/>
        </w:rPr>
        <w:instrText xml:space="preserve"> HYPERLINK "http://www.gsxt.gov.cn/）；" </w:instrText>
      </w:r>
      <w:r>
        <w:rPr>
          <w:rFonts w:hint="eastAsia" w:ascii="仿宋_GB2312" w:hAnsi="仿宋" w:eastAsia="仿宋_GB2312" w:cs="Times New Roman"/>
          <w:b w:val="0"/>
          <w:bCs w:val="0"/>
          <w:color w:val="auto"/>
          <w:kern w:val="2"/>
          <w:sz w:val="28"/>
          <w:szCs w:val="28"/>
          <w:highlight w:val="none"/>
          <w:lang w:val="en-US" w:eastAsia="zh-CN" w:bidi="ar-SA"/>
        </w:rPr>
        <w:fldChar w:fldCharType="separate"/>
      </w:r>
      <w:r>
        <w:rPr>
          <w:rFonts w:hint="eastAsia" w:ascii="仿宋_GB2312" w:hAnsi="仿宋" w:eastAsia="仿宋_GB2312" w:cs="Times New Roman"/>
          <w:b w:val="0"/>
          <w:bCs w:val="0"/>
          <w:color w:val="auto"/>
          <w:kern w:val="2"/>
          <w:sz w:val="28"/>
          <w:szCs w:val="28"/>
          <w:highlight w:val="none"/>
          <w:lang w:val="en-US" w:eastAsia="zh-CN" w:bidi="ar-SA"/>
        </w:rPr>
        <w:t>http://www.gsxt.gov.cn/）</w:t>
      </w:r>
      <w:r>
        <w:rPr>
          <w:rFonts w:hint="eastAsia" w:ascii="仿宋_GB2312" w:hAnsi="仿宋" w:eastAsia="仿宋_GB2312" w:cs="Times New Roman"/>
          <w:b w:val="0"/>
          <w:bCs w:val="0"/>
          <w:color w:val="auto"/>
          <w:kern w:val="2"/>
          <w:sz w:val="28"/>
          <w:szCs w:val="28"/>
          <w:highlight w:val="none"/>
          <w:lang w:val="en-US" w:eastAsia="zh-CN" w:bidi="ar-SA"/>
        </w:rPr>
        <w:fldChar w:fldCharType="end"/>
      </w:r>
      <w:r>
        <w:rPr>
          <w:rFonts w:hint="eastAsia" w:ascii="仿宋_GB2312" w:hAnsi="仿宋" w:eastAsia="仿宋_GB2312" w:cs="Times New Roman"/>
          <w:b w:val="0"/>
          <w:bCs w:val="0"/>
          <w:color w:val="auto"/>
          <w:kern w:val="2"/>
          <w:sz w:val="28"/>
          <w:szCs w:val="28"/>
          <w:highlight w:val="none"/>
          <w:lang w:val="en-US" w:eastAsia="zh-CN" w:bidi="ar-SA"/>
        </w:rPr>
        <w:t>列入经营异常企业名单（曾被列入已经移出的除外）和严重违法失信企业名单。</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2.报名人未被“信用中国”网（查询网址：</w:t>
      </w:r>
      <w:r>
        <w:rPr>
          <w:rFonts w:hint="eastAsia" w:ascii="仿宋_GB2312" w:hAnsi="仿宋" w:eastAsia="仿宋_GB2312" w:cs="Times New Roman"/>
          <w:b w:val="0"/>
          <w:bCs w:val="0"/>
          <w:color w:val="auto"/>
          <w:kern w:val="2"/>
          <w:sz w:val="28"/>
          <w:szCs w:val="28"/>
          <w:highlight w:val="none"/>
          <w:lang w:val="en-US" w:eastAsia="zh-CN" w:bidi="ar-SA"/>
        </w:rPr>
        <w:fldChar w:fldCharType="begin"/>
      </w:r>
      <w:r>
        <w:rPr>
          <w:rFonts w:hint="eastAsia" w:ascii="仿宋_GB2312" w:hAnsi="仿宋" w:eastAsia="仿宋_GB2312" w:cs="Times New Roman"/>
          <w:b w:val="0"/>
          <w:bCs w:val="0"/>
          <w:color w:val="auto"/>
          <w:kern w:val="2"/>
          <w:sz w:val="28"/>
          <w:szCs w:val="28"/>
          <w:highlight w:val="none"/>
          <w:lang w:val="en-US" w:eastAsia="zh-CN" w:bidi="ar-SA"/>
        </w:rPr>
        <w:instrText xml:space="preserve"> HYPERLINK "http://www.creditchina.gov.cn/）；" </w:instrText>
      </w:r>
      <w:r>
        <w:rPr>
          <w:rFonts w:hint="eastAsia" w:ascii="仿宋_GB2312" w:hAnsi="仿宋" w:eastAsia="仿宋_GB2312" w:cs="Times New Roman"/>
          <w:b w:val="0"/>
          <w:bCs w:val="0"/>
          <w:color w:val="auto"/>
          <w:kern w:val="2"/>
          <w:sz w:val="28"/>
          <w:szCs w:val="28"/>
          <w:highlight w:val="none"/>
          <w:lang w:val="en-US" w:eastAsia="zh-CN" w:bidi="ar-SA"/>
        </w:rPr>
        <w:fldChar w:fldCharType="separate"/>
      </w:r>
      <w:r>
        <w:rPr>
          <w:rFonts w:hint="eastAsia" w:ascii="仿宋_GB2312" w:hAnsi="仿宋" w:eastAsia="仿宋_GB2312" w:cs="Times New Roman"/>
          <w:b w:val="0"/>
          <w:bCs w:val="0"/>
          <w:color w:val="auto"/>
          <w:kern w:val="2"/>
          <w:sz w:val="28"/>
          <w:szCs w:val="28"/>
          <w:highlight w:val="none"/>
          <w:lang w:val="en-US" w:eastAsia="zh-CN" w:bidi="ar-SA"/>
        </w:rPr>
        <w:t>http://www.creditchina.gov.cn/）</w:t>
      </w:r>
      <w:r>
        <w:rPr>
          <w:rFonts w:hint="eastAsia" w:ascii="仿宋_GB2312" w:hAnsi="仿宋" w:eastAsia="仿宋_GB2312" w:cs="Times New Roman"/>
          <w:b w:val="0"/>
          <w:bCs w:val="0"/>
          <w:color w:val="auto"/>
          <w:kern w:val="2"/>
          <w:sz w:val="28"/>
          <w:szCs w:val="28"/>
          <w:highlight w:val="none"/>
          <w:lang w:val="en-US" w:eastAsia="zh-CN" w:bidi="ar-SA"/>
        </w:rPr>
        <w:fldChar w:fldCharType="end"/>
      </w:r>
      <w:r>
        <w:rPr>
          <w:rFonts w:hint="eastAsia" w:ascii="仿宋_GB2312" w:hAnsi="仿宋" w:eastAsia="仿宋_GB2312" w:cs="Times New Roman"/>
          <w:b w:val="0"/>
          <w:bCs w:val="0"/>
          <w:color w:val="auto"/>
          <w:kern w:val="2"/>
          <w:sz w:val="28"/>
          <w:szCs w:val="28"/>
          <w:highlight w:val="none"/>
          <w:lang w:val="en-US" w:eastAsia="zh-CN" w:bidi="ar-SA"/>
        </w:rPr>
        <w:t>列入严重失信主体名单（查询结果参考附件）。</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3.报名人未被“中国执行信息公开网”（查询网址：</w:t>
      </w:r>
      <w:r>
        <w:rPr>
          <w:rFonts w:hint="eastAsia" w:ascii="仿宋_GB2312" w:hAnsi="仿宋" w:eastAsia="仿宋_GB2312" w:cs="Times New Roman"/>
          <w:b w:val="0"/>
          <w:bCs w:val="0"/>
          <w:color w:val="auto"/>
          <w:kern w:val="2"/>
          <w:sz w:val="28"/>
          <w:szCs w:val="28"/>
          <w:highlight w:val="none"/>
          <w:lang w:val="en-US" w:eastAsia="zh-CN" w:bidi="ar-SA"/>
        </w:rPr>
        <w:fldChar w:fldCharType="begin"/>
      </w:r>
      <w:r>
        <w:rPr>
          <w:rFonts w:hint="eastAsia" w:ascii="仿宋_GB2312" w:hAnsi="仿宋" w:eastAsia="仿宋_GB2312" w:cs="Times New Roman"/>
          <w:b w:val="0"/>
          <w:bCs w:val="0"/>
          <w:color w:val="auto"/>
          <w:kern w:val="2"/>
          <w:sz w:val="28"/>
          <w:szCs w:val="28"/>
          <w:highlight w:val="none"/>
          <w:lang w:val="en-US" w:eastAsia="zh-CN" w:bidi="ar-SA"/>
        </w:rPr>
        <w:instrText xml:space="preserve"> HYPERLINK "http://www.court.gov.cn/）。" </w:instrText>
      </w:r>
      <w:r>
        <w:rPr>
          <w:rFonts w:hint="eastAsia" w:ascii="仿宋_GB2312" w:hAnsi="仿宋" w:eastAsia="仿宋_GB2312" w:cs="Times New Roman"/>
          <w:b w:val="0"/>
          <w:bCs w:val="0"/>
          <w:color w:val="auto"/>
          <w:kern w:val="2"/>
          <w:sz w:val="28"/>
          <w:szCs w:val="28"/>
          <w:highlight w:val="none"/>
          <w:lang w:val="en-US" w:eastAsia="zh-CN" w:bidi="ar-SA"/>
        </w:rPr>
        <w:fldChar w:fldCharType="separate"/>
      </w:r>
      <w:r>
        <w:rPr>
          <w:rFonts w:hint="eastAsia" w:ascii="仿宋_GB2312" w:hAnsi="仿宋" w:eastAsia="仿宋_GB2312" w:cs="Times New Roman"/>
          <w:b w:val="0"/>
          <w:bCs w:val="0"/>
          <w:color w:val="auto"/>
          <w:kern w:val="2"/>
          <w:sz w:val="28"/>
          <w:szCs w:val="28"/>
          <w:highlight w:val="none"/>
          <w:lang w:val="en-US" w:eastAsia="zh-CN" w:bidi="ar-SA"/>
        </w:rPr>
        <w:t>http://zxgk.court.gov.cn/）</w:t>
      </w:r>
      <w:r>
        <w:rPr>
          <w:rFonts w:hint="eastAsia" w:ascii="仿宋_GB2312" w:hAnsi="仿宋" w:eastAsia="仿宋_GB2312" w:cs="Times New Roman"/>
          <w:b w:val="0"/>
          <w:bCs w:val="0"/>
          <w:color w:val="auto"/>
          <w:kern w:val="2"/>
          <w:sz w:val="28"/>
          <w:szCs w:val="28"/>
          <w:highlight w:val="none"/>
          <w:lang w:val="en-US" w:eastAsia="zh-CN" w:bidi="ar-SA"/>
        </w:rPr>
        <w:fldChar w:fldCharType="end"/>
      </w:r>
      <w:r>
        <w:rPr>
          <w:rFonts w:hint="eastAsia" w:ascii="仿宋_GB2312" w:hAnsi="仿宋" w:eastAsia="仿宋_GB2312" w:cs="Times New Roman"/>
          <w:b w:val="0"/>
          <w:bCs w:val="0"/>
          <w:color w:val="auto"/>
          <w:kern w:val="2"/>
          <w:sz w:val="28"/>
          <w:szCs w:val="28"/>
          <w:highlight w:val="none"/>
          <w:lang w:val="en-US" w:eastAsia="zh-CN" w:bidi="ar-SA"/>
        </w:rPr>
        <w:t>列入失信被执行人（查询结果参考附件）。</w:t>
      </w:r>
    </w:p>
    <w:p>
      <w:pPr>
        <w:pStyle w:val="27"/>
        <w:widowControl/>
        <w:numPr>
          <w:ilvl w:val="2"/>
          <w:numId w:val="0"/>
        </w:numPr>
        <w:spacing w:line="520" w:lineRule="exact"/>
        <w:ind w:firstLine="560" w:firstLineChars="200"/>
        <w:jc w:val="both"/>
        <w:outlineLvl w:val="9"/>
        <w:rPr>
          <w:rFonts w:hint="eastAsia" w:ascii="仿宋_GB2312" w:hAnsi="仿宋" w:eastAsia="仿宋_GB2312" w:cs="Times New Roman"/>
          <w:color w:val="auto"/>
          <w:sz w:val="28"/>
          <w:szCs w:val="28"/>
          <w:highlight w:val="none"/>
          <w:lang w:val="en-US" w:eastAsia="zh-CN"/>
        </w:rPr>
      </w:pPr>
      <w:r>
        <w:rPr>
          <w:rFonts w:hint="eastAsia" w:ascii="仿宋_GB2312" w:hAnsi="仿宋" w:eastAsia="仿宋_GB2312" w:cs="Times New Roman"/>
          <w:color w:val="auto"/>
          <w:sz w:val="28"/>
          <w:szCs w:val="28"/>
          <w:highlight w:val="none"/>
          <w:lang w:val="en-US" w:eastAsia="zh-CN"/>
        </w:rPr>
        <w:t>4.报名人在“国家企业信用信息公示系统”网（查询网址：</w:t>
      </w:r>
      <w:r>
        <w:rPr>
          <w:rFonts w:hint="eastAsia" w:ascii="仿宋_GB2312" w:hAnsi="仿宋" w:eastAsia="仿宋_GB2312" w:cs="Times New Roman"/>
          <w:color w:val="auto"/>
          <w:sz w:val="28"/>
          <w:szCs w:val="28"/>
          <w:highlight w:val="none"/>
          <w:lang w:val="en-US" w:eastAsia="zh-CN"/>
        </w:rPr>
        <w:fldChar w:fldCharType="begin"/>
      </w:r>
      <w:r>
        <w:rPr>
          <w:rFonts w:hint="eastAsia" w:ascii="仿宋_GB2312" w:hAnsi="仿宋" w:eastAsia="仿宋_GB2312" w:cs="Times New Roman"/>
          <w:color w:val="auto"/>
          <w:sz w:val="28"/>
          <w:szCs w:val="28"/>
          <w:highlight w:val="none"/>
          <w:lang w:val="en-US" w:eastAsia="zh-CN"/>
        </w:rPr>
        <w:instrText xml:space="preserve"> HYPERLINK "http://www.gsxt.gov.cn/）；" </w:instrText>
      </w:r>
      <w:r>
        <w:rPr>
          <w:rFonts w:hint="eastAsia" w:ascii="仿宋_GB2312" w:hAnsi="仿宋" w:eastAsia="仿宋_GB2312" w:cs="Times New Roman"/>
          <w:color w:val="auto"/>
          <w:sz w:val="28"/>
          <w:szCs w:val="28"/>
          <w:highlight w:val="none"/>
          <w:lang w:val="en-US" w:eastAsia="zh-CN"/>
        </w:rPr>
        <w:fldChar w:fldCharType="separate"/>
      </w:r>
      <w:r>
        <w:rPr>
          <w:rFonts w:hint="eastAsia" w:ascii="仿宋_GB2312" w:hAnsi="仿宋" w:eastAsia="仿宋_GB2312" w:cs="Times New Roman"/>
          <w:color w:val="auto"/>
          <w:sz w:val="28"/>
          <w:szCs w:val="28"/>
          <w:highlight w:val="none"/>
          <w:lang w:val="en-US" w:eastAsia="zh-CN"/>
        </w:rPr>
        <w:t>http://www.gsxt.gov.cn/）</w:t>
      </w:r>
      <w:r>
        <w:rPr>
          <w:rFonts w:hint="eastAsia" w:ascii="仿宋_GB2312" w:hAnsi="仿宋" w:eastAsia="仿宋_GB2312" w:cs="Times New Roman"/>
          <w:color w:val="auto"/>
          <w:sz w:val="28"/>
          <w:szCs w:val="28"/>
          <w:highlight w:val="none"/>
          <w:lang w:val="en-US" w:eastAsia="zh-CN"/>
        </w:rPr>
        <w:fldChar w:fldCharType="end"/>
      </w:r>
      <w:r>
        <w:rPr>
          <w:rFonts w:hint="eastAsia" w:ascii="仿宋_GB2312" w:hAnsi="仿宋" w:eastAsia="仿宋_GB2312" w:cs="Times New Roman"/>
          <w:color w:val="auto"/>
          <w:sz w:val="28"/>
          <w:szCs w:val="28"/>
          <w:highlight w:val="none"/>
          <w:lang w:val="en-US" w:eastAsia="zh-CN"/>
        </w:rPr>
        <w:t>上不涉及在有效期限内取消或限制投标资格的行政处罚记录，须提供报名人在该网站的“行政处罚信息”查询截图</w:t>
      </w:r>
      <w:r>
        <w:rPr>
          <w:rFonts w:hint="eastAsia" w:ascii="仿宋_GB2312" w:hAnsi="仿宋" w:eastAsia="仿宋_GB2312" w:cs="Times New Roman"/>
          <w:b w:val="0"/>
          <w:bCs w:val="0"/>
          <w:color w:val="auto"/>
          <w:kern w:val="2"/>
          <w:sz w:val="28"/>
          <w:szCs w:val="28"/>
          <w:highlight w:val="none"/>
          <w:lang w:val="en-US" w:eastAsia="zh-CN" w:bidi="ar-SA"/>
        </w:rPr>
        <w:t>（查询结果参考附件）</w:t>
      </w:r>
      <w:r>
        <w:rPr>
          <w:rFonts w:hint="eastAsia" w:ascii="仿宋_GB2312" w:hAnsi="仿宋" w:eastAsia="仿宋_GB2312" w:cs="Times New Roman"/>
          <w:color w:val="auto"/>
          <w:sz w:val="28"/>
          <w:szCs w:val="28"/>
          <w:highlight w:val="none"/>
          <w:lang w:val="en-US" w:eastAsia="zh-CN"/>
        </w:rPr>
        <w:t>，其中：</w:t>
      </w:r>
    </w:p>
    <w:p>
      <w:pPr>
        <w:pStyle w:val="27"/>
        <w:widowControl/>
        <w:numPr>
          <w:ilvl w:val="2"/>
          <w:numId w:val="0"/>
        </w:numPr>
        <w:spacing w:line="520" w:lineRule="exact"/>
        <w:ind w:firstLine="560" w:firstLineChars="200"/>
        <w:jc w:val="both"/>
        <w:outlineLvl w:val="9"/>
        <w:rPr>
          <w:rFonts w:hint="eastAsia" w:ascii="仿宋_GB2312" w:hAnsi="仿宋" w:eastAsia="仿宋_GB2312" w:cs="Times New Roman"/>
          <w:color w:val="auto"/>
          <w:sz w:val="28"/>
          <w:szCs w:val="28"/>
          <w:highlight w:val="none"/>
          <w:lang w:val="en-US" w:eastAsia="zh-CN"/>
        </w:rPr>
      </w:pPr>
      <w:r>
        <w:rPr>
          <w:rFonts w:hint="eastAsia" w:ascii="仿宋_GB2312" w:hAnsi="仿宋" w:eastAsia="仿宋_GB2312" w:cs="Times New Roman"/>
          <w:color w:val="auto"/>
          <w:sz w:val="28"/>
          <w:szCs w:val="28"/>
          <w:highlight w:val="none"/>
          <w:lang w:val="en-US" w:eastAsia="zh-CN"/>
        </w:rPr>
        <w:t>（1）总公司存在上述情况的，其分支机构报名受限制；分支机构存在上述情况的，其总公司和其他分支机构报名不受限制。</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left="0" w:leftChars="0" w:firstLine="560" w:firstLineChars="200"/>
        <w:jc w:val="both"/>
        <w:textAlignment w:val="auto"/>
        <w:outlineLvl w:val="9"/>
        <w:rPr>
          <w:rFonts w:hint="eastAsia" w:ascii="仿宋_GB2312" w:hAnsi="仿宋" w:eastAsia="仿宋_GB2312" w:cs="Times New Roman"/>
          <w:color w:val="auto"/>
          <w:sz w:val="28"/>
          <w:szCs w:val="28"/>
          <w:highlight w:val="none"/>
          <w:lang w:val="en-US" w:eastAsia="zh-CN"/>
        </w:rPr>
      </w:pPr>
      <w:r>
        <w:rPr>
          <w:rFonts w:hint="eastAsia" w:ascii="仿宋_GB2312" w:hAnsi="仿宋" w:eastAsia="仿宋_GB2312" w:cs="Times New Roman"/>
          <w:color w:val="auto"/>
          <w:sz w:val="28"/>
          <w:szCs w:val="28"/>
          <w:highlight w:val="none"/>
          <w:lang w:val="en-US" w:eastAsia="zh-CN"/>
        </w:rPr>
        <w:t>（2）采购人所在地、项目实施所在地和采购实施地其中之一处于政府部门做出上述行政处罚的地域范围的。</w:t>
      </w:r>
    </w:p>
    <w:p>
      <w:pPr>
        <w:pStyle w:val="27"/>
        <w:keepNext w:val="0"/>
        <w:keepLines w:val="0"/>
        <w:pageBreakBefore w:val="0"/>
        <w:widowControl/>
        <w:numPr>
          <w:ilvl w:val="2"/>
          <w:numId w:val="0"/>
        </w:numPr>
        <w:kinsoku/>
        <w:wordWrap/>
        <w:overflowPunct/>
        <w:topLinePunct w:val="0"/>
        <w:autoSpaceDE/>
        <w:autoSpaceDN/>
        <w:bidi w:val="0"/>
        <w:adjustRightInd/>
        <w:snapToGrid/>
        <w:spacing w:line="520" w:lineRule="exact"/>
        <w:ind w:left="0" w:firstLine="562" w:firstLineChars="200"/>
        <w:jc w:val="left"/>
        <w:textAlignment w:val="auto"/>
        <w:outlineLvl w:val="1"/>
        <w:rPr>
          <w:rFonts w:hint="eastAsia" w:ascii="仿宋_GB2312" w:hAnsi="仿宋" w:eastAsia="仿宋_GB2312" w:cs="Times New Roman"/>
          <w:b/>
          <w:bCs/>
          <w:color w:val="auto"/>
          <w:kern w:val="2"/>
          <w:sz w:val="28"/>
          <w:szCs w:val="28"/>
          <w:highlight w:val="none"/>
          <w:lang w:val="en-US" w:eastAsia="zh-CN" w:bidi="ar-SA"/>
        </w:rPr>
      </w:pPr>
      <w:r>
        <w:rPr>
          <w:rFonts w:hint="eastAsia" w:ascii="仿宋_GB2312" w:hAnsi="仿宋" w:eastAsia="仿宋_GB2312" w:cs="Times New Roman"/>
          <w:b/>
          <w:bCs/>
          <w:color w:val="auto"/>
          <w:kern w:val="2"/>
          <w:sz w:val="28"/>
          <w:szCs w:val="28"/>
          <w:highlight w:val="none"/>
          <w:lang w:val="en-US" w:eastAsia="zh-CN" w:bidi="ar-SA"/>
        </w:rPr>
        <w:t>（五）其他要求：</w:t>
      </w:r>
    </w:p>
    <w:p>
      <w:pPr>
        <w:pStyle w:val="27"/>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1.</w:t>
      </w:r>
      <w:r>
        <w:rPr>
          <w:rFonts w:hint="eastAsia" w:ascii="仿宋_GB2312" w:hAnsi="仿宋" w:eastAsia="仿宋_GB2312" w:cs="Times New Roman"/>
          <w:b w:val="0"/>
          <w:bCs w:val="0"/>
          <w:i w:val="0"/>
          <w:iCs w:val="0"/>
          <w:caps w:val="0"/>
          <w:color w:val="auto"/>
          <w:spacing w:val="0"/>
          <w:sz w:val="28"/>
          <w:szCs w:val="28"/>
          <w:highlight w:val="none"/>
        </w:rPr>
        <w:t>采购人对报名人提供的公司资质或业绩保留现场核实考察的权利，报名人须无条件配合。</w:t>
      </w:r>
    </w:p>
    <w:p>
      <w:pPr>
        <w:pStyle w:val="27"/>
        <w:keepNext w:val="0"/>
        <w:keepLines w:val="0"/>
        <w:pageBreakBefore w:val="0"/>
        <w:widowControl/>
        <w:numPr>
          <w:ilvl w:val="2"/>
          <w:numId w:val="0"/>
        </w:numPr>
        <w:kinsoku/>
        <w:wordWrap/>
        <w:overflowPunct/>
        <w:topLinePunct w:val="0"/>
        <w:autoSpaceDE/>
        <w:autoSpaceDN/>
        <w:bidi w:val="0"/>
        <w:adjustRightInd/>
        <w:snapToGrid/>
        <w:spacing w:line="520" w:lineRule="exact"/>
        <w:ind w:left="0" w:firstLine="560" w:firstLineChars="200"/>
        <w:jc w:val="left"/>
        <w:textAlignment w:val="auto"/>
        <w:outlineLvl w:val="1"/>
        <w:rPr>
          <w:rFonts w:hint="eastAsia" w:ascii="仿宋_GB2312" w:hAnsi="仿宋" w:eastAsia="仿宋_GB2312" w:cs="Times New Roman"/>
          <w:color w:val="auto"/>
          <w:sz w:val="28"/>
          <w:szCs w:val="28"/>
          <w:highlight w:val="none"/>
          <w:lang w:val="en-US" w:eastAsia="zh-CN"/>
        </w:rPr>
      </w:pPr>
      <w:r>
        <w:rPr>
          <w:rFonts w:hint="eastAsia" w:ascii="仿宋_GB2312" w:hAnsi="仿宋" w:eastAsia="仿宋_GB2312" w:cs="Times New Roman"/>
          <w:color w:val="auto"/>
          <w:sz w:val="28"/>
          <w:szCs w:val="28"/>
          <w:highlight w:val="none"/>
          <w:lang w:val="en-US" w:eastAsia="zh-CN"/>
        </w:rPr>
        <w:t>2.如报名人存在</w:t>
      </w:r>
      <w:r>
        <w:rPr>
          <w:rFonts w:hint="eastAsia" w:ascii="黑体" w:hAnsi="黑体" w:eastAsia="黑体" w:cs="黑体"/>
          <w:b/>
          <w:bCs/>
          <w:color w:val="auto"/>
          <w:sz w:val="28"/>
          <w:szCs w:val="28"/>
          <w:highlight w:val="none"/>
        </w:rPr>
        <w:t>“与其他参与</w:t>
      </w:r>
      <w:r>
        <w:rPr>
          <w:rFonts w:hint="eastAsia" w:ascii="黑体" w:hAnsi="黑体" w:eastAsia="黑体" w:cs="黑体"/>
          <w:b/>
          <w:bCs/>
          <w:color w:val="auto"/>
          <w:sz w:val="28"/>
          <w:szCs w:val="28"/>
          <w:highlight w:val="none"/>
          <w:lang w:val="en-US" w:eastAsia="zh-CN"/>
        </w:rPr>
        <w:t>报名人</w:t>
      </w:r>
      <w:r>
        <w:rPr>
          <w:rFonts w:hint="eastAsia" w:ascii="黑体" w:hAnsi="黑体" w:eastAsia="黑体" w:cs="黑体"/>
          <w:b/>
          <w:bCs/>
          <w:color w:val="auto"/>
          <w:sz w:val="28"/>
          <w:szCs w:val="28"/>
          <w:highlight w:val="none"/>
        </w:rPr>
        <w:t>存在四层及以内关联，且各层关联都在以下情形之中:相同的法定代表人、董事、监事或高级管理员;股权占比20%以上或管理关系;相同的联系人、固定电话、移动电话、地址或电子邮件”</w:t>
      </w:r>
      <w:r>
        <w:rPr>
          <w:rFonts w:hint="eastAsia" w:ascii="仿宋_GB2312" w:hAnsi="仿宋" w:eastAsia="仿宋_GB2312" w:cs="Times New Roman"/>
          <w:color w:val="auto"/>
          <w:sz w:val="28"/>
          <w:szCs w:val="28"/>
          <w:highlight w:val="none"/>
          <w:lang w:val="en-US" w:eastAsia="zh-CN"/>
        </w:rPr>
        <w:t>等</w:t>
      </w:r>
      <w:r>
        <w:rPr>
          <w:rFonts w:hint="eastAsia" w:ascii="仿宋_GB2312" w:hAnsi="仿宋" w:eastAsia="仿宋_GB2312" w:cs="Times New Roman"/>
          <w:b w:val="0"/>
          <w:bCs w:val="0"/>
          <w:i w:val="0"/>
          <w:color w:val="auto"/>
          <w:kern w:val="2"/>
          <w:sz w:val="28"/>
          <w:szCs w:val="28"/>
          <w:highlight w:val="none"/>
          <w:lang w:val="en-US" w:eastAsia="zh-CN" w:bidi="ar-SA"/>
        </w:rPr>
        <w:t>现</w:t>
      </w:r>
      <w:r>
        <w:rPr>
          <w:rFonts w:hint="eastAsia" w:ascii="仿宋_GB2312" w:hAnsi="仿宋" w:eastAsia="仿宋_GB2312" w:cs="Times New Roman"/>
          <w:color w:val="auto"/>
          <w:sz w:val="28"/>
          <w:szCs w:val="28"/>
          <w:highlight w:val="none"/>
          <w:lang w:val="en-US" w:eastAsia="zh-CN"/>
        </w:rPr>
        <w:t>象的，采购人有权选定其中1家或拒绝存在以上现象的报名人参加后续采购活动。如查证报名人有上述供应商不良行为的（详见附件所列供应商不良行为事项清单），采购人将根据集团及公司制度进行处罚，列入供应商负面清单，禁止参加太平集团及下属机构后续采购活动。</w:t>
      </w:r>
    </w:p>
    <w:p>
      <w:pPr>
        <w:pStyle w:val="27"/>
        <w:keepNext w:val="0"/>
        <w:keepLines w:val="0"/>
        <w:pageBreakBefore w:val="0"/>
        <w:widowControl/>
        <w:numPr>
          <w:ilvl w:val="2"/>
          <w:numId w:val="0"/>
        </w:numPr>
        <w:kinsoku/>
        <w:wordWrap/>
        <w:overflowPunct/>
        <w:topLinePunct w:val="0"/>
        <w:autoSpaceDE/>
        <w:autoSpaceDN/>
        <w:bidi w:val="0"/>
        <w:adjustRightInd/>
        <w:snapToGrid/>
        <w:spacing w:line="520" w:lineRule="exact"/>
        <w:ind w:firstLine="562" w:firstLineChars="200"/>
        <w:textAlignment w:val="auto"/>
        <w:outlineLvl w:val="0"/>
        <w:rPr>
          <w:rFonts w:hint="default"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bCs/>
          <w:color w:val="auto"/>
          <w:kern w:val="2"/>
          <w:sz w:val="28"/>
          <w:szCs w:val="28"/>
          <w:highlight w:val="none"/>
          <w:lang w:val="en-US" w:eastAsia="zh-CN" w:bidi="ar-SA"/>
        </w:rPr>
        <w:t>三、授权委托：</w:t>
      </w:r>
      <w:r>
        <w:rPr>
          <w:rFonts w:hint="eastAsia" w:ascii="仿宋_GB2312" w:hAnsi="仿宋" w:eastAsia="仿宋_GB2312" w:cs="Times New Roman"/>
          <w:b w:val="0"/>
          <w:bCs w:val="0"/>
          <w:color w:val="auto"/>
          <w:kern w:val="2"/>
          <w:sz w:val="28"/>
          <w:szCs w:val="28"/>
          <w:highlight w:val="none"/>
          <w:lang w:val="en-US" w:eastAsia="zh-CN" w:bidi="ar-SA"/>
        </w:rPr>
        <w:t>报名人需提供法定代表人身份证明书（模板见附件2）、法定代表人身份证复印件、法定代表人授权委托书（模板见附件3）、被授权人身份证复印件。</w:t>
      </w:r>
    </w:p>
    <w:p>
      <w:pPr>
        <w:pStyle w:val="27"/>
        <w:keepNext w:val="0"/>
        <w:keepLines w:val="0"/>
        <w:pageBreakBefore w:val="0"/>
        <w:numPr>
          <w:ilvl w:val="2"/>
          <w:numId w:val="0"/>
        </w:numPr>
        <w:kinsoku/>
        <w:wordWrap/>
        <w:overflowPunct/>
        <w:topLinePunct w:val="0"/>
        <w:autoSpaceDE/>
        <w:autoSpaceDN/>
        <w:bidi w:val="0"/>
        <w:adjustRightInd/>
        <w:snapToGrid/>
        <w:spacing w:line="520" w:lineRule="exact"/>
        <w:ind w:firstLine="562" w:firstLineChars="200"/>
        <w:jc w:val="left"/>
        <w:textAlignment w:val="auto"/>
        <w:outlineLvl w:val="0"/>
        <w:rPr>
          <w:rFonts w:hint="default" w:ascii="仿宋_GB2312" w:hAnsi="仿宋" w:eastAsia="仿宋_GB2312" w:cs="Times New Roman"/>
          <w:b/>
          <w:bCs/>
          <w:color w:val="auto"/>
          <w:kern w:val="2"/>
          <w:sz w:val="28"/>
          <w:szCs w:val="28"/>
          <w:highlight w:val="none"/>
          <w:lang w:val="en-US" w:eastAsia="zh-CN" w:bidi="ar-SA"/>
        </w:rPr>
      </w:pPr>
      <w:r>
        <w:rPr>
          <w:rFonts w:hint="eastAsia" w:ascii="仿宋_GB2312" w:hAnsi="仿宋" w:eastAsia="仿宋_GB2312" w:cs="Times New Roman"/>
          <w:b/>
          <w:bCs/>
          <w:color w:val="auto"/>
          <w:kern w:val="2"/>
          <w:sz w:val="28"/>
          <w:szCs w:val="28"/>
          <w:highlight w:val="none"/>
          <w:lang w:val="en-US" w:eastAsia="zh-CN" w:bidi="ar-SA"/>
        </w:rPr>
        <w:t>四、供应商报名方式和征集时间</w:t>
      </w:r>
    </w:p>
    <w:p>
      <w:pPr>
        <w:pStyle w:val="27"/>
        <w:numPr>
          <w:ilvl w:val="2"/>
          <w:numId w:val="0"/>
        </w:numPr>
        <w:spacing w:line="520" w:lineRule="exact"/>
        <w:ind w:firstLine="560" w:firstLineChars="200"/>
        <w:outlineLvl w:val="2"/>
        <w:rPr>
          <w:rFonts w:hint="eastAsia" w:ascii="仿宋_GB2312" w:hAnsi="仿宋" w:eastAsia="仿宋_GB2312" w:cs="Times New Roman"/>
          <w:color w:val="auto"/>
          <w:kern w:val="2"/>
          <w:sz w:val="28"/>
          <w:szCs w:val="28"/>
          <w:highlight w:val="none"/>
          <w:lang w:val="en-US" w:eastAsia="zh-CN" w:bidi="ar-SA"/>
        </w:rPr>
      </w:pPr>
      <w:r>
        <w:rPr>
          <w:rFonts w:hint="eastAsia" w:ascii="仿宋_GB2312" w:hAnsi="仿宋" w:eastAsia="仿宋_GB2312" w:cs="Times New Roman"/>
          <w:color w:val="auto"/>
          <w:kern w:val="2"/>
          <w:sz w:val="28"/>
          <w:szCs w:val="28"/>
          <w:highlight w:val="none"/>
          <w:lang w:val="en-US" w:eastAsia="zh-CN" w:bidi="ar-SA"/>
        </w:rPr>
        <w:t>（一）报名方式：本次供应商公开征集采用线上报名方式。参与供应商可点击本公告下方的“我要报名”按钮，按系统提示提交相关报名材料。请报名供应商务必确认材料无误后再进行提交，报名材料在报名截止时间后无法撤回和修改。</w:t>
      </w:r>
    </w:p>
    <w:p>
      <w:pPr>
        <w:pStyle w:val="27"/>
        <w:numPr>
          <w:ilvl w:val="2"/>
          <w:numId w:val="0"/>
        </w:numPr>
        <w:spacing w:line="520" w:lineRule="exact"/>
        <w:ind w:firstLine="560" w:firstLineChars="200"/>
        <w:outlineLvl w:val="2"/>
        <w:rPr>
          <w:rFonts w:hint="eastAsia" w:ascii="仿宋_GB2312" w:hAnsi="仿宋" w:eastAsia="仿宋_GB2312" w:cs="Times New Roman"/>
          <w:color w:val="auto"/>
          <w:kern w:val="2"/>
          <w:sz w:val="28"/>
          <w:szCs w:val="28"/>
          <w:highlight w:val="none"/>
          <w:lang w:val="en-US" w:eastAsia="zh-CN" w:bidi="ar-SA"/>
        </w:rPr>
      </w:pPr>
      <w:r>
        <w:rPr>
          <w:rFonts w:hint="eastAsia" w:ascii="仿宋_GB2312" w:hAnsi="仿宋" w:eastAsia="仿宋_GB2312" w:cs="Times New Roman"/>
          <w:color w:val="auto"/>
          <w:kern w:val="2"/>
          <w:sz w:val="28"/>
          <w:szCs w:val="28"/>
          <w:highlight w:val="none"/>
          <w:lang w:val="en-US" w:eastAsia="zh-CN" w:bidi="ar-SA"/>
        </w:rPr>
        <w:t>供应商也可以登录我集团采购门户（eps.cntaiping.com），在我要参与页面查看此供应商公开征集公告详细信息。</w:t>
      </w:r>
    </w:p>
    <w:p>
      <w:pPr>
        <w:pStyle w:val="27"/>
        <w:numPr>
          <w:ilvl w:val="2"/>
          <w:numId w:val="0"/>
        </w:numPr>
        <w:spacing w:line="520" w:lineRule="exact"/>
        <w:ind w:firstLine="560" w:firstLineChars="200"/>
        <w:outlineLvl w:val="2"/>
        <w:rPr>
          <w:rFonts w:hint="eastAsia" w:ascii="仿宋_GB2312" w:hAnsi="仿宋" w:eastAsia="仿宋_GB2312" w:cs="Times New Roman"/>
          <w:color w:val="auto"/>
          <w:kern w:val="2"/>
          <w:sz w:val="28"/>
          <w:szCs w:val="28"/>
          <w:highlight w:val="none"/>
          <w:lang w:val="en-US" w:eastAsia="zh-CN" w:bidi="ar-SA"/>
        </w:rPr>
      </w:pPr>
      <w:r>
        <w:rPr>
          <w:rFonts w:hint="eastAsia" w:ascii="仿宋_GB2312" w:hAnsi="仿宋" w:eastAsia="仿宋_GB2312" w:cs="Times New Roman"/>
          <w:color w:val="auto"/>
          <w:kern w:val="2"/>
          <w:sz w:val="28"/>
          <w:szCs w:val="28"/>
          <w:highlight w:val="none"/>
          <w:lang w:val="en-US" w:eastAsia="zh-CN" w:bidi="ar-SA"/>
        </w:rPr>
        <w:t>（二）征集时间：2025年12月17日15:00至2025年12月22日15:00</w:t>
      </w:r>
      <w:r>
        <w:rPr>
          <w:rFonts w:hint="eastAsia" w:ascii="仿宋_GB2312" w:hAnsi="仿宋" w:eastAsia="仿宋_GB2312" w:cs="Times New Roman"/>
          <w:b w:val="0"/>
          <w:bCs w:val="0"/>
          <w:color w:val="auto"/>
          <w:kern w:val="2"/>
          <w:sz w:val="28"/>
          <w:szCs w:val="28"/>
          <w:highlight w:val="none"/>
          <w:lang w:val="en-US" w:eastAsia="zh-CN" w:bidi="ar-SA"/>
        </w:rPr>
        <w:t>。</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2" w:firstLineChars="200"/>
        <w:textAlignment w:val="auto"/>
        <w:outlineLvl w:val="0"/>
        <w:rPr>
          <w:rFonts w:hint="eastAsia" w:ascii="仿宋_GB2312" w:hAnsi="仿宋" w:eastAsia="仿宋_GB2312" w:cs="Times New Roman"/>
          <w:b/>
          <w:bCs/>
          <w:color w:val="auto"/>
          <w:kern w:val="2"/>
          <w:sz w:val="28"/>
          <w:szCs w:val="28"/>
          <w:highlight w:val="none"/>
          <w:lang w:val="en-US" w:eastAsia="zh-CN" w:bidi="ar-SA"/>
        </w:rPr>
      </w:pPr>
      <w:r>
        <w:rPr>
          <w:rFonts w:hint="eastAsia" w:ascii="仿宋_GB2312" w:hAnsi="仿宋" w:eastAsia="仿宋_GB2312" w:cs="Times New Roman"/>
          <w:b/>
          <w:bCs/>
          <w:color w:val="auto"/>
          <w:kern w:val="2"/>
          <w:sz w:val="28"/>
          <w:szCs w:val="28"/>
          <w:highlight w:val="none"/>
          <w:lang w:val="en-US" w:eastAsia="zh-CN" w:bidi="ar-SA"/>
        </w:rPr>
        <w:t>五、报名资料要求：</w:t>
      </w:r>
    </w:p>
    <w:p>
      <w:pPr>
        <w:pStyle w:val="27"/>
        <w:keepNext w:val="0"/>
        <w:keepLines w:val="0"/>
        <w:pageBreakBefore w:val="0"/>
        <w:widowControl/>
        <w:numPr>
          <w:ilvl w:val="2"/>
          <w:numId w:val="0"/>
        </w:numPr>
        <w:kinsoku/>
        <w:wordWrap/>
        <w:overflowPunct/>
        <w:topLinePunct w:val="0"/>
        <w:autoSpaceDE/>
        <w:autoSpaceDN/>
        <w:bidi w:val="0"/>
        <w:adjustRightInd/>
        <w:snapToGrid/>
        <w:spacing w:line="560" w:lineRule="exact"/>
        <w:ind w:firstLine="560" w:firstLineChars="200"/>
        <w:textAlignment w:val="auto"/>
        <w:rPr>
          <w:rFonts w:hint="default" w:ascii="仿宋_GB2312" w:hAnsi="仿宋" w:eastAsia="仿宋_GB2312" w:cs="Times New Roman"/>
          <w:b/>
          <w:bCs/>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报名人须提交以下资料：</w:t>
      </w:r>
    </w:p>
    <w:p>
      <w:pPr>
        <w:pStyle w:val="27"/>
        <w:keepNext w:val="0"/>
        <w:keepLines w:val="0"/>
        <w:pageBreakBefore w:val="0"/>
        <w:widowControl/>
        <w:numPr>
          <w:ilvl w:val="2"/>
          <w:numId w:val="0"/>
        </w:numPr>
        <w:kinsoku/>
        <w:wordWrap/>
        <w:overflowPunct/>
        <w:topLinePunct w:val="0"/>
        <w:autoSpaceDE/>
        <w:autoSpaceDN/>
        <w:bidi w:val="0"/>
        <w:adjustRightInd/>
        <w:snapToGrid/>
        <w:spacing w:line="560" w:lineRule="exact"/>
        <w:ind w:firstLine="560" w:firstLineChars="200"/>
        <w:textAlignment w:val="auto"/>
        <w:outlineLvl w:val="1"/>
        <w:rPr>
          <w:rFonts w:hint="default"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（一）</w:t>
      </w:r>
      <w:r>
        <w:rPr>
          <w:rFonts w:hint="default" w:ascii="仿宋_GB2312" w:hAnsi="仿宋" w:eastAsia="仿宋_GB2312" w:cs="Times New Roman"/>
          <w:b w:val="0"/>
          <w:bCs w:val="0"/>
          <w:color w:val="auto"/>
          <w:kern w:val="2"/>
          <w:sz w:val="28"/>
          <w:szCs w:val="28"/>
          <w:highlight w:val="none"/>
          <w:lang w:val="en-US" w:eastAsia="zh-CN" w:bidi="ar-SA"/>
        </w:rPr>
        <w:t>企业营业执照复印件并加盖报名人公章。</w:t>
      </w:r>
    </w:p>
    <w:p>
      <w:pPr>
        <w:pStyle w:val="27"/>
        <w:keepNext w:val="0"/>
        <w:keepLines w:val="0"/>
        <w:pageBreakBefore w:val="0"/>
        <w:widowControl/>
        <w:numPr>
          <w:ilvl w:val="2"/>
          <w:numId w:val="0"/>
        </w:numPr>
        <w:kinsoku/>
        <w:wordWrap/>
        <w:overflowPunct/>
        <w:topLinePunct w:val="0"/>
        <w:autoSpaceDE/>
        <w:autoSpaceDN/>
        <w:bidi w:val="0"/>
        <w:adjustRightInd/>
        <w:snapToGrid/>
        <w:spacing w:line="560" w:lineRule="exact"/>
        <w:ind w:firstLine="560" w:firstLineChars="200"/>
        <w:textAlignment w:val="auto"/>
        <w:outlineLvl w:val="1"/>
        <w:rPr>
          <w:rFonts w:hint="default"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（二）</w:t>
      </w:r>
      <w:r>
        <w:rPr>
          <w:rFonts w:hint="default" w:ascii="仿宋_GB2312" w:hAnsi="仿宋" w:eastAsia="仿宋_GB2312" w:cs="Times New Roman"/>
          <w:b w:val="0"/>
          <w:bCs w:val="0"/>
          <w:color w:val="auto"/>
          <w:kern w:val="2"/>
          <w:sz w:val="28"/>
          <w:szCs w:val="28"/>
          <w:highlight w:val="none"/>
          <w:lang w:val="en-US" w:eastAsia="zh-CN" w:bidi="ar-SA"/>
        </w:rPr>
        <w:t>法定代表人证明书</w:t>
      </w:r>
      <w:r>
        <w:rPr>
          <w:rFonts w:hint="eastAsia" w:ascii="仿宋_GB2312" w:hAnsi="仿宋" w:eastAsia="仿宋_GB2312" w:cs="Times New Roman"/>
          <w:b w:val="0"/>
          <w:bCs w:val="0"/>
          <w:color w:val="auto"/>
          <w:kern w:val="2"/>
          <w:sz w:val="28"/>
          <w:szCs w:val="28"/>
          <w:highlight w:val="none"/>
          <w:lang w:val="en-US" w:eastAsia="zh-CN" w:bidi="ar-SA"/>
        </w:rPr>
        <w:t>（提供原件，格式详见附件1）</w:t>
      </w:r>
      <w:r>
        <w:rPr>
          <w:rFonts w:hint="default" w:ascii="仿宋_GB2312" w:hAnsi="仿宋" w:eastAsia="仿宋_GB2312" w:cs="Times New Roman"/>
          <w:b w:val="0"/>
          <w:bCs w:val="0"/>
          <w:color w:val="auto"/>
          <w:kern w:val="2"/>
          <w:sz w:val="28"/>
          <w:szCs w:val="28"/>
          <w:highlight w:val="none"/>
          <w:lang w:val="en-US" w:eastAsia="zh-CN" w:bidi="ar-SA"/>
        </w:rPr>
        <w:t>、法定代表人授权委托书（</w:t>
      </w:r>
      <w:r>
        <w:rPr>
          <w:rFonts w:hint="eastAsia" w:ascii="仿宋_GB2312" w:hAnsi="仿宋" w:eastAsia="仿宋_GB2312" w:cs="Times New Roman"/>
          <w:b w:val="0"/>
          <w:bCs w:val="0"/>
          <w:color w:val="auto"/>
          <w:kern w:val="2"/>
          <w:sz w:val="28"/>
          <w:szCs w:val="28"/>
          <w:highlight w:val="none"/>
          <w:lang w:val="en-US" w:eastAsia="zh-CN" w:bidi="ar-SA"/>
        </w:rPr>
        <w:t>提供</w:t>
      </w:r>
      <w:r>
        <w:rPr>
          <w:rFonts w:hint="default" w:ascii="仿宋_GB2312" w:hAnsi="仿宋" w:eastAsia="仿宋_GB2312" w:cs="Times New Roman"/>
          <w:b w:val="0"/>
          <w:bCs w:val="0"/>
          <w:color w:val="auto"/>
          <w:kern w:val="2"/>
          <w:sz w:val="28"/>
          <w:szCs w:val="28"/>
          <w:highlight w:val="none"/>
          <w:lang w:val="en-US" w:eastAsia="zh-CN" w:bidi="ar-SA"/>
        </w:rPr>
        <w:t>原件</w:t>
      </w:r>
      <w:r>
        <w:rPr>
          <w:rFonts w:hint="eastAsia" w:ascii="仿宋_GB2312" w:hAnsi="仿宋" w:eastAsia="仿宋_GB2312" w:cs="Times New Roman"/>
          <w:b w:val="0"/>
          <w:bCs w:val="0"/>
          <w:color w:val="auto"/>
          <w:kern w:val="2"/>
          <w:sz w:val="28"/>
          <w:szCs w:val="28"/>
          <w:highlight w:val="none"/>
          <w:lang w:val="en-US" w:eastAsia="zh-CN" w:bidi="ar-SA"/>
        </w:rPr>
        <w:t>，格式详见附件2</w:t>
      </w:r>
      <w:r>
        <w:rPr>
          <w:rFonts w:hint="default" w:ascii="仿宋_GB2312" w:hAnsi="仿宋" w:eastAsia="仿宋_GB2312" w:cs="Times New Roman"/>
          <w:b w:val="0"/>
          <w:bCs w:val="0"/>
          <w:color w:val="auto"/>
          <w:kern w:val="2"/>
          <w:sz w:val="28"/>
          <w:szCs w:val="28"/>
          <w:highlight w:val="none"/>
          <w:lang w:val="en-US" w:eastAsia="zh-CN" w:bidi="ar-SA"/>
        </w:rPr>
        <w:t>）。</w:t>
      </w:r>
    </w:p>
    <w:p>
      <w:pPr>
        <w:pStyle w:val="27"/>
        <w:keepNext w:val="0"/>
        <w:keepLines w:val="0"/>
        <w:pageBreakBefore w:val="0"/>
        <w:widowControl/>
        <w:numPr>
          <w:ilvl w:val="2"/>
          <w:numId w:val="0"/>
        </w:numPr>
        <w:kinsoku/>
        <w:wordWrap/>
        <w:overflowPunct/>
        <w:topLinePunct w:val="0"/>
        <w:autoSpaceDE/>
        <w:autoSpaceDN/>
        <w:bidi w:val="0"/>
        <w:adjustRightInd/>
        <w:snapToGrid/>
        <w:spacing w:line="560" w:lineRule="exact"/>
        <w:ind w:firstLine="560" w:firstLineChars="200"/>
        <w:textAlignment w:val="auto"/>
        <w:outlineLvl w:val="1"/>
        <w:rPr>
          <w:rFonts w:hint="default"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（三）</w:t>
      </w:r>
      <w:r>
        <w:rPr>
          <w:rFonts w:hint="default" w:ascii="仿宋_GB2312" w:hAnsi="仿宋" w:eastAsia="仿宋_GB2312" w:cs="Times New Roman"/>
          <w:b w:val="0"/>
          <w:bCs w:val="0"/>
          <w:color w:val="auto"/>
          <w:kern w:val="2"/>
          <w:sz w:val="28"/>
          <w:szCs w:val="28"/>
          <w:highlight w:val="none"/>
          <w:lang w:val="en-US" w:eastAsia="zh-CN" w:bidi="ar-SA"/>
        </w:rPr>
        <w:t>被授权人身份证复印件并加盖报名人公章、法定代表人身份证复印件并加盖报名人公章。</w:t>
      </w: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jc w:val="both"/>
        <w:textAlignment w:val="auto"/>
        <w:outlineLvl w:val="1"/>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（四）报名人在本项目报名截止时间前应</w:t>
      </w:r>
      <w:r>
        <w:rPr>
          <w:rFonts w:hint="eastAsia" w:ascii="仿宋_GB2312" w:hAnsi="仿宋" w:eastAsia="仿宋_GB2312"/>
          <w:color w:val="auto"/>
          <w:sz w:val="28"/>
          <w:szCs w:val="28"/>
          <w:highlight w:val="none"/>
          <w:lang w:val="en-US" w:eastAsia="zh-CN"/>
        </w:rPr>
        <w:t>提供</w:t>
      </w:r>
      <w:r>
        <w:rPr>
          <w:rFonts w:hint="eastAsia" w:ascii="仿宋_GB2312" w:hAnsi="仿宋" w:eastAsia="仿宋_GB2312"/>
          <w:color w:val="auto"/>
          <w:sz w:val="28"/>
          <w:szCs w:val="28"/>
          <w:highlight w:val="none"/>
        </w:rPr>
        <w:t>有政府部门颁发的有效期内承装（修、试）电力设施许可证四级或四级以上资质</w:t>
      </w:r>
      <w:r>
        <w:rPr>
          <w:rFonts w:hint="eastAsia" w:ascii="仿宋_GB2312" w:hAnsi="仿宋" w:eastAsia="仿宋_GB2312"/>
          <w:color w:val="auto"/>
          <w:sz w:val="28"/>
          <w:szCs w:val="28"/>
          <w:highlight w:val="none"/>
          <w:lang w:val="en-US" w:eastAsia="zh-CN"/>
        </w:rPr>
        <w:t>、</w:t>
      </w:r>
      <w:r>
        <w:rPr>
          <w:rFonts w:hint="eastAsia" w:ascii="仿宋_GB2312" w:hAnsi="仿宋" w:eastAsia="仿宋_GB2312"/>
          <w:color w:val="auto"/>
          <w:sz w:val="28"/>
          <w:szCs w:val="28"/>
          <w:highlight w:val="none"/>
        </w:rPr>
        <w:t>政府部门颁发的有效期内安全生产许可证</w:t>
      </w:r>
      <w:r>
        <w:rPr>
          <w:rFonts w:hint="default" w:ascii="仿宋_GB2312" w:hAnsi="仿宋" w:eastAsia="仿宋_GB2312" w:cs="Times New Roman"/>
          <w:b w:val="0"/>
          <w:bCs w:val="0"/>
          <w:color w:val="auto"/>
          <w:kern w:val="2"/>
          <w:sz w:val="28"/>
          <w:szCs w:val="28"/>
          <w:highlight w:val="none"/>
          <w:lang w:val="en-US" w:eastAsia="zh-CN" w:bidi="ar-SA"/>
        </w:rPr>
        <w:t>并加盖报名人公章</w:t>
      </w:r>
      <w:r>
        <w:rPr>
          <w:rFonts w:hint="eastAsia" w:ascii="仿宋_GB2312" w:hAnsi="仿宋" w:eastAsia="仿宋_GB2312"/>
          <w:color w:val="auto"/>
          <w:sz w:val="28"/>
          <w:szCs w:val="28"/>
          <w:highlight w:val="none"/>
        </w:rPr>
        <w:t>。</w:t>
      </w:r>
    </w:p>
    <w:p>
      <w:pPr>
        <w:pStyle w:val="27"/>
        <w:keepNext w:val="0"/>
        <w:keepLines w:val="0"/>
        <w:pageBreakBefore w:val="0"/>
        <w:widowControl/>
        <w:numPr>
          <w:ilvl w:val="2"/>
          <w:numId w:val="0"/>
        </w:numPr>
        <w:kinsoku/>
        <w:wordWrap/>
        <w:overflowPunct/>
        <w:topLinePunct w:val="0"/>
        <w:autoSpaceDE/>
        <w:autoSpaceDN/>
        <w:bidi w:val="0"/>
        <w:adjustRightInd/>
        <w:snapToGrid/>
        <w:spacing w:line="560" w:lineRule="exact"/>
        <w:ind w:firstLine="560" w:firstLineChars="200"/>
        <w:textAlignment w:val="auto"/>
        <w:outlineLvl w:val="1"/>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五)报名人提供上述同类业绩合同关键页复印件，合同关键页包括但不限于：合同双方名称、服务范围及内容、双方盖章页、合同金额、合同服务期限或合同签订日期等重要信息；投标人未提供业绩合同关键页复印件或提供不全，或提供的复印件难以辨认关键信息的，属无效业绩证明；以上材料须加盖报名人公章。不符合上述条件的业绩将不予认可。</w:t>
      </w:r>
    </w:p>
    <w:p>
      <w:pPr>
        <w:pStyle w:val="27"/>
        <w:keepNext w:val="0"/>
        <w:keepLines w:val="0"/>
        <w:pageBreakBefore w:val="0"/>
        <w:widowControl/>
        <w:numPr>
          <w:ilvl w:val="2"/>
          <w:numId w:val="0"/>
        </w:numPr>
        <w:kinsoku/>
        <w:wordWrap/>
        <w:overflowPunct/>
        <w:topLinePunct w:val="0"/>
        <w:autoSpaceDE/>
        <w:autoSpaceDN/>
        <w:bidi w:val="0"/>
        <w:adjustRightInd/>
        <w:snapToGrid/>
        <w:spacing w:line="560" w:lineRule="exact"/>
        <w:ind w:firstLine="560" w:firstLineChars="200"/>
        <w:textAlignment w:val="auto"/>
        <w:outlineLvl w:val="1"/>
        <w:rPr>
          <w:rFonts w:hint="default"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（六）以下</w:t>
      </w:r>
      <w:r>
        <w:rPr>
          <w:rFonts w:hint="default" w:ascii="仿宋_GB2312" w:hAnsi="仿宋" w:eastAsia="仿宋_GB2312" w:cs="Times New Roman"/>
          <w:b w:val="0"/>
          <w:bCs w:val="0"/>
          <w:color w:val="auto"/>
          <w:kern w:val="2"/>
          <w:sz w:val="28"/>
          <w:szCs w:val="28"/>
          <w:highlight w:val="none"/>
          <w:lang w:val="en-US" w:eastAsia="zh-CN" w:bidi="ar-SA"/>
        </w:rPr>
        <w:t>信</w:t>
      </w:r>
      <w:r>
        <w:rPr>
          <w:rFonts w:hint="eastAsia" w:ascii="仿宋_GB2312" w:hAnsi="仿宋" w:eastAsia="仿宋_GB2312" w:cs="Times New Roman"/>
          <w:b w:val="0"/>
          <w:bCs w:val="0"/>
          <w:color w:val="auto"/>
          <w:kern w:val="2"/>
          <w:sz w:val="28"/>
          <w:szCs w:val="28"/>
          <w:highlight w:val="none"/>
          <w:lang w:val="en-US" w:eastAsia="zh-CN" w:bidi="ar-SA"/>
        </w:rPr>
        <w:t>用</w:t>
      </w:r>
      <w:r>
        <w:rPr>
          <w:rFonts w:hint="default" w:ascii="仿宋_GB2312" w:hAnsi="仿宋" w:eastAsia="仿宋_GB2312" w:cs="Times New Roman"/>
          <w:b w:val="0"/>
          <w:bCs w:val="0"/>
          <w:color w:val="auto"/>
          <w:kern w:val="2"/>
          <w:sz w:val="28"/>
          <w:szCs w:val="28"/>
          <w:highlight w:val="none"/>
          <w:lang w:val="en-US" w:eastAsia="zh-CN" w:bidi="ar-SA"/>
        </w:rPr>
        <w:t>网站查询</w:t>
      </w:r>
      <w:r>
        <w:rPr>
          <w:rFonts w:hint="eastAsia" w:ascii="仿宋_GB2312" w:hAnsi="仿宋" w:eastAsia="仿宋_GB2312" w:cs="Times New Roman"/>
          <w:b w:val="0"/>
          <w:bCs w:val="0"/>
          <w:color w:val="auto"/>
          <w:kern w:val="2"/>
          <w:sz w:val="28"/>
          <w:szCs w:val="28"/>
          <w:highlight w:val="none"/>
          <w:lang w:val="en-US" w:eastAsia="zh-CN" w:bidi="ar-SA"/>
        </w:rPr>
        <w:t>报名人</w:t>
      </w:r>
      <w:r>
        <w:rPr>
          <w:rFonts w:hint="default" w:ascii="仿宋_GB2312" w:hAnsi="仿宋" w:eastAsia="仿宋_GB2312" w:cs="Times New Roman"/>
          <w:b w:val="0"/>
          <w:bCs w:val="0"/>
          <w:color w:val="auto"/>
          <w:kern w:val="2"/>
          <w:sz w:val="28"/>
          <w:szCs w:val="28"/>
          <w:highlight w:val="none"/>
          <w:lang w:val="en-US" w:eastAsia="zh-CN" w:bidi="ar-SA"/>
        </w:rPr>
        <w:t>结果截图并加盖报名人公章</w:t>
      </w:r>
      <w:r>
        <w:rPr>
          <w:rFonts w:hint="eastAsia" w:ascii="仿宋_GB2312" w:hAnsi="仿宋" w:eastAsia="仿宋_GB2312" w:cs="Times New Roman"/>
          <w:b w:val="0"/>
          <w:bCs w:val="0"/>
          <w:color w:val="auto"/>
          <w:kern w:val="2"/>
          <w:sz w:val="28"/>
          <w:szCs w:val="28"/>
          <w:highlight w:val="none"/>
          <w:lang w:val="en-US" w:eastAsia="zh-CN" w:bidi="ar-SA"/>
        </w:rPr>
        <w:t>（详见附件3）</w:t>
      </w:r>
      <w:r>
        <w:rPr>
          <w:rFonts w:hint="default" w:ascii="仿宋_GB2312" w:hAnsi="仿宋" w:eastAsia="仿宋_GB2312" w:cs="Times New Roman"/>
          <w:b w:val="0"/>
          <w:bCs w:val="0"/>
          <w:color w:val="auto"/>
          <w:kern w:val="2"/>
          <w:sz w:val="28"/>
          <w:szCs w:val="28"/>
          <w:highlight w:val="none"/>
          <w:lang w:val="en-US" w:eastAsia="zh-CN" w:bidi="ar-SA"/>
        </w:rPr>
        <w:t>。</w:t>
      </w:r>
    </w:p>
    <w:p>
      <w:pPr>
        <w:pStyle w:val="27"/>
        <w:keepNext w:val="0"/>
        <w:keepLines w:val="0"/>
        <w:pageBreakBefore w:val="0"/>
        <w:widowControl/>
        <w:numPr>
          <w:ilvl w:val="2"/>
          <w:numId w:val="0"/>
        </w:numPr>
        <w:kinsoku/>
        <w:wordWrap/>
        <w:overflowPunct/>
        <w:topLinePunct w:val="0"/>
        <w:autoSpaceDE/>
        <w:autoSpaceDN/>
        <w:bidi w:val="0"/>
        <w:adjustRightInd/>
        <w:snapToGrid/>
        <w:spacing w:line="560" w:lineRule="exact"/>
        <w:ind w:firstLine="560" w:firstLineChars="200"/>
        <w:textAlignment w:val="auto"/>
        <w:outlineLvl w:val="2"/>
        <w:rPr>
          <w:rFonts w:hint="default"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1.</w:t>
      </w:r>
      <w:r>
        <w:rPr>
          <w:rFonts w:hint="default" w:ascii="仿宋_GB2312" w:hAnsi="仿宋" w:eastAsia="仿宋_GB2312" w:cs="Times New Roman"/>
          <w:b w:val="0"/>
          <w:bCs w:val="0"/>
          <w:color w:val="auto"/>
          <w:kern w:val="2"/>
          <w:sz w:val="28"/>
          <w:szCs w:val="28"/>
          <w:highlight w:val="none"/>
          <w:lang w:val="en-US" w:eastAsia="zh-CN" w:bidi="ar-SA"/>
        </w:rPr>
        <w:t>未被“国家企业信用信息公示系统”网列入经营异常企业名单（曾被列入已经移出的除外）和严重违法失信企业名单（查询网址：http://www.gsxt.gov.cn/）</w:t>
      </w:r>
      <w:r>
        <w:rPr>
          <w:rFonts w:hint="eastAsia" w:ascii="仿宋_GB2312" w:hAnsi="仿宋" w:eastAsia="仿宋_GB2312" w:cs="Times New Roman"/>
          <w:b w:val="0"/>
          <w:bCs w:val="0"/>
          <w:color w:val="auto"/>
          <w:kern w:val="2"/>
          <w:sz w:val="28"/>
          <w:szCs w:val="28"/>
          <w:highlight w:val="none"/>
          <w:lang w:val="en-US" w:eastAsia="zh-CN" w:bidi="ar-SA"/>
        </w:rPr>
        <w:t>。</w:t>
      </w:r>
    </w:p>
    <w:p>
      <w:pPr>
        <w:pStyle w:val="27"/>
        <w:keepNext w:val="0"/>
        <w:keepLines w:val="0"/>
        <w:pageBreakBefore w:val="0"/>
        <w:widowControl/>
        <w:numPr>
          <w:ilvl w:val="2"/>
          <w:numId w:val="0"/>
        </w:numPr>
        <w:kinsoku/>
        <w:wordWrap/>
        <w:overflowPunct/>
        <w:topLinePunct w:val="0"/>
        <w:autoSpaceDE/>
        <w:autoSpaceDN/>
        <w:bidi w:val="0"/>
        <w:adjustRightInd/>
        <w:snapToGrid/>
        <w:spacing w:line="560" w:lineRule="exact"/>
        <w:ind w:firstLine="560" w:firstLineChars="200"/>
        <w:textAlignment w:val="auto"/>
        <w:outlineLvl w:val="2"/>
        <w:rPr>
          <w:rFonts w:hint="default"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2.</w:t>
      </w:r>
      <w:r>
        <w:rPr>
          <w:rFonts w:hint="default" w:ascii="仿宋_GB2312" w:hAnsi="仿宋" w:eastAsia="仿宋_GB2312" w:cs="Times New Roman"/>
          <w:b w:val="0"/>
          <w:bCs w:val="0"/>
          <w:color w:val="auto"/>
          <w:kern w:val="2"/>
          <w:sz w:val="28"/>
          <w:szCs w:val="28"/>
          <w:highlight w:val="none"/>
          <w:lang w:val="en-US" w:eastAsia="zh-CN" w:bidi="ar-SA"/>
        </w:rPr>
        <w:t>未被“信用中国”网列入严重失信主体名单（查询网址：http://www.creditchina.gov.cn/）</w:t>
      </w:r>
      <w:r>
        <w:rPr>
          <w:rFonts w:hint="eastAsia" w:ascii="仿宋_GB2312" w:hAnsi="仿宋" w:eastAsia="仿宋_GB2312" w:cs="Times New Roman"/>
          <w:b w:val="0"/>
          <w:bCs w:val="0"/>
          <w:color w:val="auto"/>
          <w:kern w:val="2"/>
          <w:sz w:val="28"/>
          <w:szCs w:val="28"/>
          <w:highlight w:val="none"/>
          <w:lang w:val="en-US" w:eastAsia="zh-CN" w:bidi="ar-SA"/>
        </w:rPr>
        <w:t>。</w:t>
      </w:r>
    </w:p>
    <w:p>
      <w:pPr>
        <w:pStyle w:val="27"/>
        <w:keepNext w:val="0"/>
        <w:keepLines w:val="0"/>
        <w:pageBreakBefore w:val="0"/>
        <w:widowControl/>
        <w:numPr>
          <w:ilvl w:val="2"/>
          <w:numId w:val="0"/>
        </w:numPr>
        <w:kinsoku/>
        <w:wordWrap/>
        <w:overflowPunct/>
        <w:topLinePunct w:val="0"/>
        <w:autoSpaceDE/>
        <w:autoSpaceDN/>
        <w:bidi w:val="0"/>
        <w:adjustRightInd/>
        <w:snapToGrid/>
        <w:spacing w:line="560" w:lineRule="exact"/>
        <w:ind w:firstLine="560" w:firstLineChars="200"/>
        <w:textAlignment w:val="auto"/>
        <w:outlineLvl w:val="2"/>
        <w:rPr>
          <w:rFonts w:hint="default" w:ascii="仿宋_GB2312" w:hAnsi="仿宋" w:eastAsia="仿宋_GB2312" w:cs="Times New Roman"/>
          <w:b w:val="0"/>
          <w:bCs w:val="0"/>
          <w:color w:val="auto"/>
          <w:kern w:val="2"/>
          <w:sz w:val="28"/>
          <w:szCs w:val="28"/>
          <w:highlight w:val="none"/>
          <w:u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3.</w:t>
      </w:r>
      <w:r>
        <w:rPr>
          <w:rFonts w:hint="default" w:ascii="仿宋_GB2312" w:hAnsi="仿宋" w:eastAsia="仿宋_GB2312" w:cs="Times New Roman"/>
          <w:b w:val="0"/>
          <w:bCs w:val="0"/>
          <w:color w:val="auto"/>
          <w:kern w:val="2"/>
          <w:sz w:val="28"/>
          <w:szCs w:val="28"/>
          <w:highlight w:val="none"/>
          <w:lang w:val="en-US" w:eastAsia="zh-CN" w:bidi="ar-SA"/>
        </w:rPr>
        <w:t>未被“中国执行信息公开网”列入失信被执行人（查询网址：</w:t>
      </w:r>
      <w:r>
        <w:rPr>
          <w:rFonts w:hint="default" w:ascii="仿宋_GB2312" w:hAnsi="仿宋" w:eastAsia="仿宋_GB2312" w:cs="Times New Roman"/>
          <w:b w:val="0"/>
          <w:bCs w:val="0"/>
          <w:color w:val="auto"/>
          <w:kern w:val="2"/>
          <w:sz w:val="28"/>
          <w:szCs w:val="28"/>
          <w:highlight w:val="none"/>
          <w:u w:val="none"/>
          <w:lang w:val="en-US" w:eastAsia="zh-CN" w:bidi="ar-SA"/>
        </w:rPr>
        <w:fldChar w:fldCharType="begin"/>
      </w:r>
      <w:r>
        <w:rPr>
          <w:rFonts w:hint="default" w:ascii="仿宋_GB2312" w:hAnsi="仿宋" w:eastAsia="仿宋_GB2312" w:cs="Times New Roman"/>
          <w:b w:val="0"/>
          <w:bCs w:val="0"/>
          <w:color w:val="auto"/>
          <w:kern w:val="2"/>
          <w:sz w:val="28"/>
          <w:szCs w:val="28"/>
          <w:highlight w:val="none"/>
          <w:u w:val="none"/>
          <w:lang w:val="en-US" w:eastAsia="zh-CN" w:bidi="ar-SA"/>
        </w:rPr>
        <w:instrText xml:space="preserve"> HYPERLINK "http://zxgk.court.gov.cn/）。" </w:instrText>
      </w:r>
      <w:r>
        <w:rPr>
          <w:rFonts w:hint="default" w:ascii="仿宋_GB2312" w:hAnsi="仿宋" w:eastAsia="仿宋_GB2312" w:cs="Times New Roman"/>
          <w:b w:val="0"/>
          <w:bCs w:val="0"/>
          <w:color w:val="auto"/>
          <w:kern w:val="2"/>
          <w:sz w:val="28"/>
          <w:szCs w:val="28"/>
          <w:highlight w:val="none"/>
          <w:u w:val="none"/>
          <w:lang w:val="en-US" w:eastAsia="zh-CN" w:bidi="ar-SA"/>
        </w:rPr>
        <w:fldChar w:fldCharType="separate"/>
      </w:r>
      <w:r>
        <w:rPr>
          <w:rStyle w:val="23"/>
          <w:rFonts w:hint="default" w:ascii="仿宋_GB2312" w:hAnsi="仿宋" w:eastAsia="仿宋_GB2312" w:cs="Times New Roman"/>
          <w:b w:val="0"/>
          <w:bCs w:val="0"/>
          <w:color w:val="auto"/>
          <w:kern w:val="2"/>
          <w:sz w:val="28"/>
          <w:szCs w:val="28"/>
          <w:highlight w:val="none"/>
          <w:u w:val="none"/>
          <w:lang w:val="en-US" w:eastAsia="zh-CN" w:bidi="ar-SA"/>
        </w:rPr>
        <w:t>http://zxgk.court.gov.cn/）。</w:t>
      </w:r>
      <w:r>
        <w:rPr>
          <w:rFonts w:hint="default" w:ascii="仿宋_GB2312" w:hAnsi="仿宋" w:eastAsia="仿宋_GB2312" w:cs="Times New Roman"/>
          <w:b w:val="0"/>
          <w:bCs w:val="0"/>
          <w:color w:val="auto"/>
          <w:kern w:val="2"/>
          <w:sz w:val="28"/>
          <w:szCs w:val="28"/>
          <w:highlight w:val="none"/>
          <w:u w:val="none"/>
          <w:lang w:val="en-US" w:eastAsia="zh-CN" w:bidi="ar-SA"/>
        </w:rPr>
        <w:fldChar w:fldCharType="end"/>
      </w:r>
    </w:p>
    <w:p>
      <w:pPr>
        <w:pStyle w:val="27"/>
        <w:keepNext w:val="0"/>
        <w:keepLines w:val="0"/>
        <w:pageBreakBefore w:val="0"/>
        <w:widowControl/>
        <w:numPr>
          <w:ilvl w:val="2"/>
          <w:numId w:val="0"/>
        </w:numPr>
        <w:kinsoku/>
        <w:wordWrap/>
        <w:overflowPunct/>
        <w:topLinePunct w:val="0"/>
        <w:autoSpaceDE/>
        <w:autoSpaceDN/>
        <w:bidi w:val="0"/>
        <w:adjustRightInd/>
        <w:snapToGrid/>
        <w:spacing w:line="520" w:lineRule="exact"/>
        <w:ind w:firstLine="560" w:firstLineChars="200"/>
        <w:textAlignment w:val="auto"/>
        <w:outlineLvl w:val="2"/>
        <w:rPr>
          <w:rStyle w:val="17"/>
          <w:rFonts w:hint="eastAsia" w:ascii="仿宋_GB2312" w:hAnsi="仿宋" w:eastAsia="仿宋_GB2312" w:cs="Times New Roman"/>
          <w:b w:val="0"/>
          <w:bCs w:val="0"/>
          <w:color w:val="auto"/>
          <w:kern w:val="2"/>
          <w:sz w:val="28"/>
          <w:szCs w:val="28"/>
          <w:highlight w:val="none"/>
          <w:u w:val="none"/>
          <w:lang w:val="en-US" w:eastAsia="zh-CN" w:bidi="ar-SA"/>
        </w:rPr>
      </w:pPr>
      <w:r>
        <w:rPr>
          <w:rFonts w:hint="eastAsia" w:ascii="仿宋_GB2312" w:hAnsi="仿宋" w:eastAsia="仿宋_GB2312" w:cs="Times New Roman"/>
          <w:b w:val="0"/>
          <w:bCs w:val="0"/>
          <w:color w:val="auto"/>
          <w:kern w:val="2"/>
          <w:sz w:val="28"/>
          <w:szCs w:val="28"/>
          <w:highlight w:val="none"/>
          <w:u w:val="none"/>
          <w:lang w:val="en-US" w:eastAsia="zh-CN" w:bidi="ar-SA"/>
        </w:rPr>
        <w:t>4.</w:t>
      </w:r>
      <w:r>
        <w:rPr>
          <w:rFonts w:hint="eastAsia" w:ascii="仿宋_GB2312" w:hAnsi="仿宋" w:eastAsia="仿宋_GB2312" w:cs="Times New Roman"/>
          <w:color w:val="auto"/>
          <w:sz w:val="28"/>
          <w:szCs w:val="28"/>
          <w:highlight w:val="none"/>
          <w:lang w:val="en-US" w:eastAsia="zh-CN"/>
        </w:rPr>
        <w:t>在“国家企业信用信息公示系统”网站（查询网址：</w:t>
      </w:r>
      <w:r>
        <w:rPr>
          <w:rFonts w:hint="eastAsia" w:ascii="仿宋_GB2312" w:hAnsi="仿宋" w:eastAsia="仿宋_GB2312" w:cs="Times New Roman"/>
          <w:color w:val="auto"/>
          <w:sz w:val="28"/>
          <w:szCs w:val="28"/>
          <w:highlight w:val="none"/>
          <w:lang w:val="en-US" w:eastAsia="zh-CN"/>
        </w:rPr>
        <w:fldChar w:fldCharType="begin"/>
      </w:r>
      <w:r>
        <w:rPr>
          <w:rFonts w:hint="eastAsia" w:ascii="仿宋_GB2312" w:hAnsi="仿宋" w:eastAsia="仿宋_GB2312" w:cs="Times New Roman"/>
          <w:color w:val="auto"/>
          <w:sz w:val="28"/>
          <w:szCs w:val="28"/>
          <w:highlight w:val="none"/>
          <w:lang w:val="en-US" w:eastAsia="zh-CN"/>
        </w:rPr>
        <w:instrText xml:space="preserve"> HYPERLINK "http://www.gsxt.gov.cn/）；" </w:instrText>
      </w:r>
      <w:r>
        <w:rPr>
          <w:rFonts w:hint="eastAsia" w:ascii="仿宋_GB2312" w:hAnsi="仿宋" w:eastAsia="仿宋_GB2312" w:cs="Times New Roman"/>
          <w:color w:val="auto"/>
          <w:sz w:val="28"/>
          <w:szCs w:val="28"/>
          <w:highlight w:val="none"/>
          <w:lang w:val="en-US" w:eastAsia="zh-CN"/>
        </w:rPr>
        <w:fldChar w:fldCharType="separate"/>
      </w:r>
      <w:r>
        <w:rPr>
          <w:rFonts w:hint="eastAsia" w:ascii="仿宋_GB2312" w:hAnsi="仿宋" w:eastAsia="仿宋_GB2312" w:cs="Times New Roman"/>
          <w:color w:val="auto"/>
          <w:sz w:val="28"/>
          <w:szCs w:val="28"/>
          <w:highlight w:val="none"/>
          <w:lang w:val="en-US" w:eastAsia="zh-CN"/>
        </w:rPr>
        <w:t>http://www.gsxt.gov.cn/）</w:t>
      </w:r>
      <w:r>
        <w:rPr>
          <w:rFonts w:hint="eastAsia" w:ascii="仿宋_GB2312" w:hAnsi="仿宋" w:eastAsia="仿宋_GB2312" w:cs="Times New Roman"/>
          <w:color w:val="auto"/>
          <w:sz w:val="28"/>
          <w:szCs w:val="28"/>
          <w:highlight w:val="none"/>
          <w:lang w:val="en-US" w:eastAsia="zh-CN"/>
        </w:rPr>
        <w:fldChar w:fldCharType="end"/>
      </w:r>
      <w:r>
        <w:rPr>
          <w:rFonts w:hint="eastAsia" w:ascii="仿宋_GB2312" w:hAnsi="仿宋" w:eastAsia="仿宋_GB2312" w:cs="Times New Roman"/>
          <w:color w:val="auto"/>
          <w:sz w:val="28"/>
          <w:szCs w:val="28"/>
          <w:highlight w:val="none"/>
          <w:lang w:val="en-US" w:eastAsia="zh-CN"/>
        </w:rPr>
        <w:t>上不涉及在有效期限内取消或限制投标资格的行政处罚记录</w:t>
      </w:r>
      <w:r>
        <w:rPr>
          <w:rStyle w:val="17"/>
          <w:rFonts w:hint="eastAsia" w:ascii="仿宋_GB2312" w:hAnsi="仿宋" w:eastAsia="仿宋_GB2312" w:cs="Times New Roman"/>
          <w:b w:val="0"/>
          <w:bCs w:val="0"/>
          <w:color w:val="auto"/>
          <w:kern w:val="2"/>
          <w:sz w:val="28"/>
          <w:szCs w:val="28"/>
          <w:highlight w:val="none"/>
          <w:u w:val="none"/>
          <w:lang w:val="en-US" w:eastAsia="zh-CN" w:bidi="ar-SA"/>
        </w:rPr>
        <w:t>。</w:t>
      </w:r>
    </w:p>
    <w:p>
      <w:pPr>
        <w:pStyle w:val="27"/>
        <w:keepNext w:val="0"/>
        <w:keepLines w:val="0"/>
        <w:pageBreakBefore w:val="0"/>
        <w:widowControl/>
        <w:numPr>
          <w:ilvl w:val="2"/>
          <w:numId w:val="0"/>
        </w:numPr>
        <w:kinsoku/>
        <w:wordWrap/>
        <w:overflowPunct/>
        <w:topLinePunct w:val="0"/>
        <w:autoSpaceDE/>
        <w:autoSpaceDN/>
        <w:bidi w:val="0"/>
        <w:adjustRightInd/>
        <w:snapToGrid/>
        <w:spacing w:line="520" w:lineRule="exact"/>
        <w:ind w:firstLine="562" w:firstLineChars="200"/>
        <w:textAlignment w:val="auto"/>
        <w:outlineLvl w:val="2"/>
        <w:rPr>
          <w:rFonts w:hint="default" w:ascii="仿宋_GB2312" w:hAnsi="仿宋" w:eastAsia="仿宋_GB2312" w:cs="Times New Roman"/>
          <w:b w:val="0"/>
          <w:bCs w:val="0"/>
          <w:color w:val="auto"/>
          <w:kern w:val="2"/>
          <w:sz w:val="28"/>
          <w:szCs w:val="28"/>
          <w:highlight w:val="none"/>
          <w:u w:val="none"/>
          <w:lang w:val="en-US" w:eastAsia="zh-CN" w:bidi="ar-SA"/>
        </w:rPr>
      </w:pPr>
      <w:r>
        <w:rPr>
          <w:rFonts w:hint="eastAsia" w:ascii="仿宋_GB2312" w:hAnsi="仿宋" w:eastAsia="仿宋_GB2312" w:cs="Times New Roman"/>
          <w:b/>
          <w:bCs/>
          <w:color w:val="auto"/>
          <w:kern w:val="2"/>
          <w:sz w:val="28"/>
          <w:szCs w:val="28"/>
          <w:highlight w:val="none"/>
          <w:u w:val="none"/>
          <w:lang w:val="en-US" w:eastAsia="zh-CN" w:bidi="ar-SA"/>
        </w:rPr>
        <w:t>报名人应按照上述材料提交要求提交加盖报名人公章的报名材料扫描件。</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firstLineChars="200"/>
        <w:jc w:val="both"/>
        <w:textAlignment w:val="auto"/>
        <w:outlineLvl w:val="0"/>
        <w:rPr>
          <w:rFonts w:hint="default" w:ascii="仿宋_GB2312" w:hAnsi="仿宋" w:eastAsia="仿宋_GB2312" w:cs="Times New Roman"/>
          <w:b/>
          <w:bCs/>
          <w:color w:val="auto"/>
          <w:kern w:val="2"/>
          <w:sz w:val="28"/>
          <w:szCs w:val="28"/>
          <w:highlight w:val="none"/>
          <w:lang w:val="en-US" w:eastAsia="zh-CN" w:bidi="ar-SA"/>
        </w:rPr>
      </w:pPr>
      <w:r>
        <w:rPr>
          <w:rFonts w:hint="eastAsia" w:ascii="仿宋_GB2312" w:hAnsi="仿宋" w:eastAsia="仿宋_GB2312" w:cs="Times New Roman"/>
          <w:b/>
          <w:bCs/>
          <w:color w:val="auto"/>
          <w:kern w:val="2"/>
          <w:sz w:val="28"/>
          <w:szCs w:val="28"/>
          <w:highlight w:val="none"/>
          <w:lang w:val="en-US" w:eastAsia="zh-CN" w:bidi="ar-SA"/>
        </w:rPr>
        <w:t>六</w:t>
      </w:r>
      <w:r>
        <w:rPr>
          <w:rFonts w:hint="default" w:ascii="仿宋_GB2312" w:hAnsi="仿宋" w:eastAsia="仿宋_GB2312" w:cs="Times New Roman"/>
          <w:b/>
          <w:bCs/>
          <w:color w:val="auto"/>
          <w:kern w:val="2"/>
          <w:sz w:val="28"/>
          <w:szCs w:val="28"/>
          <w:highlight w:val="none"/>
          <w:lang w:val="en-US" w:eastAsia="zh-CN" w:bidi="ar-SA"/>
        </w:rPr>
        <w:t>、</w:t>
      </w:r>
      <w:r>
        <w:rPr>
          <w:rFonts w:hint="eastAsia" w:ascii="仿宋_GB2312" w:hAnsi="仿宋" w:eastAsia="仿宋_GB2312" w:cs="Times New Roman"/>
          <w:b/>
          <w:bCs/>
          <w:color w:val="auto"/>
          <w:kern w:val="2"/>
          <w:sz w:val="28"/>
          <w:szCs w:val="28"/>
          <w:highlight w:val="none"/>
          <w:lang w:val="en-US" w:eastAsia="zh-CN" w:bidi="ar-SA"/>
        </w:rPr>
        <w:t>报名供应商筛选</w:t>
      </w:r>
      <w:r>
        <w:rPr>
          <w:rFonts w:hint="default" w:ascii="仿宋_GB2312" w:hAnsi="仿宋" w:eastAsia="仿宋_GB2312" w:cs="Times New Roman"/>
          <w:b/>
          <w:bCs/>
          <w:color w:val="auto"/>
          <w:kern w:val="2"/>
          <w:sz w:val="28"/>
          <w:szCs w:val="28"/>
          <w:highlight w:val="none"/>
          <w:lang w:val="en-US" w:eastAsia="zh-CN" w:bidi="ar-SA"/>
        </w:rPr>
        <w:t>：</w:t>
      </w:r>
    </w:p>
    <w:p>
      <w:pPr>
        <w:pStyle w:val="27"/>
        <w:numPr>
          <w:ilvl w:val="2"/>
          <w:numId w:val="0"/>
        </w:numPr>
        <w:spacing w:line="560" w:lineRule="exact"/>
        <w:ind w:firstLine="560" w:firstLineChars="200"/>
        <w:outlineLvl w:val="2"/>
        <w:rPr>
          <w:rFonts w:hint="default" w:ascii="仿宋_GB2312" w:hAnsi="仿宋" w:eastAsia="仿宋_GB2312" w:cs="Times New Roman"/>
          <w:color w:val="auto"/>
          <w:sz w:val="28"/>
          <w:szCs w:val="28"/>
          <w:highlight w:val="none"/>
          <w:u w:val="none"/>
        </w:rPr>
      </w:pPr>
      <w:r>
        <w:rPr>
          <w:rFonts w:hint="default" w:ascii="仿宋_GB2312" w:hAnsi="仿宋" w:eastAsia="仿宋_GB2312" w:cs="Times New Roman"/>
          <w:color w:val="auto"/>
          <w:kern w:val="2"/>
          <w:sz w:val="28"/>
          <w:szCs w:val="28"/>
          <w:highlight w:val="none"/>
          <w:u w:val="none"/>
          <w:lang w:val="en-US" w:eastAsia="zh-CN" w:bidi="ar-SA"/>
        </w:rPr>
        <w:t>该采购项目目前处于供应商公开征集阶段，征集结束后我司会组织相关人员对报名成功的供应商进行筛选，通过筛选的供应商会被邀请参与该采购项目后续采购活动。</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2" w:firstLineChars="200"/>
        <w:textAlignment w:val="auto"/>
        <w:outlineLvl w:val="0"/>
        <w:rPr>
          <w:rFonts w:hint="eastAsia" w:ascii="仿宋_GB2312" w:hAnsi="仿宋" w:eastAsia="仿宋_GB2312" w:cs="Times New Roman"/>
          <w:b/>
          <w:bCs/>
          <w:color w:val="auto"/>
          <w:kern w:val="2"/>
          <w:sz w:val="28"/>
          <w:szCs w:val="28"/>
          <w:highlight w:val="none"/>
          <w:lang w:val="en-US" w:eastAsia="zh-CN" w:bidi="ar-SA"/>
        </w:rPr>
      </w:pPr>
      <w:r>
        <w:rPr>
          <w:rFonts w:hint="eastAsia" w:ascii="仿宋_GB2312" w:hAnsi="仿宋" w:eastAsia="仿宋_GB2312" w:cs="Times New Roman"/>
          <w:b/>
          <w:bCs/>
          <w:color w:val="auto"/>
          <w:kern w:val="2"/>
          <w:sz w:val="28"/>
          <w:szCs w:val="28"/>
          <w:highlight w:val="none"/>
          <w:lang w:val="en-US" w:eastAsia="zh-CN" w:bidi="ar-SA"/>
        </w:rPr>
        <w:t>七、联系方式：</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firstLineChars="200"/>
        <w:textAlignment w:val="auto"/>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联系人：花女士</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firstLineChars="200"/>
        <w:textAlignment w:val="auto"/>
        <w:rPr>
          <w:rFonts w:hint="default"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联系电话：0512-69995966</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firstLineChars="200"/>
        <w:textAlignment w:val="auto"/>
        <w:rPr>
          <w:rFonts w:hint="default"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地 址：江苏省苏州市苏州大道东398号苏州中国太平金融大厦318室</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firstLineChars="200"/>
        <w:textAlignment w:val="auto"/>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邮 箱：huadm@tpim.cntaiping.com</w:t>
      </w:r>
    </w:p>
    <w:p>
      <w:pPr>
        <w:pStyle w:val="13"/>
        <w:keepNext w:val="0"/>
        <w:keepLines w:val="0"/>
        <w:pageBreakBefore w:val="0"/>
        <w:widowControl/>
        <w:suppressLineNumbers w:val="0"/>
        <w:kinsoku/>
        <w:wordWrap/>
        <w:overflowPunct/>
        <w:topLinePunct w:val="0"/>
        <w:autoSpaceDE/>
        <w:autoSpaceDN/>
        <w:bidi w:val="0"/>
        <w:adjustRightInd/>
        <w:snapToGrid/>
        <w:spacing w:before="252" w:beforeAutospacing="0" w:after="100" w:afterAutospacing="0" w:line="520" w:lineRule="exact"/>
        <w:ind w:left="0" w:right="0" w:firstLine="560"/>
        <w:jc w:val="right"/>
        <w:textAlignment w:val="auto"/>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太平产业投资管理有限公司苏州分公司</w:t>
      </w:r>
    </w:p>
    <w:p>
      <w:pPr>
        <w:pStyle w:val="13"/>
        <w:keepNext w:val="0"/>
        <w:keepLines w:val="0"/>
        <w:pageBreakBefore w:val="0"/>
        <w:widowControl/>
        <w:suppressLineNumbers w:val="0"/>
        <w:kinsoku/>
        <w:wordWrap/>
        <w:overflowPunct/>
        <w:topLinePunct w:val="0"/>
        <w:autoSpaceDE/>
        <w:autoSpaceDN/>
        <w:bidi w:val="0"/>
        <w:adjustRightInd/>
        <w:snapToGrid/>
        <w:spacing w:before="252" w:beforeAutospacing="0" w:after="100" w:afterAutospacing="0" w:line="520" w:lineRule="exact"/>
        <w:ind w:left="0" w:right="0"/>
        <w:jc w:val="right"/>
        <w:textAlignment w:val="auto"/>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2025年12月17日</w:t>
      </w:r>
    </w:p>
    <w:p>
      <w:pPr>
        <w:pStyle w:val="13"/>
        <w:keepNext w:val="0"/>
        <w:keepLines w:val="0"/>
        <w:pageBreakBefore w:val="0"/>
        <w:widowControl/>
        <w:suppressLineNumbers w:val="0"/>
        <w:kinsoku/>
        <w:wordWrap/>
        <w:overflowPunct/>
        <w:topLinePunct w:val="0"/>
        <w:autoSpaceDE/>
        <w:autoSpaceDN/>
        <w:bidi w:val="0"/>
        <w:adjustRightInd/>
        <w:snapToGrid/>
        <w:spacing w:before="252" w:beforeAutospacing="0" w:after="100" w:afterAutospacing="0" w:line="520" w:lineRule="exact"/>
        <w:ind w:left="0" w:right="0"/>
        <w:jc w:val="both"/>
        <w:textAlignment w:val="auto"/>
        <w:rPr>
          <w:rFonts w:hint="eastAsia" w:ascii="仿宋_GB2312" w:hAnsi="仿宋" w:eastAsia="仿宋_GB2312" w:cs="Times New Roman"/>
          <w:b w:val="0"/>
          <w:bCs w:val="0"/>
          <w:color w:val="auto"/>
          <w:kern w:val="2"/>
          <w:sz w:val="28"/>
          <w:szCs w:val="28"/>
          <w:highlight w:val="none"/>
          <w:lang w:val="en-US" w:eastAsia="zh-CN" w:bidi="ar-SA"/>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ascii="仿宋_GB2312" w:hAnsi="仿宋" w:eastAsia="仿宋_GB2312"/>
          <w:color w:val="auto"/>
          <w:sz w:val="28"/>
          <w:szCs w:val="28"/>
          <w:highlight w:val="none"/>
        </w:rPr>
      </w:pPr>
    </w:p>
    <w:p>
      <w:pPr>
        <w:pStyle w:val="27"/>
        <w:numPr>
          <w:ilvl w:val="2"/>
          <w:numId w:val="0"/>
        </w:numPr>
        <w:spacing w:line="480" w:lineRule="exact"/>
        <w:jc w:val="both"/>
        <w:outlineLvl w:val="0"/>
        <w:rPr>
          <w:rFonts w:hint="eastAsia"/>
          <w:b/>
          <w:bCs/>
          <w:color w:val="auto"/>
          <w:sz w:val="36"/>
          <w:highlight w:val="none"/>
        </w:rPr>
      </w:pPr>
      <w:r>
        <w:rPr>
          <w:rFonts w:hint="eastAsia" w:ascii="仿宋_GB2312" w:hAnsi="仿宋" w:eastAsia="仿宋_GB2312"/>
          <w:color w:val="auto"/>
          <w:sz w:val="28"/>
          <w:szCs w:val="28"/>
          <w:highlight w:val="none"/>
        </w:rPr>
        <w:t>附件</w:t>
      </w:r>
      <w:r>
        <w:rPr>
          <w:rFonts w:hint="eastAsia" w:ascii="仿宋_GB2312" w:hAnsi="仿宋" w:eastAsia="仿宋_GB2312"/>
          <w:color w:val="auto"/>
          <w:sz w:val="28"/>
          <w:szCs w:val="28"/>
          <w:highlight w:val="none"/>
          <w:lang w:val="en-US" w:eastAsia="zh-CN"/>
        </w:rPr>
        <w:t>1</w:t>
      </w:r>
      <w:r>
        <w:rPr>
          <w:rFonts w:hint="eastAsia" w:ascii="仿宋_GB2312" w:hAnsi="仿宋" w:eastAsia="仿宋_GB2312"/>
          <w:color w:val="auto"/>
          <w:sz w:val="28"/>
          <w:szCs w:val="28"/>
          <w:highlight w:val="none"/>
        </w:rPr>
        <w:t>：</w:t>
      </w:r>
    </w:p>
    <w:p>
      <w:pPr>
        <w:jc w:val="center"/>
        <w:rPr>
          <w:color w:val="auto"/>
          <w:sz w:val="36"/>
          <w:highlight w:val="none"/>
        </w:rPr>
      </w:pPr>
      <w:r>
        <w:rPr>
          <w:rFonts w:hint="eastAsia"/>
          <w:b/>
          <w:bCs/>
          <w:color w:val="auto"/>
          <w:sz w:val="36"/>
          <w:highlight w:val="none"/>
        </w:rPr>
        <w:t>法定代表人/负责人身份证明书</w:t>
      </w:r>
    </w:p>
    <w:p>
      <w:pPr>
        <w:rPr>
          <w:color w:val="auto"/>
          <w:highlight w:val="none"/>
        </w:rPr>
      </w:pPr>
    </w:p>
    <w:p>
      <w:pPr>
        <w:spacing w:line="480" w:lineRule="auto"/>
        <w:rPr>
          <w:rFonts w:hint="eastAsia"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单位名称：</w:t>
      </w:r>
      <w:r>
        <w:rPr>
          <w:rFonts w:hint="eastAsia" w:ascii="仿宋_GB2312" w:hAnsi="仿宋_GB2312" w:eastAsia="仿宋_GB2312" w:cs="仿宋_GB2312"/>
          <w:color w:val="auto"/>
          <w:sz w:val="28"/>
          <w:szCs w:val="28"/>
          <w:highlight w:val="none"/>
          <w:u w:val="single"/>
        </w:rPr>
        <w:t xml:space="preserve">                                    </w:t>
      </w:r>
    </w:p>
    <w:p>
      <w:pPr>
        <w:spacing w:line="480" w:lineRule="auto"/>
        <w:rPr>
          <w:rFonts w:hint="eastAsia"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地    址：</w:t>
      </w:r>
      <w:r>
        <w:rPr>
          <w:rFonts w:hint="eastAsia" w:ascii="仿宋_GB2312" w:hAnsi="仿宋_GB2312" w:eastAsia="仿宋_GB2312" w:cs="仿宋_GB2312"/>
          <w:color w:val="auto"/>
          <w:sz w:val="28"/>
          <w:szCs w:val="28"/>
          <w:highlight w:val="none"/>
          <w:u w:val="single"/>
        </w:rPr>
        <w:t xml:space="preserve">                                     </w:t>
      </w:r>
    </w:p>
    <w:p>
      <w:pPr>
        <w:spacing w:line="480" w:lineRule="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姓名：</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性别：</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年龄：</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职务：</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系</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的法定代表人/负责人。</w:t>
      </w:r>
    </w:p>
    <w:p>
      <w:pPr>
        <w:tabs>
          <w:tab w:val="left" w:pos="482"/>
          <w:tab w:val="left" w:pos="2183"/>
          <w:tab w:val="left" w:pos="3884"/>
          <w:tab w:val="left" w:pos="5585"/>
        </w:tabs>
        <w:spacing w:line="500" w:lineRule="exact"/>
        <w:ind w:firstLine="280" w:firstLineChars="100"/>
        <w:rPr>
          <w:rFonts w:hint="eastAsia" w:ascii="仿宋_GB2312" w:hAnsi="仿宋_GB2312" w:eastAsia="仿宋_GB2312" w:cs="仿宋_GB2312"/>
          <w:color w:val="auto"/>
          <w:sz w:val="28"/>
          <w:szCs w:val="28"/>
          <w:highlight w:val="none"/>
        </w:rPr>
      </w:pPr>
    </w:p>
    <w:p>
      <w:pPr>
        <w:tabs>
          <w:tab w:val="left" w:pos="482"/>
          <w:tab w:val="left" w:pos="2183"/>
          <w:tab w:val="left" w:pos="3884"/>
          <w:tab w:val="left" w:pos="5585"/>
        </w:tabs>
        <w:spacing w:line="500" w:lineRule="exact"/>
        <w:ind w:firstLine="280" w:firstLineChars="1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附</w:t>
      </w:r>
    </w:p>
    <w:tbl>
      <w:tblPr>
        <w:tblStyle w:val="15"/>
        <w:tblW w:w="6720" w:type="dxa"/>
        <w:tblInd w:w="11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7" w:hRule="atLeast"/>
        </w:trPr>
        <w:tc>
          <w:tcPr>
            <w:tcW w:w="6720" w:type="dxa"/>
            <w:vAlign w:val="center"/>
          </w:tcPr>
          <w:p>
            <w:pPr>
              <w:tabs>
                <w:tab w:val="left" w:leader="middleDot" w:pos="8400"/>
              </w:tabs>
              <w:spacing w:line="360" w:lineRule="auto"/>
              <w:jc w:val="center"/>
              <w:rPr>
                <w:rFonts w:ascii="宋体" w:hAnsi="宋体"/>
                <w:color w:val="auto"/>
                <w:highlight w:val="none"/>
              </w:rPr>
            </w:pPr>
            <w:r>
              <w:rPr>
                <w:rFonts w:hint="eastAsia" w:ascii="宋体" w:hAnsi="宋体"/>
                <w:color w:val="auto"/>
                <w:highlight w:val="none"/>
              </w:rPr>
              <w:t>法定代表人/负责人身份证正面复印件粘贴处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1" w:hRule="atLeast"/>
        </w:trPr>
        <w:tc>
          <w:tcPr>
            <w:tcW w:w="6720" w:type="dxa"/>
            <w:vAlign w:val="center"/>
          </w:tcPr>
          <w:p>
            <w:pPr>
              <w:tabs>
                <w:tab w:val="left" w:leader="middleDot" w:pos="8400"/>
              </w:tabs>
              <w:spacing w:line="360" w:lineRule="auto"/>
              <w:jc w:val="center"/>
              <w:rPr>
                <w:rFonts w:ascii="宋体" w:hAnsi="宋体"/>
                <w:color w:val="auto"/>
                <w:highlight w:val="none"/>
              </w:rPr>
            </w:pPr>
            <w:r>
              <w:rPr>
                <w:rFonts w:hint="eastAsia" w:ascii="宋体" w:hAnsi="宋体"/>
                <w:color w:val="auto"/>
                <w:highlight w:val="none"/>
              </w:rPr>
              <w:t>法定代表人/负责人身份证背面复印件粘贴处</w:t>
            </w:r>
          </w:p>
        </w:tc>
      </w:tr>
    </w:tbl>
    <w:p>
      <w:pPr>
        <w:spacing w:line="480" w:lineRule="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特此证明。</w:t>
      </w:r>
    </w:p>
    <w:p>
      <w:pPr>
        <w:pStyle w:val="28"/>
        <w:rPr>
          <w:color w:val="auto"/>
          <w:highlight w:val="none"/>
        </w:rPr>
      </w:pPr>
    </w:p>
    <w:p>
      <w:pPr>
        <w:spacing w:line="480" w:lineRule="auto"/>
        <w:jc w:val="righ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报名单位：           （单位盖章）         </w:t>
      </w:r>
    </w:p>
    <w:p>
      <w:pPr>
        <w:spacing w:line="480" w:lineRule="auto"/>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日    期：     年     月      日</w:t>
      </w:r>
    </w:p>
    <w:p>
      <w:pPr>
        <w:numPr>
          <w:ilvl w:val="2"/>
          <w:numId w:val="0"/>
        </w:numPr>
        <w:spacing w:line="480" w:lineRule="exact"/>
        <w:jc w:val="both"/>
        <w:outlineLvl w:val="0"/>
        <w:rPr>
          <w:rFonts w:hint="eastAsia" w:ascii="仿宋_GB2312" w:hAnsi="仿宋" w:eastAsia="仿宋_GB2312"/>
          <w:color w:val="auto"/>
          <w:sz w:val="28"/>
          <w:szCs w:val="28"/>
          <w:highlight w:val="none"/>
        </w:rPr>
      </w:pPr>
    </w:p>
    <w:p>
      <w:pPr>
        <w:numPr>
          <w:ilvl w:val="2"/>
          <w:numId w:val="0"/>
        </w:numPr>
        <w:spacing w:line="480" w:lineRule="exact"/>
        <w:jc w:val="both"/>
        <w:outlineLvl w:val="0"/>
        <w:rPr>
          <w:rFonts w:hint="eastAsia" w:ascii="宋体" w:hAnsi="宋体" w:cs="宋体"/>
          <w:b/>
          <w:color w:val="auto"/>
          <w:sz w:val="36"/>
          <w:szCs w:val="36"/>
          <w:highlight w:val="none"/>
        </w:rPr>
      </w:pPr>
      <w:r>
        <w:rPr>
          <w:rFonts w:hint="eastAsia" w:ascii="仿宋_GB2312" w:hAnsi="仿宋" w:eastAsia="仿宋_GB2312"/>
          <w:color w:val="auto"/>
          <w:sz w:val="28"/>
          <w:szCs w:val="28"/>
          <w:highlight w:val="none"/>
        </w:rPr>
        <w:t>附件</w:t>
      </w:r>
      <w:r>
        <w:rPr>
          <w:rFonts w:hint="eastAsia" w:ascii="仿宋_GB2312" w:hAnsi="仿宋" w:eastAsia="仿宋_GB2312"/>
          <w:color w:val="auto"/>
          <w:sz w:val="28"/>
          <w:szCs w:val="28"/>
          <w:highlight w:val="none"/>
          <w:lang w:val="en-US" w:eastAsia="zh-CN"/>
        </w:rPr>
        <w:t>2</w:t>
      </w:r>
      <w:r>
        <w:rPr>
          <w:rFonts w:hint="eastAsia" w:ascii="仿宋_GB2312" w:hAnsi="仿宋" w:eastAsia="仿宋_GB2312"/>
          <w:color w:val="auto"/>
          <w:sz w:val="28"/>
          <w:szCs w:val="28"/>
          <w:highlight w:val="none"/>
        </w:rPr>
        <w:t>：</w:t>
      </w:r>
    </w:p>
    <w:p>
      <w:pPr>
        <w:spacing w:line="480" w:lineRule="auto"/>
        <w:ind w:firstLine="0" w:firstLineChars="0"/>
        <w:jc w:val="center"/>
        <w:rPr>
          <w:rFonts w:ascii="宋体" w:hAnsi="宋体" w:cs="宋体"/>
          <w:color w:val="auto"/>
          <w:highlight w:val="none"/>
        </w:rPr>
      </w:pPr>
      <w:r>
        <w:rPr>
          <w:rFonts w:hint="eastAsia" w:ascii="宋体" w:hAnsi="宋体" w:cs="宋体"/>
          <w:b/>
          <w:color w:val="auto"/>
          <w:sz w:val="36"/>
          <w:szCs w:val="36"/>
          <w:highlight w:val="none"/>
          <w:lang w:val="en-US" w:eastAsia="zh-CN"/>
        </w:rPr>
        <w:t>法定代表人</w:t>
      </w:r>
      <w:r>
        <w:rPr>
          <w:rFonts w:hint="eastAsia" w:ascii="宋体" w:hAnsi="宋体" w:cs="宋体"/>
          <w:b/>
          <w:color w:val="auto"/>
          <w:sz w:val="36"/>
          <w:szCs w:val="36"/>
          <w:highlight w:val="none"/>
        </w:rPr>
        <w:t>授权委托书</w:t>
      </w:r>
    </w:p>
    <w:p>
      <w:pPr>
        <w:spacing w:line="48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本授权委托书声明：我</w:t>
      </w:r>
      <w:r>
        <w:rPr>
          <w:rFonts w:hint="eastAsia" w:ascii="仿宋_GB2312" w:hAnsi="仿宋_GB2312" w:eastAsia="仿宋_GB2312" w:cs="仿宋_GB2312"/>
          <w:color w:val="auto"/>
          <w:sz w:val="28"/>
          <w:szCs w:val="28"/>
          <w:highlight w:val="none"/>
          <w:u w:val="single"/>
        </w:rPr>
        <w:t xml:space="preserve">      （姓名）</w:t>
      </w:r>
      <w:r>
        <w:rPr>
          <w:rFonts w:hint="eastAsia" w:ascii="仿宋_GB2312" w:hAnsi="仿宋_GB2312" w:eastAsia="仿宋_GB2312" w:cs="仿宋_GB2312"/>
          <w:color w:val="auto"/>
          <w:sz w:val="28"/>
          <w:szCs w:val="28"/>
          <w:highlight w:val="none"/>
          <w:u w:val="single"/>
          <w:lang w:val="en-US" w:eastAsia="zh-CN"/>
        </w:rPr>
        <w:t>，</w:t>
      </w:r>
      <w:r>
        <w:rPr>
          <w:rFonts w:hint="eastAsia" w:ascii="仿宋_GB2312" w:hAnsi="仿宋_GB2312" w:eastAsia="仿宋_GB2312" w:cs="仿宋_GB2312"/>
          <w:color w:val="auto"/>
          <w:sz w:val="28"/>
          <w:szCs w:val="28"/>
          <w:highlight w:val="none"/>
          <w:u w:val="single"/>
          <w:lang w:eastAsia="zh-CN"/>
        </w:rPr>
        <w:t>（</w:t>
      </w:r>
      <w:r>
        <w:rPr>
          <w:rFonts w:hint="eastAsia" w:ascii="仿宋_GB2312" w:hAnsi="仿宋_GB2312" w:eastAsia="仿宋_GB2312" w:cs="仿宋_GB2312"/>
          <w:color w:val="auto"/>
          <w:sz w:val="28"/>
          <w:szCs w:val="28"/>
          <w:highlight w:val="none"/>
          <w:u w:val="single"/>
          <w:lang w:val="en-US" w:eastAsia="zh-CN"/>
        </w:rPr>
        <w:t>身份证号码</w:t>
      </w:r>
      <w:r>
        <w:rPr>
          <w:rFonts w:hint="eastAsia" w:ascii="仿宋_GB2312" w:hAnsi="仿宋_GB2312" w:eastAsia="仿宋_GB2312" w:cs="仿宋_GB2312"/>
          <w:color w:val="auto"/>
          <w:sz w:val="28"/>
          <w:szCs w:val="28"/>
          <w:highlight w:val="none"/>
          <w:u w:val="single"/>
          <w:lang w:eastAsia="zh-CN"/>
        </w:rPr>
        <w:t>）</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系</w:t>
      </w:r>
      <w:r>
        <w:rPr>
          <w:rFonts w:hint="eastAsia" w:ascii="仿宋_GB2312" w:hAnsi="仿宋_GB2312" w:eastAsia="仿宋_GB2312" w:cs="仿宋_GB2312"/>
          <w:color w:val="auto"/>
          <w:sz w:val="28"/>
          <w:szCs w:val="28"/>
          <w:highlight w:val="none"/>
          <w:u w:val="single"/>
        </w:rPr>
        <w:t xml:space="preserve">             （报名单位名称） </w:t>
      </w:r>
      <w:r>
        <w:rPr>
          <w:rFonts w:hint="eastAsia" w:ascii="仿宋_GB2312" w:hAnsi="仿宋_GB2312" w:eastAsia="仿宋_GB2312" w:cs="仿宋_GB2312"/>
          <w:color w:val="auto"/>
          <w:sz w:val="28"/>
          <w:szCs w:val="28"/>
          <w:highlight w:val="none"/>
        </w:rPr>
        <w:t>的法定代表人/负责人，现授权委托</w:t>
      </w:r>
      <w:r>
        <w:rPr>
          <w:rFonts w:hint="eastAsia" w:ascii="仿宋_GB2312" w:hAnsi="仿宋_GB2312" w:eastAsia="仿宋_GB2312" w:cs="仿宋_GB2312"/>
          <w:color w:val="auto"/>
          <w:sz w:val="28"/>
          <w:szCs w:val="28"/>
          <w:highlight w:val="none"/>
          <w:u w:val="single"/>
        </w:rPr>
        <w:t xml:space="preserve">   （姓名）</w:t>
      </w:r>
      <w:r>
        <w:rPr>
          <w:rFonts w:hint="eastAsia" w:ascii="仿宋_GB2312" w:hAnsi="仿宋_GB2312" w:eastAsia="仿宋_GB2312" w:cs="仿宋_GB2312"/>
          <w:color w:val="auto"/>
          <w:sz w:val="28"/>
          <w:szCs w:val="28"/>
          <w:highlight w:val="none"/>
          <w:u w:val="single"/>
          <w:lang w:val="en-US" w:eastAsia="zh-CN"/>
        </w:rPr>
        <w:t>，</w:t>
      </w:r>
      <w:r>
        <w:rPr>
          <w:rFonts w:hint="eastAsia" w:ascii="仿宋_GB2312" w:hAnsi="仿宋_GB2312" w:eastAsia="仿宋_GB2312" w:cs="仿宋_GB2312"/>
          <w:color w:val="auto"/>
          <w:sz w:val="28"/>
          <w:szCs w:val="28"/>
          <w:highlight w:val="none"/>
          <w:u w:val="single"/>
          <w:lang w:eastAsia="zh-CN"/>
        </w:rPr>
        <w:t>（</w:t>
      </w:r>
      <w:r>
        <w:rPr>
          <w:rFonts w:hint="eastAsia" w:ascii="仿宋_GB2312" w:hAnsi="仿宋_GB2312" w:eastAsia="仿宋_GB2312" w:cs="仿宋_GB2312"/>
          <w:color w:val="auto"/>
          <w:sz w:val="28"/>
          <w:szCs w:val="28"/>
          <w:highlight w:val="none"/>
          <w:u w:val="single"/>
          <w:lang w:val="en-US" w:eastAsia="zh-CN"/>
        </w:rPr>
        <w:t>身份证号码</w:t>
      </w:r>
      <w:r>
        <w:rPr>
          <w:rFonts w:hint="eastAsia" w:ascii="仿宋_GB2312" w:hAnsi="仿宋_GB2312" w:eastAsia="仿宋_GB2312" w:cs="仿宋_GB2312"/>
          <w:color w:val="auto"/>
          <w:sz w:val="28"/>
          <w:szCs w:val="28"/>
          <w:highlight w:val="none"/>
          <w:u w:val="single"/>
          <w:lang w:eastAsia="zh-CN"/>
        </w:rPr>
        <w:t>）</w:t>
      </w:r>
      <w:r>
        <w:rPr>
          <w:rFonts w:hint="eastAsia" w:ascii="仿宋_GB2312" w:hAnsi="仿宋_GB2312" w:eastAsia="仿宋_GB2312" w:cs="仿宋_GB2312"/>
          <w:color w:val="auto"/>
          <w:sz w:val="28"/>
          <w:szCs w:val="28"/>
          <w:highlight w:val="none"/>
        </w:rPr>
        <w:t>在</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年</w:t>
      </w:r>
      <w:r>
        <w:rPr>
          <w:rFonts w:hint="eastAsia" w:ascii="仿宋_GB2312" w:hAnsi="仿宋_GB2312" w:eastAsia="仿宋_GB2312" w:cs="仿宋_GB2312"/>
          <w:color w:val="auto"/>
          <w:sz w:val="28"/>
          <w:szCs w:val="28"/>
          <w:highlight w:val="none"/>
          <w:u w:val="single"/>
        </w:rPr>
        <w:t xml:space="preserve">  月  </w:t>
      </w:r>
      <w:r>
        <w:rPr>
          <w:rFonts w:hint="eastAsia" w:ascii="仿宋_GB2312" w:hAnsi="仿宋_GB2312" w:eastAsia="仿宋_GB2312" w:cs="仿宋_GB2312"/>
          <w:color w:val="auto"/>
          <w:sz w:val="28"/>
          <w:szCs w:val="28"/>
          <w:highlight w:val="none"/>
        </w:rPr>
        <w:t>日至</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年</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月</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日（代理时限）为我公司的代理人，以本公司的名义参加</w:t>
      </w:r>
      <w:r>
        <w:rPr>
          <w:rFonts w:hint="eastAsia" w:ascii="仿宋_GB2312" w:hAnsi="仿宋_GB2312" w:eastAsia="仿宋_GB2312" w:cs="仿宋_GB2312"/>
          <w:color w:val="auto"/>
          <w:sz w:val="28"/>
          <w:szCs w:val="28"/>
          <w:highlight w:val="none"/>
          <w:u w:val="single"/>
          <w:lang w:val="en-US" w:eastAsia="zh-CN"/>
        </w:rPr>
        <w:t>苏州中国太平金融大厦2026年度20KV高压变电站委托管理服务采购项目的供应商寻源报名活动</w:t>
      </w:r>
      <w:r>
        <w:rPr>
          <w:rFonts w:hint="eastAsia" w:ascii="仿宋_GB2312" w:hAnsi="仿宋_GB2312" w:eastAsia="仿宋_GB2312" w:cs="仿宋_GB2312"/>
          <w:color w:val="auto"/>
          <w:sz w:val="28"/>
          <w:szCs w:val="28"/>
          <w:highlight w:val="none"/>
        </w:rPr>
        <w:t>。代理人在代理时间内参加报名</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过程中所签署的一切文件和处理与之相关的一切事务，本人均予以承认。</w:t>
      </w:r>
    </w:p>
    <w:p>
      <w:pPr>
        <w:spacing w:line="50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代理人无权转委托。特此委托。</w:t>
      </w:r>
    </w:p>
    <w:p>
      <w:pPr>
        <w:tabs>
          <w:tab w:val="left" w:pos="482"/>
          <w:tab w:val="left" w:pos="2183"/>
          <w:tab w:val="left" w:pos="3884"/>
          <w:tab w:val="left" w:pos="5585"/>
        </w:tabs>
        <w:spacing w:line="50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附</w:t>
      </w:r>
    </w:p>
    <w:tbl>
      <w:tblPr>
        <w:tblStyle w:val="15"/>
        <w:tblW w:w="6940" w:type="dxa"/>
        <w:tblInd w:w="11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trPr>
        <w:tc>
          <w:tcPr>
            <w:tcW w:w="6940" w:type="dxa"/>
            <w:vAlign w:val="center"/>
          </w:tcPr>
          <w:p>
            <w:pPr>
              <w:tabs>
                <w:tab w:val="left" w:leader="middleDot" w:pos="8400"/>
              </w:tabs>
              <w:spacing w:line="360" w:lineRule="auto"/>
              <w:jc w:val="center"/>
              <w:rPr>
                <w:rFonts w:ascii="宋体" w:hAnsi="宋体"/>
                <w:color w:val="auto"/>
                <w:highlight w:val="none"/>
              </w:rPr>
            </w:pPr>
            <w:r>
              <w:rPr>
                <w:rFonts w:hint="eastAsia" w:ascii="宋体" w:hAnsi="宋体"/>
                <w:color w:val="auto"/>
                <w:highlight w:val="none"/>
              </w:rPr>
              <w:t>代理人身份证正面复印件粘贴处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8" w:hRule="atLeast"/>
        </w:trPr>
        <w:tc>
          <w:tcPr>
            <w:tcW w:w="6940" w:type="dxa"/>
            <w:vAlign w:val="center"/>
          </w:tcPr>
          <w:p>
            <w:pPr>
              <w:tabs>
                <w:tab w:val="left" w:leader="middleDot" w:pos="8400"/>
              </w:tabs>
              <w:spacing w:line="360" w:lineRule="auto"/>
              <w:jc w:val="center"/>
              <w:rPr>
                <w:rFonts w:ascii="宋体" w:hAnsi="宋体"/>
                <w:color w:val="auto"/>
                <w:highlight w:val="none"/>
              </w:rPr>
            </w:pPr>
            <w:r>
              <w:rPr>
                <w:rFonts w:hint="eastAsia" w:ascii="宋体" w:hAnsi="宋体"/>
                <w:color w:val="auto"/>
                <w:highlight w:val="none"/>
              </w:rPr>
              <w:t>代理人身份证背面复印件粘贴处</w:t>
            </w:r>
          </w:p>
        </w:tc>
      </w:tr>
    </w:tbl>
    <w:p>
      <w:pPr>
        <w:tabs>
          <w:tab w:val="left" w:leader="middleDot" w:pos="8400"/>
        </w:tabs>
        <w:spacing w:line="360" w:lineRule="auto"/>
        <w:ind w:firstLine="2520" w:firstLineChars="900"/>
        <w:rPr>
          <w:rFonts w:hint="eastAsia"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报名单位（单位盖章）：</w:t>
      </w:r>
      <w:r>
        <w:rPr>
          <w:rFonts w:hint="eastAsia" w:ascii="仿宋_GB2312" w:hAnsi="仿宋_GB2312" w:eastAsia="仿宋_GB2312" w:cs="仿宋_GB2312"/>
          <w:color w:val="auto"/>
          <w:sz w:val="28"/>
          <w:szCs w:val="28"/>
          <w:highlight w:val="none"/>
          <w:u w:val="single"/>
        </w:rPr>
        <w:t xml:space="preserve">                         </w:t>
      </w:r>
    </w:p>
    <w:p>
      <w:pPr>
        <w:tabs>
          <w:tab w:val="left" w:leader="middleDot" w:pos="8400"/>
        </w:tabs>
        <w:spacing w:line="360" w:lineRule="auto"/>
        <w:ind w:firstLine="2520" w:firstLineChars="900"/>
        <w:rPr>
          <w:rFonts w:hint="eastAsia"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 xml:space="preserve">法定代表人/负责人（签字或盖章）： </w:t>
      </w:r>
      <w:r>
        <w:rPr>
          <w:rFonts w:hint="eastAsia" w:ascii="仿宋_GB2312" w:hAnsi="仿宋_GB2312" w:eastAsia="仿宋_GB2312" w:cs="仿宋_GB2312"/>
          <w:color w:val="auto"/>
          <w:sz w:val="28"/>
          <w:szCs w:val="28"/>
          <w:highlight w:val="none"/>
          <w:u w:val="single"/>
        </w:rPr>
        <w:t xml:space="preserve">              </w:t>
      </w:r>
    </w:p>
    <w:p>
      <w:pPr>
        <w:numPr>
          <w:ilvl w:val="2"/>
          <w:numId w:val="0"/>
        </w:numPr>
        <w:tabs>
          <w:tab w:val="left" w:leader="middleDot" w:pos="8400"/>
        </w:tabs>
        <w:spacing w:line="360" w:lineRule="auto"/>
        <w:ind w:firstLine="2520" w:firstLineChars="900"/>
        <w:rPr>
          <w:rFonts w:hint="default"/>
          <w:highlight w:val="none"/>
          <w:lang w:val="en-US" w:eastAsia="zh-CN"/>
        </w:rPr>
      </w:pPr>
      <w:r>
        <w:rPr>
          <w:rFonts w:hint="eastAsia" w:ascii="仿宋_GB2312" w:hAnsi="仿宋_GB2312" w:eastAsia="仿宋_GB2312" w:cs="仿宋_GB2312"/>
          <w:color w:val="auto"/>
          <w:sz w:val="28"/>
          <w:szCs w:val="28"/>
          <w:highlight w:val="none"/>
        </w:rPr>
        <w:t>日期：</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 xml:space="preserve">年 </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 xml:space="preserve">月 </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日</w:t>
      </w:r>
    </w:p>
    <w:p>
      <w:pPr>
        <w:pStyle w:val="2"/>
        <w:outlineLvl w:val="0"/>
        <w:rPr>
          <w:rFonts w:hint="default" w:ascii="仿宋_GB2312" w:hAnsi="仿宋" w:eastAsia="仿宋_GB2312" w:cs="Times New Roman"/>
          <w:color w:val="auto"/>
          <w:sz w:val="28"/>
          <w:szCs w:val="28"/>
          <w:highlight w:val="none"/>
          <w:lang w:val="en-US" w:eastAsia="zh-CN"/>
        </w:rPr>
      </w:pPr>
      <w:r>
        <w:rPr>
          <w:rFonts w:hint="default" w:ascii="仿宋_GB2312" w:hAnsi="仿宋" w:eastAsia="仿宋_GB2312" w:cs="Times New Roman"/>
          <w:color w:val="auto"/>
          <w:sz w:val="28"/>
          <w:szCs w:val="28"/>
          <w:highlight w:val="none"/>
          <w:lang w:val="en-US" w:eastAsia="zh-CN"/>
        </w:rPr>
        <w:t>附件</w:t>
      </w:r>
      <w:r>
        <w:rPr>
          <w:rFonts w:hint="eastAsia" w:ascii="仿宋_GB2312" w:hAnsi="仿宋" w:eastAsia="仿宋_GB2312" w:cs="Times New Roman"/>
          <w:color w:val="auto"/>
          <w:sz w:val="28"/>
          <w:szCs w:val="28"/>
          <w:highlight w:val="none"/>
          <w:lang w:val="en-US" w:eastAsia="zh-CN"/>
        </w:rPr>
        <w:t>3</w:t>
      </w:r>
      <w:r>
        <w:rPr>
          <w:rFonts w:hint="default" w:ascii="仿宋_GB2312" w:hAnsi="仿宋" w:eastAsia="仿宋_GB2312" w:cs="Times New Roman"/>
          <w:color w:val="auto"/>
          <w:sz w:val="28"/>
          <w:szCs w:val="28"/>
          <w:highlight w:val="none"/>
          <w:lang w:val="en-US" w:eastAsia="zh-CN"/>
        </w:rPr>
        <w:t>：</w:t>
      </w:r>
    </w:p>
    <w:p>
      <w:pPr>
        <w:pStyle w:val="2"/>
        <w:jc w:val="center"/>
        <w:outlineLvl w:val="0"/>
        <w:rPr>
          <w:rFonts w:hint="default" w:ascii="仿宋_GB2312" w:hAnsi="仿宋" w:eastAsia="仿宋_GB2312" w:cs="Times New Roman"/>
          <w:color w:val="auto"/>
          <w:sz w:val="28"/>
          <w:szCs w:val="28"/>
          <w:highlight w:val="none"/>
          <w:lang w:val="en-US" w:eastAsia="zh-CN"/>
        </w:rPr>
      </w:pPr>
      <w:r>
        <w:rPr>
          <w:rFonts w:hint="default" w:ascii="宋体" w:hAnsi="宋体" w:eastAsia="宋体" w:cs="宋体"/>
          <w:b/>
          <w:color w:val="auto"/>
          <w:kern w:val="2"/>
          <w:sz w:val="36"/>
          <w:szCs w:val="36"/>
          <w:highlight w:val="none"/>
          <w:lang w:val="en-US" w:eastAsia="zh-CN" w:bidi="ar-SA"/>
        </w:rPr>
        <w:t>信用网站查询结果示意</w:t>
      </w:r>
    </w:p>
    <w:p>
      <w:pPr>
        <w:pStyle w:val="10"/>
        <w:keepNext w:val="0"/>
        <w:keepLines w:val="0"/>
        <w:pageBreakBefore w:val="0"/>
        <w:widowControl/>
        <w:numPr>
          <w:ilvl w:val="-1"/>
          <w:numId w:val="0"/>
        </w:numPr>
        <w:kinsoku/>
        <w:wordWrap/>
        <w:overflowPunct/>
        <w:topLinePunct w:val="0"/>
        <w:autoSpaceDE/>
        <w:autoSpaceDN/>
        <w:bidi w:val="0"/>
        <w:adjustRightInd/>
        <w:snapToGrid/>
        <w:spacing w:line="560" w:lineRule="exact"/>
        <w:ind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r>
        <w:rPr>
          <w:rFonts w:hint="default" w:ascii="仿宋_GB2312" w:hAnsi="仿宋" w:eastAsia="仿宋_GB2312" w:cs="Times New Roman"/>
          <w:b w:val="0"/>
          <w:bCs w:val="0"/>
          <w:color w:val="auto"/>
          <w:kern w:val="2"/>
          <w:sz w:val="28"/>
          <w:szCs w:val="28"/>
          <w:highlight w:val="none"/>
          <w:lang w:val="en-US" w:eastAsia="zh-CN" w:bidi="ar-SA"/>
        </w:rPr>
        <w:t>注：以下信用网站查询结果截图为示意图，仅供报名人参照，报名人须提供自身的信用网站查询结果截图。</w:t>
      </w: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1.</w:t>
      </w:r>
      <w:r>
        <w:rPr>
          <w:rFonts w:hint="default" w:ascii="仿宋_GB2312" w:hAnsi="仿宋" w:eastAsia="仿宋_GB2312" w:cs="Times New Roman"/>
          <w:b w:val="0"/>
          <w:bCs w:val="0"/>
          <w:color w:val="auto"/>
          <w:kern w:val="2"/>
          <w:sz w:val="28"/>
          <w:szCs w:val="28"/>
          <w:highlight w:val="none"/>
          <w:lang w:val="en-US" w:eastAsia="zh-CN" w:bidi="ar-SA"/>
        </w:rPr>
        <w:t>未被“国家企业信用信息公示系统”网列入经营异常企业名单（曾被列入已经移出的除外）和严重违法失信企业名单（查询网址：</w:t>
      </w:r>
      <w:r>
        <w:rPr>
          <w:rFonts w:hint="default" w:ascii="仿宋_GB2312" w:hAnsi="仿宋" w:eastAsia="仿宋_GB2312" w:cs="Times New Roman"/>
          <w:b w:val="0"/>
          <w:bCs w:val="0"/>
          <w:color w:val="auto"/>
          <w:kern w:val="2"/>
          <w:sz w:val="28"/>
          <w:szCs w:val="28"/>
          <w:highlight w:val="none"/>
          <w:lang w:val="en-US" w:eastAsia="zh-CN" w:bidi="ar-SA"/>
        </w:rPr>
        <w:fldChar w:fldCharType="begin"/>
      </w:r>
      <w:r>
        <w:rPr>
          <w:rFonts w:hint="default" w:ascii="仿宋_GB2312" w:hAnsi="仿宋" w:eastAsia="仿宋_GB2312" w:cs="Times New Roman"/>
          <w:b w:val="0"/>
          <w:bCs w:val="0"/>
          <w:color w:val="auto"/>
          <w:kern w:val="2"/>
          <w:sz w:val="28"/>
          <w:szCs w:val="28"/>
          <w:highlight w:val="none"/>
          <w:lang w:val="en-US" w:eastAsia="zh-CN" w:bidi="ar-SA"/>
        </w:rPr>
        <w:instrText xml:space="preserve"> HYPERLINK "http://www.gsxt.gov.cn/）。" </w:instrText>
      </w:r>
      <w:r>
        <w:rPr>
          <w:rFonts w:hint="default" w:ascii="仿宋_GB2312" w:hAnsi="仿宋" w:eastAsia="仿宋_GB2312" w:cs="Times New Roman"/>
          <w:b w:val="0"/>
          <w:bCs w:val="0"/>
          <w:color w:val="auto"/>
          <w:kern w:val="2"/>
          <w:sz w:val="28"/>
          <w:szCs w:val="28"/>
          <w:highlight w:val="none"/>
          <w:lang w:val="en-US" w:eastAsia="zh-CN" w:bidi="ar-SA"/>
        </w:rPr>
        <w:fldChar w:fldCharType="separate"/>
      </w:r>
      <w:r>
        <w:rPr>
          <w:rStyle w:val="23"/>
          <w:rFonts w:hint="default" w:ascii="仿宋_GB2312" w:hAnsi="仿宋" w:eastAsia="仿宋_GB2312" w:cs="Times New Roman"/>
          <w:b w:val="0"/>
          <w:bCs w:val="0"/>
          <w:color w:val="auto"/>
          <w:kern w:val="2"/>
          <w:sz w:val="28"/>
          <w:szCs w:val="28"/>
          <w:highlight w:val="none"/>
          <w:lang w:val="en-US" w:eastAsia="zh-CN" w:bidi="ar-SA"/>
        </w:rPr>
        <w:t>http://www.gsxt.gov.cn/）</w:t>
      </w:r>
      <w:r>
        <w:rPr>
          <w:rFonts w:hint="default" w:ascii="仿宋_GB2312" w:hAnsi="仿宋" w:eastAsia="仿宋_GB2312" w:cs="Times New Roman"/>
          <w:b w:val="0"/>
          <w:bCs w:val="0"/>
          <w:color w:val="auto"/>
          <w:kern w:val="2"/>
          <w:sz w:val="28"/>
          <w:szCs w:val="28"/>
          <w:highlight w:val="none"/>
          <w:lang w:val="en-US" w:eastAsia="zh-CN" w:bidi="ar-SA"/>
        </w:rPr>
        <w:fldChar w:fldCharType="end"/>
      </w:r>
    </w:p>
    <w:p>
      <w:pPr>
        <w:pStyle w:val="27"/>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textAlignment w:val="auto"/>
        <w:outlineLvl w:val="2"/>
        <w:rPr>
          <w:color w:val="auto"/>
          <w:highlight w:val="none"/>
        </w:rPr>
      </w:pPr>
      <w:r>
        <w:rPr>
          <w:color w:val="auto"/>
          <w:highlight w:val="none"/>
        </w:rPr>
        <w:drawing>
          <wp:anchor distT="0" distB="0" distL="114300" distR="114300" simplePos="0" relativeHeight="251660288" behindDoc="0" locked="0" layoutInCell="1" allowOverlap="1">
            <wp:simplePos x="0" y="0"/>
            <wp:positionH relativeFrom="column">
              <wp:posOffset>-137160</wp:posOffset>
            </wp:positionH>
            <wp:positionV relativeFrom="paragraph">
              <wp:posOffset>123190</wp:posOffset>
            </wp:positionV>
            <wp:extent cx="5000625" cy="2923540"/>
            <wp:effectExtent l="0" t="0" r="9525" b="10160"/>
            <wp:wrapSquare wrapText="bothSides"/>
            <wp:docPr id="3" name="图片 3" descr="经营异常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经营异常1"/>
                    <pic:cNvPicPr>
                      <a:picLocks noChangeAspect="1"/>
                    </pic:cNvPicPr>
                  </pic:nvPicPr>
                  <pic:blipFill>
                    <a:blip r:embed="rId5"/>
                    <a:stretch>
                      <a:fillRect/>
                    </a:stretch>
                  </pic:blipFill>
                  <pic:spPr>
                    <a:xfrm>
                      <a:off x="0" y="0"/>
                      <a:ext cx="5000625" cy="2923540"/>
                    </a:xfrm>
                    <a:prstGeom prst="rect">
                      <a:avLst/>
                    </a:prstGeom>
                  </pic:spPr>
                </pic:pic>
              </a:graphicData>
            </a:graphic>
          </wp:anchor>
        </w:drawing>
      </w:r>
    </w:p>
    <w:p>
      <w:pPr>
        <w:pStyle w:val="27"/>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textAlignment w:val="auto"/>
        <w:outlineLvl w:val="2"/>
        <w:rPr>
          <w:color w:val="auto"/>
          <w:highlight w:val="none"/>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textAlignment w:val="auto"/>
        <w:outlineLvl w:val="2"/>
        <w:rPr>
          <w:color w:val="auto"/>
          <w:highlight w:val="none"/>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textAlignment w:val="auto"/>
        <w:outlineLvl w:val="2"/>
        <w:rPr>
          <w:color w:val="auto"/>
          <w:highlight w:val="none"/>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textAlignment w:val="auto"/>
        <w:outlineLvl w:val="2"/>
        <w:rPr>
          <w:rFonts w:hint="default"/>
          <w:color w:val="auto"/>
          <w:highlight w:val="none"/>
          <w:lang w:val="en-US" w:eastAsia="zh-CN"/>
        </w:rPr>
      </w:pPr>
    </w:p>
    <w:p>
      <w:pPr>
        <w:pStyle w:val="27"/>
        <w:keepNext w:val="0"/>
        <w:keepLines w:val="0"/>
        <w:pageBreakBefore w:val="0"/>
        <w:widowControl/>
        <w:numPr>
          <w:ilvl w:val="2"/>
          <w:numId w:val="0"/>
        </w:numPr>
        <w:kinsoku/>
        <w:wordWrap/>
        <w:overflowPunct/>
        <w:topLinePunct w:val="0"/>
        <w:autoSpaceDE/>
        <w:autoSpaceDN/>
        <w:bidi w:val="0"/>
        <w:adjustRightInd/>
        <w:snapToGrid/>
        <w:spacing w:line="560" w:lineRule="exact"/>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48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r>
        <w:rPr>
          <w:color w:val="auto"/>
          <w:highlight w:val="none"/>
        </w:rPr>
        <w:drawing>
          <wp:anchor distT="0" distB="0" distL="114300" distR="114300" simplePos="0" relativeHeight="251661312" behindDoc="0" locked="0" layoutInCell="1" allowOverlap="1">
            <wp:simplePos x="0" y="0"/>
            <wp:positionH relativeFrom="column">
              <wp:posOffset>-5135245</wp:posOffset>
            </wp:positionH>
            <wp:positionV relativeFrom="paragraph">
              <wp:posOffset>319405</wp:posOffset>
            </wp:positionV>
            <wp:extent cx="5003165" cy="2936240"/>
            <wp:effectExtent l="0" t="0" r="6985" b="16510"/>
            <wp:wrapSquare wrapText="bothSides"/>
            <wp:docPr id="12" name="图片 12" descr="严重违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严重违法"/>
                    <pic:cNvPicPr>
                      <a:picLocks noChangeAspect="1"/>
                    </pic:cNvPicPr>
                  </pic:nvPicPr>
                  <pic:blipFill>
                    <a:blip r:embed="rId6"/>
                    <a:stretch>
                      <a:fillRect/>
                    </a:stretch>
                  </pic:blipFill>
                  <pic:spPr>
                    <a:xfrm>
                      <a:off x="0" y="0"/>
                      <a:ext cx="5003165" cy="2936240"/>
                    </a:xfrm>
                    <a:prstGeom prst="rect">
                      <a:avLst/>
                    </a:prstGeom>
                  </pic:spPr>
                </pic:pic>
              </a:graphicData>
            </a:graphic>
          </wp:anchor>
        </w:drawing>
      </w: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p>
    <w:p>
      <w:pPr>
        <w:pStyle w:val="27"/>
        <w:keepNext w:val="0"/>
        <w:keepLines w:val="0"/>
        <w:pageBreakBefore w:val="0"/>
        <w:widowControl/>
        <w:numPr>
          <w:ilvl w:val="-1"/>
          <w:numId w:val="0"/>
        </w:numPr>
        <w:kinsoku/>
        <w:wordWrap/>
        <w:overflowPunct/>
        <w:topLinePunct w:val="0"/>
        <w:autoSpaceDE/>
        <w:autoSpaceDN/>
        <w:bidi w:val="0"/>
        <w:adjustRightInd/>
        <w:snapToGrid/>
        <w:spacing w:line="560" w:lineRule="exact"/>
        <w:ind w:firstLine="560" w:firstLineChars="20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2.</w:t>
      </w:r>
      <w:r>
        <w:rPr>
          <w:rFonts w:hint="default" w:ascii="仿宋_GB2312" w:hAnsi="仿宋" w:eastAsia="仿宋_GB2312" w:cs="Times New Roman"/>
          <w:b w:val="0"/>
          <w:bCs w:val="0"/>
          <w:color w:val="auto"/>
          <w:kern w:val="2"/>
          <w:sz w:val="28"/>
          <w:szCs w:val="28"/>
          <w:highlight w:val="none"/>
          <w:lang w:val="en-US" w:eastAsia="zh-CN" w:bidi="ar-SA"/>
        </w:rPr>
        <w:t>未被“信用中国”网列入严重失信主体名单（查询网址：</w:t>
      </w:r>
      <w:r>
        <w:rPr>
          <w:rFonts w:hint="default" w:ascii="仿宋_GB2312" w:hAnsi="仿宋" w:eastAsia="仿宋_GB2312" w:cs="Times New Roman"/>
          <w:b w:val="0"/>
          <w:bCs w:val="0"/>
          <w:color w:val="auto"/>
          <w:kern w:val="2"/>
          <w:sz w:val="28"/>
          <w:szCs w:val="28"/>
          <w:highlight w:val="none"/>
          <w:lang w:val="en-US" w:eastAsia="zh-CN" w:bidi="ar-SA"/>
        </w:rPr>
        <w:fldChar w:fldCharType="begin"/>
      </w:r>
      <w:r>
        <w:rPr>
          <w:rFonts w:hint="default" w:ascii="仿宋_GB2312" w:hAnsi="仿宋" w:eastAsia="仿宋_GB2312" w:cs="Times New Roman"/>
          <w:b w:val="0"/>
          <w:bCs w:val="0"/>
          <w:color w:val="auto"/>
          <w:kern w:val="2"/>
          <w:sz w:val="28"/>
          <w:szCs w:val="28"/>
          <w:highlight w:val="none"/>
          <w:lang w:val="en-US" w:eastAsia="zh-CN" w:bidi="ar-SA"/>
        </w:rPr>
        <w:instrText xml:space="preserve"> HYPERLINK "http://www.creditchina.gov.cn/）。" </w:instrText>
      </w:r>
      <w:r>
        <w:rPr>
          <w:rFonts w:hint="default" w:ascii="仿宋_GB2312" w:hAnsi="仿宋" w:eastAsia="仿宋_GB2312" w:cs="Times New Roman"/>
          <w:b w:val="0"/>
          <w:bCs w:val="0"/>
          <w:color w:val="auto"/>
          <w:kern w:val="2"/>
          <w:sz w:val="28"/>
          <w:szCs w:val="28"/>
          <w:highlight w:val="none"/>
          <w:lang w:val="en-US" w:eastAsia="zh-CN" w:bidi="ar-SA"/>
        </w:rPr>
        <w:fldChar w:fldCharType="separate"/>
      </w:r>
      <w:r>
        <w:rPr>
          <w:rStyle w:val="23"/>
          <w:rFonts w:hint="default" w:ascii="仿宋_GB2312" w:hAnsi="仿宋" w:eastAsia="仿宋_GB2312" w:cs="Times New Roman"/>
          <w:b w:val="0"/>
          <w:bCs w:val="0"/>
          <w:color w:val="auto"/>
          <w:kern w:val="2"/>
          <w:sz w:val="28"/>
          <w:szCs w:val="28"/>
          <w:highlight w:val="none"/>
          <w:lang w:val="en-US" w:eastAsia="zh-CN" w:bidi="ar-SA"/>
        </w:rPr>
        <w:t>http://www.creditchina.gov.cn/）</w:t>
      </w:r>
      <w:r>
        <w:rPr>
          <w:rFonts w:hint="default" w:ascii="仿宋_GB2312" w:hAnsi="仿宋" w:eastAsia="仿宋_GB2312" w:cs="Times New Roman"/>
          <w:b w:val="0"/>
          <w:bCs w:val="0"/>
          <w:color w:val="auto"/>
          <w:kern w:val="2"/>
          <w:sz w:val="28"/>
          <w:szCs w:val="28"/>
          <w:highlight w:val="none"/>
          <w:lang w:val="en-US" w:eastAsia="zh-CN" w:bidi="ar-SA"/>
        </w:rPr>
        <w:fldChar w:fldCharType="end"/>
      </w:r>
    </w:p>
    <w:p>
      <w:pPr>
        <w:pStyle w:val="27"/>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textAlignment w:val="auto"/>
        <w:outlineLvl w:val="2"/>
        <w:rPr>
          <w:rFonts w:hint="default" w:ascii="仿宋_GB2312" w:hAnsi="仿宋" w:eastAsia="仿宋_GB2312" w:cs="Times New Roman"/>
          <w:b w:val="0"/>
          <w:bCs w:val="0"/>
          <w:color w:val="auto"/>
          <w:kern w:val="2"/>
          <w:sz w:val="28"/>
          <w:szCs w:val="28"/>
          <w:highlight w:val="none"/>
          <w:lang w:val="en-US" w:eastAsia="zh-CN" w:bidi="ar-SA"/>
        </w:rPr>
      </w:pPr>
      <w:r>
        <w:rPr>
          <w:color w:val="auto"/>
          <w:highlight w:val="none"/>
        </w:rPr>
        <w:drawing>
          <wp:inline distT="0" distB="0" distL="114300" distR="114300">
            <wp:extent cx="5181600" cy="3228975"/>
            <wp:effectExtent l="0" t="0" r="0" b="9525"/>
            <wp:docPr id="4" name="图片 4" descr="信用中国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信用中国1"/>
                    <pic:cNvPicPr>
                      <a:picLocks noChangeAspect="1"/>
                    </pic:cNvPicPr>
                  </pic:nvPicPr>
                  <pic:blipFill>
                    <a:blip r:embed="rId7"/>
                    <a:stretch>
                      <a:fillRect/>
                    </a:stretch>
                  </pic:blipFill>
                  <pic:spPr>
                    <a:xfrm>
                      <a:off x="0" y="0"/>
                      <a:ext cx="5181600" cy="3228975"/>
                    </a:xfrm>
                    <a:prstGeom prst="rect">
                      <a:avLst/>
                    </a:prstGeom>
                  </pic:spPr>
                </pic:pic>
              </a:graphicData>
            </a:graphic>
          </wp:inline>
        </w:drawing>
      </w:r>
    </w:p>
    <w:p>
      <w:pPr>
        <w:pStyle w:val="27"/>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或</w:t>
      </w:r>
    </w:p>
    <w:p>
      <w:pPr>
        <w:pStyle w:val="27"/>
        <w:keepNext w:val="0"/>
        <w:keepLines w:val="0"/>
        <w:pageBreakBefore w:val="0"/>
        <w:widowControl/>
        <w:numPr>
          <w:ilvl w:val="2"/>
          <w:numId w:val="0"/>
        </w:numPr>
        <w:kinsoku/>
        <w:wordWrap/>
        <w:overflowPunct/>
        <w:topLinePunct w:val="0"/>
        <w:autoSpaceDE/>
        <w:autoSpaceDN/>
        <w:bidi w:val="0"/>
        <w:adjustRightInd/>
        <w:snapToGrid/>
        <w:spacing w:line="240" w:lineRule="auto"/>
        <w:ind w:firstLine="0" w:firstLineChars="0"/>
        <w:textAlignment w:val="auto"/>
        <w:outlineLvl w:val="2"/>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drawing>
          <wp:inline distT="0" distB="0" distL="114300" distR="114300">
            <wp:extent cx="5269230" cy="4024630"/>
            <wp:effectExtent l="0" t="0" r="7620" b="13970"/>
            <wp:docPr id="2" name="图片 2" descr="CPQ9L9467K0298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PQ9L9467K0298C8"/>
                    <pic:cNvPicPr>
                      <a:picLocks noChangeAspect="1"/>
                    </pic:cNvPicPr>
                  </pic:nvPicPr>
                  <pic:blipFill>
                    <a:blip r:embed="rId8"/>
                    <a:stretch>
                      <a:fillRect/>
                    </a:stretch>
                  </pic:blipFill>
                  <pic:spPr>
                    <a:xfrm>
                      <a:off x="0" y="0"/>
                      <a:ext cx="5269230" cy="4024630"/>
                    </a:xfrm>
                    <a:prstGeom prst="rect">
                      <a:avLst/>
                    </a:prstGeom>
                  </pic:spPr>
                </pic:pic>
              </a:graphicData>
            </a:graphic>
          </wp:inline>
        </w:drawing>
      </w:r>
    </w:p>
    <w:p>
      <w:pPr>
        <w:pStyle w:val="27"/>
        <w:keepNext w:val="0"/>
        <w:keepLines w:val="0"/>
        <w:pageBreakBefore w:val="0"/>
        <w:widowControl/>
        <w:numPr>
          <w:ilvl w:val="2"/>
          <w:numId w:val="0"/>
        </w:numPr>
        <w:kinsoku/>
        <w:wordWrap/>
        <w:overflowPunct/>
        <w:topLinePunct w:val="0"/>
        <w:autoSpaceDE/>
        <w:autoSpaceDN/>
        <w:bidi w:val="0"/>
        <w:adjustRightInd/>
        <w:snapToGrid/>
        <w:spacing w:line="560" w:lineRule="exact"/>
        <w:textAlignment w:val="auto"/>
        <w:outlineLvl w:val="2"/>
        <w:rPr>
          <w:rFonts w:hint="default" w:ascii="仿宋_GB2312" w:hAnsi="仿宋" w:eastAsia="仿宋_GB2312" w:cs="Times New Roman"/>
          <w:b w:val="0"/>
          <w:bCs w:val="0"/>
          <w:color w:val="auto"/>
          <w:kern w:val="2"/>
          <w:sz w:val="28"/>
          <w:szCs w:val="28"/>
          <w:highlight w:val="none"/>
          <w:u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3.</w:t>
      </w:r>
      <w:r>
        <w:rPr>
          <w:rFonts w:hint="default" w:ascii="仿宋_GB2312" w:hAnsi="仿宋" w:eastAsia="仿宋_GB2312" w:cs="Times New Roman"/>
          <w:b w:val="0"/>
          <w:bCs w:val="0"/>
          <w:color w:val="auto"/>
          <w:kern w:val="2"/>
          <w:sz w:val="28"/>
          <w:szCs w:val="28"/>
          <w:highlight w:val="none"/>
          <w:lang w:val="en-US" w:eastAsia="zh-CN" w:bidi="ar-SA"/>
        </w:rPr>
        <w:t>未被“中国执行信息公开网”列入失信被执行人（查询网址：</w:t>
      </w:r>
      <w:r>
        <w:rPr>
          <w:rFonts w:hint="default" w:ascii="仿宋_GB2312" w:hAnsi="仿宋" w:eastAsia="仿宋_GB2312" w:cs="Times New Roman"/>
          <w:b w:val="0"/>
          <w:bCs w:val="0"/>
          <w:color w:val="auto"/>
          <w:kern w:val="2"/>
          <w:sz w:val="28"/>
          <w:szCs w:val="28"/>
          <w:highlight w:val="none"/>
          <w:u w:val="none"/>
          <w:lang w:val="en-US" w:eastAsia="zh-CN" w:bidi="ar-SA"/>
        </w:rPr>
        <w:fldChar w:fldCharType="begin"/>
      </w:r>
      <w:r>
        <w:rPr>
          <w:rFonts w:hint="default" w:ascii="仿宋_GB2312" w:hAnsi="仿宋" w:eastAsia="仿宋_GB2312" w:cs="Times New Roman"/>
          <w:b w:val="0"/>
          <w:bCs w:val="0"/>
          <w:color w:val="auto"/>
          <w:kern w:val="2"/>
          <w:sz w:val="28"/>
          <w:szCs w:val="28"/>
          <w:highlight w:val="none"/>
          <w:u w:val="none"/>
          <w:lang w:val="en-US" w:eastAsia="zh-CN" w:bidi="ar-SA"/>
        </w:rPr>
        <w:instrText xml:space="preserve"> HYPERLINK "http://zxgk.court.gov.cn/）。" </w:instrText>
      </w:r>
      <w:r>
        <w:rPr>
          <w:rFonts w:hint="default" w:ascii="仿宋_GB2312" w:hAnsi="仿宋" w:eastAsia="仿宋_GB2312" w:cs="Times New Roman"/>
          <w:b w:val="0"/>
          <w:bCs w:val="0"/>
          <w:color w:val="auto"/>
          <w:kern w:val="2"/>
          <w:sz w:val="28"/>
          <w:szCs w:val="28"/>
          <w:highlight w:val="none"/>
          <w:u w:val="none"/>
          <w:lang w:val="en-US" w:eastAsia="zh-CN" w:bidi="ar-SA"/>
        </w:rPr>
        <w:fldChar w:fldCharType="separate"/>
      </w:r>
      <w:r>
        <w:rPr>
          <w:rStyle w:val="23"/>
          <w:rFonts w:hint="default" w:ascii="仿宋_GB2312" w:hAnsi="仿宋" w:eastAsia="仿宋_GB2312" w:cs="Times New Roman"/>
          <w:b w:val="0"/>
          <w:bCs w:val="0"/>
          <w:color w:val="auto"/>
          <w:kern w:val="2"/>
          <w:sz w:val="28"/>
          <w:szCs w:val="28"/>
          <w:highlight w:val="none"/>
          <w:u w:val="none"/>
          <w:lang w:val="en-US" w:eastAsia="zh-CN" w:bidi="ar-SA"/>
        </w:rPr>
        <w:t>http://zxgk.court.gov.cn/）</w:t>
      </w:r>
      <w:r>
        <w:rPr>
          <w:rFonts w:hint="default" w:ascii="仿宋_GB2312" w:hAnsi="仿宋" w:eastAsia="仿宋_GB2312" w:cs="Times New Roman"/>
          <w:b w:val="0"/>
          <w:bCs w:val="0"/>
          <w:color w:val="auto"/>
          <w:kern w:val="2"/>
          <w:sz w:val="28"/>
          <w:szCs w:val="28"/>
          <w:highlight w:val="none"/>
          <w:u w:val="none"/>
          <w:lang w:val="en-US" w:eastAsia="zh-CN" w:bidi="ar-SA"/>
        </w:rPr>
        <w:fldChar w:fldCharType="end"/>
      </w:r>
    </w:p>
    <w:p>
      <w:pPr>
        <w:pStyle w:val="27"/>
        <w:keepNext w:val="0"/>
        <w:keepLines w:val="0"/>
        <w:pageBreakBefore w:val="0"/>
        <w:widowControl/>
        <w:numPr>
          <w:ilvl w:val="2"/>
          <w:numId w:val="0"/>
        </w:numPr>
        <w:kinsoku/>
        <w:wordWrap/>
        <w:overflowPunct/>
        <w:topLinePunct w:val="0"/>
        <w:autoSpaceDE/>
        <w:autoSpaceDN/>
        <w:bidi w:val="0"/>
        <w:adjustRightInd/>
        <w:snapToGrid/>
        <w:spacing w:line="560" w:lineRule="exact"/>
        <w:ind w:firstLine="0" w:firstLineChars="0"/>
        <w:textAlignment w:val="auto"/>
        <w:outlineLvl w:val="2"/>
        <w:rPr>
          <w:rFonts w:hint="eastAsia" w:ascii="仿宋_GB2312" w:hAnsi="仿宋_GB2312" w:eastAsia="仿宋_GB2312" w:cs="仿宋_GB2312"/>
          <w:color w:val="auto"/>
          <w:sz w:val="28"/>
          <w:szCs w:val="28"/>
          <w:highlight w:val="none"/>
          <w:lang w:val="en-US" w:eastAsia="zh-CN"/>
        </w:rPr>
      </w:pPr>
      <w:r>
        <w:rPr>
          <w:color w:val="auto"/>
          <w:highlight w:val="none"/>
        </w:rPr>
        <w:drawing>
          <wp:anchor distT="0" distB="0" distL="114300" distR="114300" simplePos="0" relativeHeight="251662336" behindDoc="0" locked="0" layoutInCell="1" allowOverlap="1">
            <wp:simplePos x="0" y="0"/>
            <wp:positionH relativeFrom="column">
              <wp:posOffset>48895</wp:posOffset>
            </wp:positionH>
            <wp:positionV relativeFrom="paragraph">
              <wp:posOffset>86360</wp:posOffset>
            </wp:positionV>
            <wp:extent cx="5273040" cy="4469130"/>
            <wp:effectExtent l="0" t="0" r="3810" b="7620"/>
            <wp:wrapSquare wrapText="bothSides"/>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9"/>
                    <a:stretch>
                      <a:fillRect/>
                    </a:stretch>
                  </pic:blipFill>
                  <pic:spPr>
                    <a:xfrm>
                      <a:off x="0" y="0"/>
                      <a:ext cx="5273040" cy="4469130"/>
                    </a:xfrm>
                    <a:prstGeom prst="rect">
                      <a:avLst/>
                    </a:prstGeom>
                    <a:noFill/>
                    <a:ln>
                      <a:noFill/>
                    </a:ln>
                  </pic:spPr>
                </pic:pic>
              </a:graphicData>
            </a:graphic>
          </wp:anchor>
        </w:drawing>
      </w:r>
      <w:r>
        <w:rPr>
          <w:rFonts w:hint="eastAsia" w:ascii="仿宋_GB2312" w:hAnsi="仿宋_GB2312" w:eastAsia="仿宋_GB2312" w:cs="仿宋_GB2312"/>
          <w:b w:val="0"/>
          <w:bCs w:val="0"/>
          <w:color w:val="auto"/>
          <w:kern w:val="2"/>
          <w:sz w:val="28"/>
          <w:szCs w:val="28"/>
          <w:highlight w:val="none"/>
          <w:lang w:val="en-US" w:eastAsia="zh-CN" w:bidi="ar-SA"/>
        </w:rPr>
        <w:t>4.“国家企业信用信息公示系统”网行政处罚信息查询截图：</w:t>
      </w:r>
    </w:p>
    <w:p>
      <w:pPr>
        <w:rPr>
          <w:color w:val="auto"/>
          <w:highlight w:val="none"/>
        </w:rPr>
      </w:pPr>
      <w:r>
        <w:rPr>
          <w:rFonts w:hint="eastAsia" w:ascii="仿宋_GB2312" w:hAnsi="仿宋_GB2312" w:eastAsia="仿宋_GB2312" w:cs="仿宋_GB2312"/>
          <w:color w:val="auto"/>
          <w:sz w:val="28"/>
          <w:szCs w:val="28"/>
          <w:highlight w:val="none"/>
        </w:rPr>
        <w:drawing>
          <wp:anchor distT="0" distB="0" distL="114300" distR="114300" simplePos="0" relativeHeight="251663360" behindDoc="0" locked="0" layoutInCell="1" allowOverlap="1">
            <wp:simplePos x="0" y="0"/>
            <wp:positionH relativeFrom="column">
              <wp:posOffset>109220</wp:posOffset>
            </wp:positionH>
            <wp:positionV relativeFrom="paragraph">
              <wp:posOffset>10795</wp:posOffset>
            </wp:positionV>
            <wp:extent cx="5201285" cy="3001645"/>
            <wp:effectExtent l="0" t="0" r="18415" b="8255"/>
            <wp:wrapSquare wrapText="bothSides"/>
            <wp:docPr id="5" name="图片 5" descr="行政处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行政处罚"/>
                    <pic:cNvPicPr>
                      <a:picLocks noChangeAspect="1"/>
                    </pic:cNvPicPr>
                  </pic:nvPicPr>
                  <pic:blipFill>
                    <a:blip r:embed="rId10"/>
                    <a:stretch>
                      <a:fillRect/>
                    </a:stretch>
                  </pic:blipFill>
                  <pic:spPr>
                    <a:xfrm>
                      <a:off x="0" y="0"/>
                      <a:ext cx="5201285" cy="3001645"/>
                    </a:xfrm>
                    <a:prstGeom prst="rect">
                      <a:avLst/>
                    </a:prstGeom>
                  </pic:spPr>
                </pic:pic>
              </a:graphicData>
            </a:graphic>
          </wp:anchor>
        </w:drawing>
      </w:r>
    </w:p>
    <w:p>
      <w:pPr>
        <w:outlineLvl w:val="0"/>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附件4：</w:t>
      </w:r>
      <w:r>
        <w:rPr>
          <w:rFonts w:hint="eastAsia"/>
          <w:color w:val="auto"/>
          <w:sz w:val="28"/>
          <w:szCs w:val="28"/>
          <w:highlight w:val="none"/>
          <w:lang w:val="en-US" w:eastAsia="zh-CN"/>
        </w:rPr>
        <w:t>供应商不良行为事项清单</w:t>
      </w:r>
    </w:p>
    <w:p>
      <w:pPr>
        <w:pStyle w:val="27"/>
        <w:keepNext w:val="0"/>
        <w:keepLines w:val="0"/>
        <w:pageBreakBefore w:val="0"/>
        <w:numPr>
          <w:ilvl w:val="2"/>
          <w:numId w:val="0"/>
        </w:numPr>
        <w:kinsoku/>
        <w:wordWrap/>
        <w:overflowPunct/>
        <w:topLinePunct w:val="0"/>
        <w:autoSpaceDE/>
        <w:autoSpaceDN/>
        <w:bidi w:val="0"/>
        <w:adjustRightInd/>
        <w:snapToGrid/>
        <w:spacing w:line="560" w:lineRule="exact"/>
        <w:ind w:firstLine="560" w:firstLineChars="200"/>
        <w:jc w:val="both"/>
        <w:textAlignment w:val="auto"/>
        <w:outlineLvl w:val="0"/>
        <w:rPr>
          <w:rFonts w:hint="eastAsia" w:ascii="黑体" w:hAnsi="黑体" w:eastAsia="黑体" w:cs="黑体"/>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如查证报名人有下述供应商不良行为的，采购人将根据集团及公司制度进行处罚，列入供应商负面清单，禁止参加太平集团及下属机构后续采购活动。</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1"/>
        <w:rPr>
          <w:rFonts w:hint="eastAsia" w:ascii="黑体" w:hAnsi="黑体" w:eastAsia="黑体" w:cs="黑体"/>
          <w:b w:val="0"/>
          <w:bCs/>
          <w:i w:val="0"/>
          <w:color w:val="auto"/>
          <w:kern w:val="2"/>
          <w:sz w:val="28"/>
          <w:szCs w:val="28"/>
          <w:highlight w:val="none"/>
          <w:lang w:val="en-US" w:eastAsia="zh-CN" w:bidi="ar-SA"/>
        </w:rPr>
      </w:pPr>
      <w:r>
        <w:rPr>
          <w:rFonts w:hint="eastAsia" w:ascii="黑体" w:hAnsi="黑体" w:eastAsia="黑体" w:cs="黑体"/>
          <w:b w:val="0"/>
          <w:bCs/>
          <w:i w:val="0"/>
          <w:color w:val="auto"/>
          <w:kern w:val="2"/>
          <w:sz w:val="28"/>
          <w:szCs w:val="28"/>
          <w:highlight w:val="none"/>
          <w:lang w:val="en-US" w:eastAsia="zh-CN" w:bidi="ar-SA"/>
        </w:rPr>
        <w:t>一、集团采购制度规定的供应商不良行为事项</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(一)供应商向参与集中采购活动相关人员行贿或提供其他不正当利益的。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(二)供应商在集中采购活动中发生恶意串通行为的。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以下情形属于供应商恶意串通行为：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1.供应商直接或者间接从采购需求方、集中采购实施组织或者招标代理机构处获得其他供应商的相关情况，并修改其投标文件或者响应文件的。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2.供应商按照采购需求方、集中采购实施组织或者招标代理机构的授意撤换、修改投标文件或者响应文件的。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3.属于同一集团、协会、商会等组织成员的供应商按照该组织要求协同参加集中采购活动的。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4.供应商之间事先约定由某一特定供应商中标、成交的。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5.供应商之间商定部分供应商放弃参加集中采购活动或放弃中标、成交的。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6.供应商之间协商报价、技术方案等投标文件或者响应文件实质性内容的。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7.供应商与采购需求方、集中采购实施组织或者招标代理机构之间、供应商相互之间，为谋求特定供应商中标、成交或者排斥其他供应商的其他串通行为。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以下情形视为供应商相互恶意串通行为：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1.不同供应商的投标(响应)文件由同一单位或者个人编制。</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2.不同供应商委托同一单位或者个人办理投标(响应)事宜。</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3.不同供应商的投标(响应)文件载明的项目管理成员为同一人。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4.不同供应商的投标(响应)文件异常一致或者投标报价呈规律性差异。</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5.不同供应商的投标(响应)文件相互混装。</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6.不同供应商的投标保证金从同一单位或者个人的账户转出。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(三) 供应商在集中采购活动中发生恶意欺诈行为的，以下行为属于恶意欺诈行为：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1.提供虚假材料谋取入围、中标、成交的。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2.采取不正当手段诋毁、排挤其他供应商的。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3.拒绝采购实施组织考察或者提供虚假情况的。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4.供应商捏造事实、提供虚假材料或者以非法手段取得证明材料进行投诉的。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(四)中标或者成交后无正当理由拒不签订采购合同的。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(五)未按照采购文件确定的事项签订采购合同的。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(六)未经同意，擅自采取转包、分包方式履行合同的。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(七)未按采购合同规定履行合同义务，服务质量差或者提供假冒伪劣产品的。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(八)擅自变更、中止或者终止采购合同的。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(九)一年内无合理理由两次以上干扰集中采购活动或者质疑投诉的。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(十) 其他损害公司利益的行为。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1"/>
        <w:rPr>
          <w:rFonts w:hint="default" w:ascii="仿宋_GB2312" w:hAnsi="仿宋_GB2312" w:eastAsia="仿宋_GB2312" w:cs="仿宋_GB2312"/>
          <w:b w:val="0"/>
          <w:bCs/>
          <w:i w:val="0"/>
          <w:color w:val="auto"/>
          <w:kern w:val="2"/>
          <w:sz w:val="28"/>
          <w:szCs w:val="28"/>
          <w:highlight w:val="none"/>
          <w:lang w:val="en-US" w:eastAsia="zh-CN" w:bidi="ar-SA"/>
        </w:rPr>
      </w:pPr>
      <w:r>
        <w:rPr>
          <w:rFonts w:hint="eastAsia" w:ascii="黑体" w:hAnsi="黑体" w:eastAsia="黑体" w:cs="黑体"/>
          <w:b w:val="0"/>
          <w:bCs/>
          <w:i w:val="0"/>
          <w:color w:val="auto"/>
          <w:kern w:val="2"/>
          <w:sz w:val="28"/>
          <w:szCs w:val="28"/>
          <w:highlight w:val="none"/>
          <w:lang w:val="en-US" w:eastAsia="zh-CN" w:bidi="ar-SA"/>
        </w:rPr>
        <w:t>二、政府采购法及实施条例规定的供应商不良行为事项</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供应商直接或者间接从采购人或者采购代理机构处获得其他供应商的相关情况并修改其投标文件或者响应文件；供应商按照采购人或者采购代理机构的授意撤换、修改投标文件或者响应文件；供应商之间协商报价、技术方案等投标文件或者响应文件的实质性内容；属于同一集团、协会、商会等组织成员的供应商按照该组织要求协同参加政府采购活动；供应商之间事先约定由某一特定供应商中标、成交；供应商之间商定部分供应商放弃参加政府采购活动或者放弃中标、成交；供应商与采购人或者采购代理机构之间、供应商相互之间，为谋求特定供应商中标、成交或者排斥其他供应商的其他串通行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1"/>
        <w:rPr>
          <w:rFonts w:hint="default" w:ascii="仿宋_GB2312" w:hAnsi="仿宋_GB2312" w:eastAsia="仿宋_GB2312" w:cs="仿宋_GB2312"/>
          <w:b w:val="0"/>
          <w:bCs/>
          <w:i w:val="0"/>
          <w:color w:val="auto"/>
          <w:kern w:val="2"/>
          <w:sz w:val="28"/>
          <w:szCs w:val="28"/>
          <w:highlight w:val="none"/>
          <w:lang w:val="en-US" w:eastAsia="zh-CN" w:bidi="ar-SA"/>
        </w:rPr>
      </w:pPr>
      <w:r>
        <w:rPr>
          <w:rFonts w:hint="eastAsia" w:ascii="黑体" w:hAnsi="黑体" w:eastAsia="黑体" w:cs="黑体"/>
          <w:b w:val="0"/>
          <w:bCs/>
          <w:i w:val="0"/>
          <w:color w:val="auto"/>
          <w:kern w:val="2"/>
          <w:sz w:val="28"/>
          <w:szCs w:val="28"/>
          <w:highlight w:val="none"/>
          <w:lang w:val="en-US" w:eastAsia="zh-CN" w:bidi="ar-SA"/>
        </w:rPr>
        <w:t>三、招标投标法及实施条例规定的供应商不良行为事项</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投标人之间协商投标报价等投标文件的实质性内容；投标人之间约定中标人；投标人之间约定部分投标人放弃投标或者中标；属于同一集团、协会、商会等组织成员的投标人按照该组织要求协同投标；投标人之间为谋取中标或者排斥特定投标人而采取的其他联合行动；不同投标人的投标文件由同一单位或者个人编制；不同投标人委托同一单位或者个人办理投标事宜；不同投标人的投标文件载明的项目管理成员为同一人；不同投标人的投标文件异常一致或者投标报价呈规律性差异；不同投标人的投标文件相互混装；不同投标人的投标保证金从同一单位或者个人的账户转出；招标人在开标前开启投标文件并将有关信息泄露给其他投标人；招标人直接或者间接向投标人泄露标底、评标委员会成员等信息；招标人明示或者暗示投标人压低或者抬高投标报价；招标人授意投标人撤换、修改投标文件；招标人明示或者暗示投标人为特定投标人中标提供方便；招标人与投标人为谋求特定投标人中标而采取的其他串通行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1"/>
        <w:rPr>
          <w:rFonts w:hint="default" w:ascii="仿宋_GB2312" w:hAnsi="仿宋_GB2312" w:eastAsia="仿宋_GB2312" w:cs="仿宋_GB2312"/>
          <w:b w:val="0"/>
          <w:bCs/>
          <w:i w:val="0"/>
          <w:color w:val="auto"/>
          <w:kern w:val="2"/>
          <w:sz w:val="28"/>
          <w:szCs w:val="28"/>
          <w:highlight w:val="none"/>
          <w:lang w:val="en-US" w:eastAsia="zh-CN" w:bidi="ar-SA"/>
        </w:rPr>
      </w:pPr>
      <w:r>
        <w:rPr>
          <w:rFonts w:hint="eastAsia" w:ascii="黑体" w:hAnsi="黑体" w:eastAsia="黑体" w:cs="黑体"/>
          <w:b w:val="0"/>
          <w:bCs/>
          <w:i w:val="0"/>
          <w:color w:val="auto"/>
          <w:kern w:val="2"/>
          <w:sz w:val="28"/>
          <w:szCs w:val="28"/>
          <w:highlight w:val="none"/>
          <w:lang w:val="en-US" w:eastAsia="zh-CN" w:bidi="ar-SA"/>
        </w:rPr>
        <w:t>四、工程建设施工招标投标办法规定的供应商不良行为事项</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color w:val="auto"/>
          <w:kern w:val="2"/>
          <w:sz w:val="28"/>
          <w:szCs w:val="28"/>
          <w:highlight w:val="none"/>
          <w:lang w:val="en-US" w:eastAsia="zh-CN" w:bidi="ar-SA"/>
        </w:rPr>
      </w:pPr>
      <w:r>
        <w:rPr>
          <w:rFonts w:hint="eastAsia" w:ascii="仿宋_GB2312" w:hAnsi="仿宋_GB2312" w:eastAsia="仿宋_GB2312" w:cs="仿宋_GB2312"/>
          <w:b w:val="0"/>
          <w:bCs/>
          <w:i w:val="0"/>
          <w:color w:val="auto"/>
          <w:kern w:val="2"/>
          <w:sz w:val="28"/>
          <w:szCs w:val="28"/>
          <w:highlight w:val="none"/>
          <w:lang w:val="en-US" w:eastAsia="zh-CN" w:bidi="ar-SA"/>
        </w:rPr>
        <w:t>投标人之间相互约定抬高或压低投标报价；投标人之间相互约定，在招标项目中分别以高、中、低价位报价；投标人之间先进行内部竞价，内定中标人，然后再参加投标；投标人之间其他串通投标报价的行为；招标人在开标前开启投标文件并将有关信息泄露给其他投标人，或者授意投标人撤换、修改投标文件；招标人向投标人泄露标底、评标委员会成员等信息；招标人明示或者暗示投标人压低或抬高投标报价；招标人明示或者暗示投标人为特定投标人中标提供方便；招标人与投标人为谋求特定中标人中标而采取的其他串通行为。</w:t>
      </w:r>
    </w:p>
    <w:p>
      <w:pPr>
        <w:pStyle w:val="26"/>
        <w:rPr>
          <w:rFonts w:hint="default"/>
          <w:color w:val="auto"/>
          <w:highlight w:val="none"/>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EAC063"/>
    <w:multiLevelType w:val="multilevel"/>
    <w:tmpl w:val="5BEAC063"/>
    <w:lvl w:ilvl="0" w:tentative="0">
      <w:start w:val="1"/>
      <w:numFmt w:val="chineseCountingThousand"/>
      <w:lvlText w:val="%1、"/>
      <w:lvlJc w:val="left"/>
      <w:rPr>
        <w:rFonts w:hint="eastAsia" w:cs="Times New Roman"/>
      </w:rPr>
    </w:lvl>
    <w:lvl w:ilvl="1" w:tentative="0">
      <w:start w:val="1"/>
      <w:numFmt w:val="decimal"/>
      <w:lvlRestart w:val="0"/>
      <w:lvlText w:val="%2."/>
      <w:lvlJc w:val="left"/>
      <w:pPr>
        <w:ind w:left="851" w:hanging="851"/>
      </w:pPr>
      <w:rPr>
        <w:rFonts w:hint="eastAsia" w:ascii="宋体" w:hAnsi="宋体" w:eastAsia="宋体" w:cs="Times New Roman"/>
      </w:rPr>
    </w:lvl>
    <w:lvl w:ilvl="2" w:tentative="0">
      <w:start w:val="1"/>
      <w:numFmt w:val="decimal"/>
      <w:pStyle w:val="27"/>
      <w:lvlText w:val="%2.%3"/>
      <w:lvlJc w:val="left"/>
      <w:pPr>
        <w:ind w:left="993" w:hanging="851"/>
      </w:pPr>
      <w:rPr>
        <w:rFonts w:hint="eastAsia" w:ascii="宋体" w:hAnsi="宋体" w:eastAsia="宋体" w:cs="Times New Roman"/>
        <w:b w:val="0"/>
        <w:color w:val="auto"/>
      </w:rPr>
    </w:lvl>
    <w:lvl w:ilvl="3" w:tentative="0">
      <w:start w:val="1"/>
      <w:numFmt w:val="decimal"/>
      <w:lvlText w:val="%1.%2.%3.%4"/>
      <w:lvlJc w:val="left"/>
      <w:rPr>
        <w:rFonts w:hint="eastAsia" w:cs="Times New Roman"/>
      </w:rPr>
    </w:lvl>
    <w:lvl w:ilvl="4" w:tentative="0">
      <w:start w:val="1"/>
      <w:numFmt w:val="decimal"/>
      <w:lvlText w:val="%1.%2.%3.%4.%5"/>
      <w:lvlJc w:val="left"/>
      <w:rPr>
        <w:rFonts w:hint="eastAsia" w:cs="Times New Roman"/>
      </w:rPr>
    </w:lvl>
    <w:lvl w:ilvl="5" w:tentative="0">
      <w:start w:val="1"/>
      <w:numFmt w:val="decimal"/>
      <w:lvlText w:val="%1.%2.%3.%4.%5.%6"/>
      <w:lvlJc w:val="left"/>
      <w:rPr>
        <w:rFonts w:hint="eastAsia" w:cs="Times New Roman"/>
      </w:rPr>
    </w:lvl>
    <w:lvl w:ilvl="6" w:tentative="0">
      <w:start w:val="1"/>
      <w:numFmt w:val="decimal"/>
      <w:lvlText w:val="%1.%2.%3.%4.%5.%6.%7"/>
      <w:lvlJc w:val="left"/>
      <w:rPr>
        <w:rFonts w:hint="eastAsia" w:cs="Times New Roman"/>
      </w:rPr>
    </w:lvl>
    <w:lvl w:ilvl="7" w:tentative="0">
      <w:start w:val="1"/>
      <w:numFmt w:val="decimal"/>
      <w:lvlText w:val="%1.%2.%3.%4.%5.%6.%7.%8"/>
      <w:lvlJc w:val="left"/>
      <w:rPr>
        <w:rFonts w:hint="eastAsia" w:cs="Times New Roman"/>
      </w:rPr>
    </w:lvl>
    <w:lvl w:ilvl="8" w:tentative="0">
      <w:start w:val="1"/>
      <w:numFmt w:val="decimal"/>
      <w:lvlText w:val="%1.%2.%3.%4.%5.%6.%7.%8.%9"/>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C08B5"/>
    <w:rsid w:val="00292B12"/>
    <w:rsid w:val="003466F9"/>
    <w:rsid w:val="00397A09"/>
    <w:rsid w:val="01A2149A"/>
    <w:rsid w:val="01F12598"/>
    <w:rsid w:val="02186BBC"/>
    <w:rsid w:val="0220040D"/>
    <w:rsid w:val="02F177A4"/>
    <w:rsid w:val="03287A29"/>
    <w:rsid w:val="03567914"/>
    <w:rsid w:val="035A1CC8"/>
    <w:rsid w:val="03BD6A46"/>
    <w:rsid w:val="03C13F0E"/>
    <w:rsid w:val="03F37622"/>
    <w:rsid w:val="04D30045"/>
    <w:rsid w:val="051222CF"/>
    <w:rsid w:val="07475F40"/>
    <w:rsid w:val="075045E3"/>
    <w:rsid w:val="076C41BE"/>
    <w:rsid w:val="08247617"/>
    <w:rsid w:val="085B6ED5"/>
    <w:rsid w:val="087519EF"/>
    <w:rsid w:val="088E1683"/>
    <w:rsid w:val="08BC0FAC"/>
    <w:rsid w:val="08CF596E"/>
    <w:rsid w:val="09195068"/>
    <w:rsid w:val="093A0FD5"/>
    <w:rsid w:val="09615EF8"/>
    <w:rsid w:val="097A4E20"/>
    <w:rsid w:val="0A204AB6"/>
    <w:rsid w:val="0A7E3B52"/>
    <w:rsid w:val="0AC207DF"/>
    <w:rsid w:val="0AC27042"/>
    <w:rsid w:val="0B9E3A4C"/>
    <w:rsid w:val="0BDE02D1"/>
    <w:rsid w:val="0BFD2CAA"/>
    <w:rsid w:val="0C7F137D"/>
    <w:rsid w:val="0CB0086E"/>
    <w:rsid w:val="0CB3346F"/>
    <w:rsid w:val="0CD8223B"/>
    <w:rsid w:val="0D0D75D7"/>
    <w:rsid w:val="0D6B378C"/>
    <w:rsid w:val="0DF22539"/>
    <w:rsid w:val="0E496622"/>
    <w:rsid w:val="0F555D51"/>
    <w:rsid w:val="0F5B4793"/>
    <w:rsid w:val="0FC41FFE"/>
    <w:rsid w:val="101162DA"/>
    <w:rsid w:val="10737A95"/>
    <w:rsid w:val="12D913E0"/>
    <w:rsid w:val="12F37EC0"/>
    <w:rsid w:val="138A0ED4"/>
    <w:rsid w:val="139E292C"/>
    <w:rsid w:val="13B0777B"/>
    <w:rsid w:val="140A7F59"/>
    <w:rsid w:val="14714158"/>
    <w:rsid w:val="14973D5A"/>
    <w:rsid w:val="14E50CFD"/>
    <w:rsid w:val="150E647C"/>
    <w:rsid w:val="155436BC"/>
    <w:rsid w:val="15904F47"/>
    <w:rsid w:val="15C61100"/>
    <w:rsid w:val="15E56DCA"/>
    <w:rsid w:val="1639522B"/>
    <w:rsid w:val="16BB773B"/>
    <w:rsid w:val="16EC5434"/>
    <w:rsid w:val="17215748"/>
    <w:rsid w:val="177B1441"/>
    <w:rsid w:val="178C0E4B"/>
    <w:rsid w:val="1797619A"/>
    <w:rsid w:val="17E70043"/>
    <w:rsid w:val="189162DE"/>
    <w:rsid w:val="18C517F7"/>
    <w:rsid w:val="1909312C"/>
    <w:rsid w:val="19904CBE"/>
    <w:rsid w:val="1AB4594B"/>
    <w:rsid w:val="1AD37B57"/>
    <w:rsid w:val="1AE76AFE"/>
    <w:rsid w:val="1B5F3DB2"/>
    <w:rsid w:val="1B77281E"/>
    <w:rsid w:val="1BE56DCE"/>
    <w:rsid w:val="1C0960F2"/>
    <w:rsid w:val="1C130C8C"/>
    <w:rsid w:val="1D605476"/>
    <w:rsid w:val="1D724D3B"/>
    <w:rsid w:val="1DF924A3"/>
    <w:rsid w:val="1E012A5F"/>
    <w:rsid w:val="1E3E4516"/>
    <w:rsid w:val="1E82722C"/>
    <w:rsid w:val="1EBC4E2C"/>
    <w:rsid w:val="1EBD1028"/>
    <w:rsid w:val="1F415B21"/>
    <w:rsid w:val="1F95471C"/>
    <w:rsid w:val="1FB2006F"/>
    <w:rsid w:val="20392175"/>
    <w:rsid w:val="204A2E54"/>
    <w:rsid w:val="206A5756"/>
    <w:rsid w:val="212975BF"/>
    <w:rsid w:val="21582609"/>
    <w:rsid w:val="232B3350"/>
    <w:rsid w:val="24F330EC"/>
    <w:rsid w:val="25651311"/>
    <w:rsid w:val="25C15B7A"/>
    <w:rsid w:val="25C44203"/>
    <w:rsid w:val="26614877"/>
    <w:rsid w:val="26E22437"/>
    <w:rsid w:val="27A16189"/>
    <w:rsid w:val="27DC5E39"/>
    <w:rsid w:val="280E7D49"/>
    <w:rsid w:val="28620512"/>
    <w:rsid w:val="289F797A"/>
    <w:rsid w:val="29392E46"/>
    <w:rsid w:val="296E77A9"/>
    <w:rsid w:val="2A0B3CF5"/>
    <w:rsid w:val="2A4B3E6C"/>
    <w:rsid w:val="2A6A08D1"/>
    <w:rsid w:val="2B445A3A"/>
    <w:rsid w:val="2C431E43"/>
    <w:rsid w:val="2C6C0CC8"/>
    <w:rsid w:val="2CDD3025"/>
    <w:rsid w:val="2DB703E7"/>
    <w:rsid w:val="2DDD5DAA"/>
    <w:rsid w:val="2E962EC3"/>
    <w:rsid w:val="2F6617AB"/>
    <w:rsid w:val="2FDC24E4"/>
    <w:rsid w:val="2FE24BEE"/>
    <w:rsid w:val="315B2C54"/>
    <w:rsid w:val="3191677B"/>
    <w:rsid w:val="319F6258"/>
    <w:rsid w:val="3209629F"/>
    <w:rsid w:val="32300CEB"/>
    <w:rsid w:val="325557F2"/>
    <w:rsid w:val="325E17FA"/>
    <w:rsid w:val="328F1383"/>
    <w:rsid w:val="32AC2E63"/>
    <w:rsid w:val="32E4653D"/>
    <w:rsid w:val="33010EA3"/>
    <w:rsid w:val="332A1624"/>
    <w:rsid w:val="3385588D"/>
    <w:rsid w:val="33A66907"/>
    <w:rsid w:val="3474229A"/>
    <w:rsid w:val="35AE50FA"/>
    <w:rsid w:val="361D3D95"/>
    <w:rsid w:val="3639373F"/>
    <w:rsid w:val="36652A79"/>
    <w:rsid w:val="376D7BD5"/>
    <w:rsid w:val="377F242D"/>
    <w:rsid w:val="384E3F25"/>
    <w:rsid w:val="38F623A0"/>
    <w:rsid w:val="390F4638"/>
    <w:rsid w:val="3A810D0C"/>
    <w:rsid w:val="3AAB676A"/>
    <w:rsid w:val="3C5C5A78"/>
    <w:rsid w:val="3CE15D82"/>
    <w:rsid w:val="3D332853"/>
    <w:rsid w:val="3D363934"/>
    <w:rsid w:val="3D383D6F"/>
    <w:rsid w:val="3E9923AA"/>
    <w:rsid w:val="3EF9688D"/>
    <w:rsid w:val="3F673138"/>
    <w:rsid w:val="3F740CEA"/>
    <w:rsid w:val="3FC265A2"/>
    <w:rsid w:val="3FC513BA"/>
    <w:rsid w:val="41480CF0"/>
    <w:rsid w:val="41B31CF5"/>
    <w:rsid w:val="42911F69"/>
    <w:rsid w:val="42C66B8B"/>
    <w:rsid w:val="42FE0FE4"/>
    <w:rsid w:val="42FF2ACF"/>
    <w:rsid w:val="431E7623"/>
    <w:rsid w:val="435251C7"/>
    <w:rsid w:val="437A7DD8"/>
    <w:rsid w:val="43DF6F13"/>
    <w:rsid w:val="43E644DF"/>
    <w:rsid w:val="43F162DF"/>
    <w:rsid w:val="44C3454C"/>
    <w:rsid w:val="44E41DB1"/>
    <w:rsid w:val="45B427DB"/>
    <w:rsid w:val="45C85C02"/>
    <w:rsid w:val="46225C2D"/>
    <w:rsid w:val="467D33F7"/>
    <w:rsid w:val="475D7B25"/>
    <w:rsid w:val="47A1742E"/>
    <w:rsid w:val="48787ACF"/>
    <w:rsid w:val="48F65630"/>
    <w:rsid w:val="491B25FD"/>
    <w:rsid w:val="499E01C9"/>
    <w:rsid w:val="49F6190E"/>
    <w:rsid w:val="4A913F9E"/>
    <w:rsid w:val="4AC660C6"/>
    <w:rsid w:val="4AED677F"/>
    <w:rsid w:val="4B3A5B18"/>
    <w:rsid w:val="4B7A1292"/>
    <w:rsid w:val="4B7A75C7"/>
    <w:rsid w:val="4C7D06B8"/>
    <w:rsid w:val="4C956EBE"/>
    <w:rsid w:val="4D59286E"/>
    <w:rsid w:val="4E1B1A7E"/>
    <w:rsid w:val="4E9A3071"/>
    <w:rsid w:val="4EF679B7"/>
    <w:rsid w:val="4FDD5A4D"/>
    <w:rsid w:val="506D1719"/>
    <w:rsid w:val="50813A8D"/>
    <w:rsid w:val="508428B4"/>
    <w:rsid w:val="512F3DDA"/>
    <w:rsid w:val="515C4E71"/>
    <w:rsid w:val="52977DEE"/>
    <w:rsid w:val="53215896"/>
    <w:rsid w:val="5331704F"/>
    <w:rsid w:val="541A10E0"/>
    <w:rsid w:val="546968E6"/>
    <w:rsid w:val="54F614C4"/>
    <w:rsid w:val="565730FF"/>
    <w:rsid w:val="56976240"/>
    <w:rsid w:val="577C63CE"/>
    <w:rsid w:val="57DC33DD"/>
    <w:rsid w:val="580E158B"/>
    <w:rsid w:val="58C41144"/>
    <w:rsid w:val="58C9767F"/>
    <w:rsid w:val="58ED333B"/>
    <w:rsid w:val="59055778"/>
    <w:rsid w:val="593050D6"/>
    <w:rsid w:val="59695897"/>
    <w:rsid w:val="596D3ACA"/>
    <w:rsid w:val="596F6A1F"/>
    <w:rsid w:val="59711E73"/>
    <w:rsid w:val="5A506653"/>
    <w:rsid w:val="5BF32157"/>
    <w:rsid w:val="5C163468"/>
    <w:rsid w:val="5D8451BE"/>
    <w:rsid w:val="5DA16BA6"/>
    <w:rsid w:val="5E2C465F"/>
    <w:rsid w:val="5EAA08A4"/>
    <w:rsid w:val="5EBD5973"/>
    <w:rsid w:val="5EF00A0F"/>
    <w:rsid w:val="60111261"/>
    <w:rsid w:val="60646965"/>
    <w:rsid w:val="60656385"/>
    <w:rsid w:val="60696B4D"/>
    <w:rsid w:val="60806FCC"/>
    <w:rsid w:val="60F22905"/>
    <w:rsid w:val="610427D4"/>
    <w:rsid w:val="616313DD"/>
    <w:rsid w:val="61925F9F"/>
    <w:rsid w:val="61C76184"/>
    <w:rsid w:val="61F95103"/>
    <w:rsid w:val="62AE6AA6"/>
    <w:rsid w:val="62C473D1"/>
    <w:rsid w:val="635C2290"/>
    <w:rsid w:val="646D53D2"/>
    <w:rsid w:val="64C233D1"/>
    <w:rsid w:val="64F56A9B"/>
    <w:rsid w:val="66024B17"/>
    <w:rsid w:val="66E4507B"/>
    <w:rsid w:val="672B7653"/>
    <w:rsid w:val="675352D6"/>
    <w:rsid w:val="676412AE"/>
    <w:rsid w:val="67E97010"/>
    <w:rsid w:val="681F2183"/>
    <w:rsid w:val="68233610"/>
    <w:rsid w:val="68730679"/>
    <w:rsid w:val="68BB2208"/>
    <w:rsid w:val="68D93A30"/>
    <w:rsid w:val="69353662"/>
    <w:rsid w:val="695F33D8"/>
    <w:rsid w:val="6A3A3E1C"/>
    <w:rsid w:val="6B5E4AC5"/>
    <w:rsid w:val="6BA168C0"/>
    <w:rsid w:val="6C026A9C"/>
    <w:rsid w:val="6C0566E4"/>
    <w:rsid w:val="6C2E2E8B"/>
    <w:rsid w:val="6C653582"/>
    <w:rsid w:val="6CB74A4A"/>
    <w:rsid w:val="6CB85EB3"/>
    <w:rsid w:val="6CC5078C"/>
    <w:rsid w:val="6DE37F8C"/>
    <w:rsid w:val="6F384C7B"/>
    <w:rsid w:val="6F936603"/>
    <w:rsid w:val="6FD81B67"/>
    <w:rsid w:val="6FE1654C"/>
    <w:rsid w:val="6FFF7A4B"/>
    <w:rsid w:val="70327A10"/>
    <w:rsid w:val="7096131D"/>
    <w:rsid w:val="70A769FE"/>
    <w:rsid w:val="72877FA5"/>
    <w:rsid w:val="72FA2035"/>
    <w:rsid w:val="73370649"/>
    <w:rsid w:val="737B0A64"/>
    <w:rsid w:val="7393582A"/>
    <w:rsid w:val="73E640A0"/>
    <w:rsid w:val="7526638C"/>
    <w:rsid w:val="75342CA7"/>
    <w:rsid w:val="765C2D58"/>
    <w:rsid w:val="76964F92"/>
    <w:rsid w:val="775E4A03"/>
    <w:rsid w:val="779908FD"/>
    <w:rsid w:val="77DF3C3F"/>
    <w:rsid w:val="787C4EF5"/>
    <w:rsid w:val="78E76DBF"/>
    <w:rsid w:val="79B46D2F"/>
    <w:rsid w:val="7A832B34"/>
    <w:rsid w:val="7AE66B9E"/>
    <w:rsid w:val="7AE93DDE"/>
    <w:rsid w:val="7B095460"/>
    <w:rsid w:val="7B566FF7"/>
    <w:rsid w:val="7B6E6D03"/>
    <w:rsid w:val="7B730AB5"/>
    <w:rsid w:val="7B956620"/>
    <w:rsid w:val="7BCD31FD"/>
    <w:rsid w:val="7C0B6BC2"/>
    <w:rsid w:val="7C1B09B0"/>
    <w:rsid w:val="7C2F21DD"/>
    <w:rsid w:val="7CAC5DDF"/>
    <w:rsid w:val="7D8B7564"/>
    <w:rsid w:val="7FA13F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99"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next w:val="4"/>
    <w:qFormat/>
    <w:uiPriority w:val="0"/>
    <w:pPr>
      <w:ind w:firstLine="420" w:firstLineChars="100"/>
    </w:pPr>
  </w:style>
  <w:style w:type="paragraph" w:styleId="4">
    <w:name w:val="toc 6"/>
    <w:basedOn w:val="1"/>
    <w:next w:val="1"/>
    <w:qFormat/>
    <w:uiPriority w:val="99"/>
    <w:pPr>
      <w:ind w:left="2100" w:leftChars="1000"/>
    </w:pPr>
    <w:rPr>
      <w:rFonts w:ascii="Calibri" w:hAnsi="Calibri"/>
    </w:rPr>
  </w:style>
  <w:style w:type="paragraph" w:styleId="5">
    <w:name w:val="annotation text"/>
    <w:basedOn w:val="1"/>
    <w:qFormat/>
    <w:uiPriority w:val="0"/>
    <w:pPr>
      <w:jc w:val="left"/>
    </w:pPr>
  </w:style>
  <w:style w:type="paragraph" w:styleId="6">
    <w:name w:val="Salutation"/>
    <w:basedOn w:val="1"/>
    <w:next w:val="1"/>
    <w:unhideWhenUsed/>
    <w:qFormat/>
    <w:uiPriority w:val="0"/>
    <w:rPr>
      <w:rFonts w:ascii="宋体" w:eastAsia="仿宋_GB2312"/>
      <w:sz w:val="24"/>
      <w:szCs w:val="20"/>
    </w:rPr>
  </w:style>
  <w:style w:type="paragraph" w:styleId="7">
    <w:name w:val="Body Text Indent"/>
    <w:basedOn w:val="1"/>
    <w:next w:val="8"/>
    <w:qFormat/>
    <w:uiPriority w:val="0"/>
    <w:pPr>
      <w:ind w:left="360"/>
    </w:pPr>
    <w:rPr>
      <w:sz w:val="28"/>
      <w:szCs w:val="20"/>
    </w:rPr>
  </w:style>
  <w:style w:type="paragraph" w:styleId="8">
    <w:name w:val="envelope return"/>
    <w:basedOn w:val="1"/>
    <w:qFormat/>
    <w:uiPriority w:val="0"/>
    <w:pPr>
      <w:snapToGrid w:val="0"/>
    </w:pPr>
    <w:rPr>
      <w:rFonts w:ascii="Arial" w:hAnsi="Arial" w:eastAsia="宋体" w:cs="Times New Roman"/>
      <w:szCs w:val="24"/>
      <w:lang w:bidi="ar-SA"/>
    </w:rPr>
  </w:style>
  <w:style w:type="paragraph" w:styleId="9">
    <w:name w:val="Block Text"/>
    <w:basedOn w:val="1"/>
    <w:qFormat/>
    <w:uiPriority w:val="0"/>
    <w:pPr>
      <w:widowControl/>
      <w:autoSpaceDE w:val="0"/>
      <w:autoSpaceDN w:val="0"/>
      <w:adjustRightInd w:val="0"/>
      <w:spacing w:line="315" w:lineRule="atLeast"/>
      <w:ind w:left="-540" w:right="893"/>
      <w:jc w:val="left"/>
      <w:textAlignment w:val="bottom"/>
    </w:pPr>
    <w:rPr>
      <w:rFonts w:ascii="宋体"/>
      <w:kern w:val="0"/>
      <w:sz w:val="28"/>
      <w:szCs w:val="20"/>
    </w:rPr>
  </w:style>
  <w:style w:type="paragraph" w:styleId="10">
    <w:name w:val="index 4"/>
    <w:basedOn w:val="1"/>
    <w:next w:val="1"/>
    <w:qFormat/>
    <w:uiPriority w:val="99"/>
    <w:pPr>
      <w:ind w:left="600" w:leftChars="600"/>
    </w:pPr>
    <w:rPr>
      <w:rFonts w:ascii="Calibri" w:hAnsi="Calibri" w:eastAsia="宋体" w:cs="Times New Roman"/>
      <w:szCs w:val="24"/>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14">
    <w:name w:val="Body Text First Indent 2"/>
    <w:basedOn w:val="7"/>
    <w:qFormat/>
    <w:uiPriority w:val="0"/>
    <w:pPr>
      <w:spacing w:after="120" w:line="240" w:lineRule="auto"/>
      <w:ind w:left="200" w:leftChars="200" w:firstLine="200" w:firstLineChars="200"/>
    </w:pPr>
    <w:rPr>
      <w:rFonts w:ascii="Calibri" w:hAnsi="Calibri"/>
      <w:kern w:val="2"/>
      <w:sz w:val="21"/>
      <w:szCs w:val="24"/>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llowedHyperlink"/>
    <w:basedOn w:val="17"/>
    <w:qFormat/>
    <w:uiPriority w:val="0"/>
    <w:rPr>
      <w:color w:val="277EFF"/>
      <w:u w:val="none"/>
    </w:rPr>
  </w:style>
  <w:style w:type="character" w:styleId="19">
    <w:name w:val="Emphasis"/>
    <w:basedOn w:val="17"/>
    <w:qFormat/>
    <w:uiPriority w:val="0"/>
  </w:style>
  <w:style w:type="character" w:styleId="20">
    <w:name w:val="HTML Definition"/>
    <w:basedOn w:val="17"/>
    <w:qFormat/>
    <w:uiPriority w:val="0"/>
  </w:style>
  <w:style w:type="character" w:styleId="21">
    <w:name w:val="HTML Acronym"/>
    <w:basedOn w:val="17"/>
    <w:qFormat/>
    <w:uiPriority w:val="0"/>
  </w:style>
  <w:style w:type="character" w:styleId="22">
    <w:name w:val="HTML Variable"/>
    <w:basedOn w:val="17"/>
    <w:qFormat/>
    <w:uiPriority w:val="0"/>
  </w:style>
  <w:style w:type="character" w:styleId="23">
    <w:name w:val="Hyperlink"/>
    <w:basedOn w:val="17"/>
    <w:qFormat/>
    <w:uiPriority w:val="0"/>
    <w:rPr>
      <w:color w:val="0000FF"/>
      <w:u w:val="single"/>
    </w:rPr>
  </w:style>
  <w:style w:type="character" w:styleId="24">
    <w:name w:val="HTML Code"/>
    <w:basedOn w:val="17"/>
    <w:qFormat/>
    <w:uiPriority w:val="0"/>
    <w:rPr>
      <w:rFonts w:ascii="Courier New" w:hAnsi="Courier New"/>
      <w:sz w:val="20"/>
    </w:rPr>
  </w:style>
  <w:style w:type="character" w:styleId="25">
    <w:name w:val="HTML Cite"/>
    <w:basedOn w:val="17"/>
    <w:qFormat/>
    <w:uiPriority w:val="0"/>
  </w:style>
  <w:style w:type="paragraph" w:customStyle="1" w:styleId="26">
    <w:name w:val="无间隔1"/>
    <w:basedOn w:val="1"/>
    <w:qFormat/>
    <w:uiPriority w:val="1"/>
    <w:rPr>
      <w:sz w:val="24"/>
    </w:rPr>
  </w:style>
  <w:style w:type="paragraph" w:customStyle="1" w:styleId="27">
    <w:name w:val="三级标题"/>
    <w:qFormat/>
    <w:uiPriority w:val="99"/>
    <w:pPr>
      <w:numPr>
        <w:ilvl w:val="2"/>
        <w:numId w:val="1"/>
      </w:numPr>
      <w:spacing w:line="360" w:lineRule="auto"/>
    </w:pPr>
    <w:rPr>
      <w:rFonts w:ascii="Times New Roman" w:hAnsi="Times New Roman" w:eastAsia="宋体" w:cs="Times New Roman"/>
      <w:kern w:val="2"/>
      <w:sz w:val="24"/>
      <w:szCs w:val="24"/>
      <w:lang w:val="en-US" w:eastAsia="zh-CN" w:bidi="ar-SA"/>
    </w:rPr>
  </w:style>
  <w:style w:type="paragraph" w:customStyle="1" w:styleId="28">
    <w:name w:val="列表段落1"/>
    <w:basedOn w:val="1"/>
    <w:qFormat/>
    <w:uiPriority w:val="0"/>
  </w:style>
  <w:style w:type="paragraph" w:customStyle="1" w:styleId="29">
    <w:name w:val="List Paragraph"/>
    <w:basedOn w:val="1"/>
    <w:qFormat/>
    <w:uiPriority w:val="34"/>
    <w:pPr>
      <w:ind w:left="720"/>
      <w:contextualSpacing/>
    </w:pPr>
  </w:style>
  <w:style w:type="character" w:customStyle="1" w:styleId="30">
    <w:name w:val="tel"/>
    <w:basedOn w:val="17"/>
    <w:qFormat/>
    <w:uiPriority w:val="0"/>
    <w:rPr>
      <w:color w:val="2068B0"/>
      <w:sz w:val="18"/>
      <w:szCs w:val="18"/>
    </w:rPr>
  </w:style>
  <w:style w:type="character" w:customStyle="1" w:styleId="31">
    <w:name w:val="active"/>
    <w:basedOn w:val="17"/>
    <w:qFormat/>
    <w:uiPriority w:val="0"/>
    <w:rPr>
      <w:color w:val="42C3F9"/>
      <w:shd w:val="clear" w:fill="FFFFFF"/>
    </w:rPr>
  </w:style>
  <w:style w:type="character" w:customStyle="1" w:styleId="32">
    <w:name w:val="last-child"/>
    <w:basedOn w:val="17"/>
    <w:qFormat/>
    <w:uiPriority w:val="0"/>
  </w:style>
  <w:style w:type="character" w:customStyle="1" w:styleId="33">
    <w:name w:val="split"/>
    <w:basedOn w:val="17"/>
    <w:qFormat/>
    <w:uiPriority w:val="0"/>
  </w:style>
  <w:style w:type="character" w:customStyle="1" w:styleId="34">
    <w:name w:val="split1"/>
    <w:basedOn w:val="17"/>
    <w:qFormat/>
    <w:uiPriority w:val="0"/>
    <w:rPr>
      <w:shd w:val="clear" w:fill="00DA81"/>
    </w:rPr>
  </w:style>
  <w:style w:type="character" w:customStyle="1" w:styleId="35">
    <w:name w:val="advice"/>
    <w:basedOn w:val="17"/>
    <w:qFormat/>
    <w:uiPriority w:val="0"/>
    <w:rPr>
      <w:color w:val="00DA81"/>
      <w:bdr w:val="single" w:color="00DA81" w:sz="4" w:space="0"/>
      <w:shd w:val="clear" w:fill="FFFFFF"/>
    </w:rPr>
  </w:style>
  <w:style w:type="character" w:customStyle="1" w:styleId="36">
    <w:name w:val="sm"/>
    <w:basedOn w:val="17"/>
    <w:qFormat/>
    <w:uiPriority w:val="0"/>
    <w:rPr>
      <w:sz w:val="12"/>
      <w:szCs w:val="12"/>
    </w:rPr>
  </w:style>
  <w:style w:type="character" w:customStyle="1" w:styleId="37">
    <w:name w:val="hover8"/>
    <w:basedOn w:val="17"/>
    <w:qFormat/>
    <w:uiPriority w:val="0"/>
    <w:rPr>
      <w:color w:val="00DA81"/>
      <w:bdr w:val="single" w:color="00DA81" w:sz="4" w:space="0"/>
      <w:shd w:val="clear" w:fill="FFFFFF"/>
    </w:rPr>
  </w:style>
  <w:style w:type="character" w:customStyle="1" w:styleId="38">
    <w:name w:val="hover9"/>
    <w:basedOn w:val="17"/>
    <w:qFormat/>
    <w:uiPriority w:val="0"/>
    <w:rPr>
      <w:color w:val="42C3F9"/>
      <w:shd w:val="clear" w:fill="FFFFFF"/>
    </w:rPr>
  </w:style>
  <w:style w:type="character" w:customStyle="1" w:styleId="39">
    <w:name w:val="hover10"/>
    <w:basedOn w:val="17"/>
    <w:qFormat/>
    <w:uiPriority w:val="0"/>
    <w:rPr>
      <w:color w:val="FFFFFF"/>
    </w:rPr>
  </w:style>
  <w:style w:type="character" w:customStyle="1" w:styleId="40">
    <w:name w:val="hover11"/>
    <w:basedOn w:val="17"/>
    <w:qFormat/>
    <w:uiPriority w:val="0"/>
    <w:rPr>
      <w:color w:val="000000"/>
      <w:shd w:val="clear" w:fill="F2F6FA"/>
    </w:rPr>
  </w:style>
  <w:style w:type="character" w:customStyle="1" w:styleId="41">
    <w:name w:val="on"/>
    <w:basedOn w:val="17"/>
    <w:qFormat/>
    <w:uiPriority w:val="0"/>
    <w:rPr>
      <w:color w:val="42C3F9"/>
      <w:shd w:val="clear" w:fill="FFFFFF"/>
    </w:rPr>
  </w:style>
  <w:style w:type="character" w:customStyle="1" w:styleId="42">
    <w:name w:val="on1"/>
    <w:basedOn w:val="17"/>
    <w:qFormat/>
    <w:uiPriority w:val="0"/>
    <w:rPr>
      <w:color w:val="00DA81"/>
      <w:bdr w:val="single" w:color="00DA81" w:sz="4" w:space="0"/>
      <w:shd w:val="clear" w:fill="FFFFFF"/>
    </w:rPr>
  </w:style>
  <w:style w:type="character" w:customStyle="1" w:styleId="43">
    <w:name w:val="statuspurchase"/>
    <w:basedOn w:val="17"/>
    <w:qFormat/>
    <w:uiPriority w:val="0"/>
    <w:rPr>
      <w:color w:val="D7000F"/>
      <w:sz w:val="14"/>
      <w:szCs w:val="14"/>
      <w:bdr w:val="single" w:color="D7000F" w:sz="4" w:space="0"/>
    </w:rPr>
  </w:style>
  <w:style w:type="character" w:customStyle="1" w:styleId="44">
    <w:name w:val="tz-new"/>
    <w:basedOn w:val="17"/>
    <w:qFormat/>
    <w:uiPriority w:val="0"/>
    <w:rPr>
      <w:sz w:val="12"/>
      <w:szCs w:val="12"/>
    </w:rPr>
  </w:style>
  <w:style w:type="character" w:customStyle="1" w:styleId="45">
    <w:name w:val="title22"/>
    <w:basedOn w:val="17"/>
    <w:qFormat/>
    <w:uiPriority w:val="0"/>
    <w:rPr>
      <w:sz w:val="16"/>
      <w:szCs w:val="16"/>
    </w:rPr>
  </w:style>
  <w:style w:type="character" w:customStyle="1" w:styleId="46">
    <w:name w:val="tel21"/>
    <w:basedOn w:val="17"/>
    <w:qFormat/>
    <w:uiPriority w:val="0"/>
    <w:rPr>
      <w:color w:val="000000"/>
      <w:sz w:val="18"/>
      <w:szCs w:val="18"/>
    </w:rPr>
  </w:style>
  <w:style w:type="character" w:customStyle="1" w:styleId="47">
    <w:name w:val="cdz1"/>
    <w:basedOn w:val="17"/>
    <w:qFormat/>
    <w:uiPriority w:val="0"/>
    <w:rPr>
      <w:color w:val="000000"/>
    </w:rPr>
  </w:style>
  <w:style w:type="character" w:customStyle="1" w:styleId="48">
    <w:name w:val="cnt1"/>
    <w:basedOn w:val="17"/>
    <w:qFormat/>
    <w:uiPriority w:val="0"/>
    <w:rPr>
      <w:color w:val="000000"/>
      <w:sz w:val="14"/>
      <w:szCs w:val="14"/>
    </w:rPr>
  </w:style>
  <w:style w:type="character" w:customStyle="1" w:styleId="49">
    <w:name w:val="zn"/>
    <w:basedOn w:val="17"/>
    <w:qFormat/>
    <w:uiPriority w:val="0"/>
    <w:rPr>
      <w:sz w:val="17"/>
      <w:szCs w:val="17"/>
    </w:rPr>
  </w:style>
  <w:style w:type="character" w:customStyle="1" w:styleId="50">
    <w:name w:val="text-sp"/>
    <w:basedOn w:val="17"/>
    <w:qFormat/>
    <w:uiPriority w:val="0"/>
  </w:style>
  <w:style w:type="character" w:customStyle="1" w:styleId="51">
    <w:name w:val="cdz"/>
    <w:basedOn w:val="17"/>
    <w:qFormat/>
    <w:uiPriority w:val="0"/>
    <w:rPr>
      <w:color w:val="000000"/>
    </w:rPr>
  </w:style>
  <w:style w:type="character" w:customStyle="1" w:styleId="52">
    <w:name w:val="title21"/>
    <w:basedOn w:val="17"/>
    <w:qFormat/>
    <w:uiPriority w:val="0"/>
    <w:rPr>
      <w:sz w:val="16"/>
      <w:szCs w:val="16"/>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34</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2023-04-11T01:06:00Z</dcterms:created>
  <dc:creator>huw.TPIM</dc:creator>
  <cp:lastModifiedBy>未定义</cp:lastModifiedBy>
  <cp:lastPrinted>2025-12-17T06:19:21Z</cp:lastPrinted>
  <dcterms:modified xsi:type="dcterms:W3CDTF">2025-12-17T06:20:03Z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B8CF44FE3490400CB8624D0CF8EB8838</vt:lpwstr>
  </property>
</Properties>
</file>