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240" w:lineRule="auto"/>
        <w:jc w:val="center"/>
        <w:rPr>
          <w:rFonts w:hint="eastAsia" w:ascii="方正小标宋简体" w:hAnsi="方正小标宋简体" w:eastAsia="方正小标宋简体" w:cs="方正小标宋简体"/>
          <w:b w:val="0"/>
          <w:bCs w:val="0"/>
        </w:rPr>
      </w:pPr>
      <w:r>
        <w:rPr>
          <w:rFonts w:ascii="方正小标宋简体" w:hAnsi="方正小标宋简体" w:eastAsia="方正小标宋简体" w:cs="方正小标宋简体"/>
          <w:b w:val="0"/>
          <w:bCs w:val="0"/>
        </w:rPr>
        <w:t>202</w:t>
      </w:r>
      <w:r>
        <w:rPr>
          <w:rFonts w:hint="eastAsia" w:ascii="方正小标宋简体" w:hAnsi="方正小标宋简体" w:eastAsia="方正小标宋简体" w:cs="方正小标宋简体"/>
          <w:b w:val="0"/>
          <w:bCs w:val="0"/>
        </w:rPr>
        <w:t>5</w:t>
      </w:r>
      <w:r>
        <w:rPr>
          <w:rFonts w:ascii="方正小标宋简体" w:hAnsi="方正小标宋简体" w:eastAsia="方正小标宋简体" w:cs="方正小标宋简体"/>
          <w:b w:val="0"/>
          <w:bCs w:val="0"/>
        </w:rPr>
        <w:t>-202</w:t>
      </w:r>
      <w:r>
        <w:rPr>
          <w:rFonts w:hint="eastAsia" w:ascii="方正小标宋简体" w:hAnsi="方正小标宋简体" w:eastAsia="方正小标宋简体" w:cs="方正小标宋简体"/>
          <w:b w:val="0"/>
          <w:bCs w:val="0"/>
        </w:rPr>
        <w:t>6</w:t>
      </w:r>
      <w:r>
        <w:rPr>
          <w:rFonts w:ascii="方正小标宋简体" w:hAnsi="方正小标宋简体" w:eastAsia="方正小标宋简体" w:cs="方正小标宋简体"/>
          <w:b w:val="0"/>
          <w:bCs w:val="0"/>
        </w:rPr>
        <w:t>年互联网关口监测服务</w:t>
      </w:r>
    </w:p>
    <w:p>
      <w:pPr>
        <w:pStyle w:val="2"/>
        <w:spacing w:before="0" w:after="0" w:line="56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一、采购清单</w:t>
      </w:r>
    </w:p>
    <w:tbl>
      <w:tblPr>
        <w:tblStyle w:val="7"/>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3402"/>
        <w:gridCol w:w="1701"/>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服务名称</w:t>
            </w:r>
          </w:p>
        </w:tc>
        <w:tc>
          <w:tcPr>
            <w:tcW w:w="3402" w:type="dxa"/>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服务介绍</w:t>
            </w:r>
          </w:p>
        </w:tc>
        <w:tc>
          <w:tcPr>
            <w:tcW w:w="1701" w:type="dxa"/>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采购服务年限</w:t>
            </w:r>
          </w:p>
        </w:tc>
        <w:tc>
          <w:tcPr>
            <w:tcW w:w="1985" w:type="dxa"/>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服务地点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rPr>
                <w:rFonts w:hint="eastAsia" w:ascii="仿宋_GB2312" w:hAnsi="仿宋_GB2312" w:eastAsia="仿宋_GB2312" w:cs="仿宋_GB2312"/>
                <w:sz w:val="24"/>
              </w:rPr>
            </w:pPr>
            <w:r>
              <w:rPr>
                <w:rFonts w:hint="eastAsia" w:ascii="仿宋_GB2312" w:hAnsi="仿宋_GB2312" w:eastAsia="仿宋_GB2312" w:cs="仿宋_GB2312"/>
                <w:sz w:val="24"/>
              </w:rPr>
              <w:t>互联网网络安全关口监测服务</w:t>
            </w:r>
          </w:p>
        </w:tc>
        <w:tc>
          <w:tcPr>
            <w:tcW w:w="3402" w:type="dxa"/>
            <w:vAlign w:val="center"/>
          </w:tcPr>
          <w:p>
            <w:pPr>
              <w:rPr>
                <w:rFonts w:hint="eastAsia" w:ascii="仿宋_GB2312" w:hAnsi="仿宋_GB2312" w:eastAsia="仿宋_GB2312" w:cs="仿宋_GB2312"/>
                <w:sz w:val="24"/>
              </w:rPr>
            </w:pPr>
            <w:r>
              <w:rPr>
                <w:rFonts w:hint="eastAsia" w:ascii="仿宋_GB2312" w:hAnsi="仿宋_GB2312" w:eastAsia="仿宋_GB2312" w:cs="仿宋_GB2312"/>
                <w:sz w:val="24"/>
              </w:rPr>
              <w:t>通过硬件设备以旁路的方式部署于用户单位网络出口，利用国家级网络异常特征库可以对用户单位网络数据进行监测和分析，并且与国家网络安全监测平台联动，对外部网络攻击入侵等进行监测。</w:t>
            </w:r>
          </w:p>
        </w:tc>
        <w:tc>
          <w:tcPr>
            <w:tcW w:w="1701" w:type="dxa"/>
            <w:vAlign w:val="center"/>
          </w:tcPr>
          <w:p>
            <w:pPr>
              <w:rPr>
                <w:rFonts w:hint="eastAsia" w:ascii="仿宋_GB2312" w:hAnsi="仿宋_GB2312" w:eastAsia="仿宋_GB2312" w:cs="仿宋_GB2312"/>
                <w:sz w:val="24"/>
              </w:rPr>
            </w:pPr>
            <w:r>
              <w:rPr>
                <w:rFonts w:hint="eastAsia" w:ascii="仿宋_GB2312" w:hAnsi="仿宋_GB2312" w:eastAsia="仿宋_GB2312" w:cs="仿宋_GB2312"/>
                <w:sz w:val="24"/>
              </w:rPr>
              <w:t>服务开通后1年</w:t>
            </w:r>
          </w:p>
        </w:tc>
        <w:tc>
          <w:tcPr>
            <w:tcW w:w="1985" w:type="dxa"/>
            <w:vAlign w:val="center"/>
          </w:tcPr>
          <w:p>
            <w:pPr>
              <w:rPr>
                <w:rFonts w:hint="eastAsia" w:ascii="仿宋_GB2312" w:hAnsi="仿宋_GB2312" w:eastAsia="仿宋_GB2312" w:cs="仿宋_GB2312"/>
                <w:sz w:val="24"/>
              </w:rPr>
            </w:pPr>
            <w:r>
              <w:rPr>
                <w:rFonts w:hint="eastAsia" w:ascii="仿宋_GB2312" w:hAnsi="仿宋_GB2312" w:eastAsia="仿宋_GB2312" w:cs="仿宋_GB2312"/>
                <w:sz w:val="24"/>
              </w:rPr>
              <w:t>系统部署：太平金科上海数据中心。</w:t>
            </w:r>
          </w:p>
          <w:p>
            <w:pPr>
              <w:rPr>
                <w:rFonts w:hint="eastAsia" w:ascii="仿宋_GB2312" w:hAnsi="仿宋_GB2312" w:eastAsia="仿宋_GB2312" w:cs="仿宋_GB2312"/>
                <w:sz w:val="24"/>
              </w:rPr>
            </w:pPr>
            <w:r>
              <w:rPr>
                <w:rFonts w:hint="eastAsia" w:ascii="仿宋_GB2312" w:hAnsi="仿宋_GB2312" w:eastAsia="仿宋_GB2312" w:cs="仿宋_GB2312"/>
                <w:sz w:val="24"/>
              </w:rPr>
              <w:t>监测服务：远程支持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rPr>
                <w:rFonts w:hint="eastAsia" w:ascii="仿宋_GB2312" w:hAnsi="仿宋_GB2312" w:eastAsia="仿宋_GB2312" w:cs="仿宋_GB2312"/>
                <w:sz w:val="24"/>
              </w:rPr>
            </w:pPr>
            <w:r>
              <w:rPr>
                <w:rFonts w:hint="eastAsia" w:ascii="仿宋_GB2312" w:hAnsi="仿宋_GB2312" w:eastAsia="仿宋_GB2312" w:cs="仿宋_GB2312"/>
                <w:sz w:val="24"/>
              </w:rPr>
              <w:t>网站安全事件监测与通报服务</w:t>
            </w:r>
          </w:p>
        </w:tc>
        <w:tc>
          <w:tcPr>
            <w:tcW w:w="3402" w:type="dxa"/>
            <w:vAlign w:val="center"/>
          </w:tcPr>
          <w:p>
            <w:pPr>
              <w:rPr>
                <w:rFonts w:hint="eastAsia" w:ascii="仿宋_GB2312" w:hAnsi="仿宋_GB2312" w:eastAsia="仿宋_GB2312" w:cs="仿宋_GB2312"/>
                <w:sz w:val="24"/>
              </w:rPr>
            </w:pPr>
            <w:r>
              <w:rPr>
                <w:rFonts w:hint="eastAsia" w:ascii="仿宋_GB2312" w:hAnsi="仿宋_GB2312" w:eastAsia="仿宋_GB2312" w:cs="仿宋_GB2312"/>
                <w:sz w:val="24"/>
              </w:rPr>
              <w:t>在公共互联网上，对用户单位拥有的网站开展网页篡改、网页挂马、网站后门等安全事件的外围性监测和预警通报。</w:t>
            </w:r>
          </w:p>
        </w:tc>
        <w:tc>
          <w:tcPr>
            <w:tcW w:w="1701" w:type="dxa"/>
            <w:vAlign w:val="center"/>
          </w:tcPr>
          <w:p>
            <w:pPr>
              <w:rPr>
                <w:rFonts w:hint="eastAsia" w:ascii="仿宋_GB2312" w:hAnsi="仿宋_GB2312" w:eastAsia="仿宋_GB2312" w:cs="仿宋_GB2312"/>
                <w:sz w:val="24"/>
              </w:rPr>
            </w:pPr>
            <w:r>
              <w:rPr>
                <w:rFonts w:hint="eastAsia" w:ascii="仿宋_GB2312" w:hAnsi="仿宋_GB2312" w:eastAsia="仿宋_GB2312" w:cs="仿宋_GB2312"/>
                <w:sz w:val="24"/>
              </w:rPr>
              <w:t>服务开通后1年</w:t>
            </w:r>
          </w:p>
        </w:tc>
        <w:tc>
          <w:tcPr>
            <w:tcW w:w="1985" w:type="dxa"/>
            <w:vAlign w:val="center"/>
          </w:tcPr>
          <w:p>
            <w:pPr>
              <w:rPr>
                <w:rFonts w:hint="eastAsia" w:ascii="仿宋_GB2312" w:hAnsi="仿宋_GB2312" w:eastAsia="仿宋_GB2312" w:cs="仿宋_GB2312"/>
                <w:sz w:val="24"/>
              </w:rPr>
            </w:pPr>
            <w:r>
              <w:rPr>
                <w:rFonts w:hint="eastAsia" w:ascii="仿宋_GB2312" w:hAnsi="仿宋_GB2312" w:eastAsia="仿宋_GB2312" w:cs="仿宋_GB2312"/>
                <w:sz w:val="24"/>
              </w:rPr>
              <w:t>远程技术支持服务</w:t>
            </w:r>
          </w:p>
        </w:tc>
      </w:tr>
    </w:tbl>
    <w:p>
      <w:pPr>
        <w:pStyle w:val="2"/>
        <w:spacing w:before="0" w:after="0" w:line="560" w:lineRule="exact"/>
        <w:ind w:firstLine="640" w:firstLineChars="200"/>
        <w:rPr>
          <w:rFonts w:hint="eastAsia" w:ascii="黑体" w:hAnsi="黑体" w:eastAsia="黑体" w:cs="黑体"/>
          <w:b w:val="0"/>
          <w:bCs w:val="0"/>
          <w:sz w:val="32"/>
          <w:szCs w:val="32"/>
        </w:rPr>
      </w:pPr>
    </w:p>
    <w:p>
      <w:pPr>
        <w:pStyle w:val="2"/>
        <w:spacing w:before="0" w:after="0" w:line="56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二、服务要求</w:t>
      </w:r>
    </w:p>
    <w:p>
      <w:pPr>
        <w:pStyle w:val="2"/>
        <w:spacing w:before="0" w:after="0" w:line="560" w:lineRule="exact"/>
        <w:ind w:firstLine="643"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（一）互联网网络安全关口监测服务</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1.服务描述</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硬件设备以旁路的方式部署于用户单位网络出口，利用国家级网络异常特征库可以对用户单位网络数据进行监测和分析，并且与国家网络安全监测平台联动，利用CNVD等国家级网络安全漏洞库资源，对外部网络攻击入侵等进行监测；</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2.监测范围</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7*24小时不间断对用户网络进行监测和分析，一旦发现异常，精确定位主机，监测范围如下：</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•一般恶意代码：木马、僵尸网络、蠕虫病毒等。</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特种窃密木马</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流量异常监测与拒绝服务攻击检测</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网站后门</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3.服务方式</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为用户单位提供互联网网络安全关口监测、预警和相关安全事件的远程处置服务。具体如下：</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在用户单位网络出口部署关口监测系统，并与的国家网络安全监测平台联动，开展对用户单位网络进行7x24小时不间断监测。</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关口监测系统所需网络接入环境和所需硬件设备由用户单位提供，所需的专用软件系统及配套的安装、配置等集成服务由厂商提供。</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根据用户单位提供的信息网络系统的域名、IP地址、软硬件配置、网络结构等基础性数据信息，制定在用户单位安装部署关口监测系统的技术实施方案。在用户单位认可方案后，由负责关口监测系统的具体建设实施。</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该系统建设完成后，用户单位负责日常的硬件设备看护，负责监测数据分析、安全策略管理、监测特征库更新、软件系统故障排除等系统维护服务。同时，还向用户单位提供相关网络安全事件的远程应急处置服务。</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对于安装关口监测系统的网段，同时可获得“联网终端安全监测与通报服务”。</w:t>
      </w:r>
    </w:p>
    <w:p>
      <w:pPr>
        <w:pStyle w:val="2"/>
        <w:spacing w:before="0" w:after="0" w:line="560" w:lineRule="exact"/>
        <w:ind w:firstLine="643"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（二）网站安全事件监测与通报服务</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服务内容：依托国家网络安全监测平台，在我国公共互联网国际出入口及各省出入口上，对用户单位拥有的网站开展网页篡改、网页挂马、网站后门等安全事件的外围性监测和预警通报，协助用户单位及时发现网站的来自境内外的网络安全攻击、安全事件和存在的隐患，并对用户单位处置这类安全事件提供一定的远程技术支持服务。监测流量需覆盖电信、移动、联通三大基础运营商网络。</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1.网站安全事件监测服务</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具体内容：在全网范围内，7×24小时开展针对用户单位拥有的网站（具体信息由用户单位提供）的网络安全外围性监测。具体监测内容包括但不限于：</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网页篡改事件；</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网页挂马事件；</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网站后门事件。</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在监测发现针对用户单位网站的安全事件后，按照“2.网站安全事件预警通报服务”有关约定向用户单位通报。</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2.网站安全事件预警通报服务</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事件通报内容：自主监测和其他渠道获得的涉及用户单位网站的安全事件，事件类型同“（1）网站安全事件监测服务”约定的监测内容。</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事件通报要求：监测发现一般网络安全事件后，应在1个工作日内以邮件形式内向用户单位指定人员通报；监测发现较大级别以上的网络安全事件后，应在1个小时内通过电话或短信向用户单位指定人员通报，同时以邮件形式通报事件发生具体情况。通报内容至少包括事件名称、事件类型、发生时间、事件描述、处置建议等。</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3.网站安全事件远程技术支持服务</w:t>
      </w:r>
    </w:p>
    <w:p>
      <w:pPr>
        <w:tabs>
          <w:tab w:val="left" w:pos="414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具体内容：接到用户单位的网站安全事件远程技术支持请求后，组织对安全事件进行分析，并向用户单位提供处置网站安全事件的建议，指导用户单位完成相关安全事件的处置。</w:t>
      </w:r>
    </w:p>
    <w:p>
      <w:pPr>
        <w:pStyle w:val="2"/>
        <w:spacing w:before="0" w:after="0" w:line="56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三、服务商资质和能力要求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.在上海有技术团队做技术服务支持，至少有1名以上工程师，并指定专人工程师为项目接口工程师，提供标的服务技术服务支持；</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.硬件故障处理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提供服务期限内产品维修服务。若出现硬件故障问题，从招标方报修开始至厂维修完毕返还给用户应不超过10个工作日，维修产品的运费及运输保险费由投标方承担；</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.技术咨询服务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（1）免费为用户提供产品咨询服务，协助用户进行新需求规划；</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（2）招标方在系统相关环境上进行研发测试过程中，遇到技术难题时，提供技术咨询服务，包括远程电话支持和现场研讨支持；</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.系统配置管理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建立所有服务设备的配置统计文档，在服务期间随时更新设备硬件或系统软件配置变更的情况； </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.不间断服务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（1）7×24小时响应的电话、传真、E-MAIL方式等日常售后技术服务；提供7×24小时的支持服务，设备出现故障进行实时电话响应；</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（2）设备出现故障，如电话、远程等方式不能解决，全国范围内1天内赶到现场，24小时内排除由设备问题造成的网络故障；</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.疑难问题升级处理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就服务设备在用户日常管理中遇到的疑难杂症进行升级处理，疑难问题不限于设备故障；</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.系统升级、补丁安装服务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提供服务期限内版本及补丁免费升级服务，供用户自行升级以及提供技术支持服务；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.系统及相关环境重建服务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设备服务期间，提供系统及相关环境的重新搭建服务； </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.重要事件服务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服务期内若招标方有特殊需求（如网络架构调整需求等），投标方技术支持工程师须在招标方提出需求的1天内到达招标方现场配合讨论方案和进行现场配置和调试； </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.紧急处理服务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（1）对于紧急支持服务需求（例如系统瘫痪等严重问题），投标方须在接到招标方服务要求后4个小时内作出反应，在1天内到达招标方现场；</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服务期内，若因设备硬件问题影响招标方正常生产环境，投标方须在2天内调拨备机到招标方现场，并确保备机的运行状态正常，提供的备机服务应符合现在管理平台的要求，提供的备机应为同等档次或高于目前使用的型号；</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.硬件设备移机服务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根据招标方实际需求提供硬件设备的物理搬迁服务。在搬迁过程中，提供相当于搬迁设备同样配置的备机在招标方本地，保障设备移机前后的正常运行；搬迁过程中如设备有任何损坏，其造成的损失在得到招标方认可的前提下，全部由投标方负责赔偿；</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.辅助故障定位服务</w:t>
      </w:r>
    </w:p>
    <w:p>
      <w:pPr>
        <w:spacing w:line="560" w:lineRule="exact"/>
        <w:ind w:firstLine="640" w:firstLineChars="200"/>
      </w:pPr>
      <w:r>
        <w:rPr>
          <w:rFonts w:hint="eastAsia" w:ascii="仿宋_GB2312" w:hAnsi="仿宋_GB2312" w:eastAsia="仿宋_GB2312" w:cs="仿宋_GB2312"/>
          <w:sz w:val="32"/>
          <w:szCs w:val="32"/>
        </w:rPr>
        <w:t>（1）在招标方使用主流品牌的硬件、软件产品出现兼容性问题时，积极配合，与有关硬件、软件厂商和采购人接洽，及时定位问题原因、寻</w:t>
      </w:r>
      <w:bookmarkStart w:id="0" w:name="_GoBack"/>
      <w:bookmarkEnd w:id="0"/>
      <w:r>
        <w:rPr>
          <w:rFonts w:hint="eastAsia" w:ascii="仿宋_GB2312" w:hAnsi="仿宋_GB2312" w:eastAsia="仿宋_GB2312" w:cs="仿宋_GB2312"/>
          <w:sz w:val="32"/>
          <w:szCs w:val="32"/>
        </w:rPr>
        <w:t>求解决方案。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4F72"/>
    <w:rsid w:val="00054D52"/>
    <w:rsid w:val="006F718B"/>
    <w:rsid w:val="00A20D79"/>
    <w:rsid w:val="00D8026E"/>
    <w:rsid w:val="00F54F72"/>
    <w:rsid w:val="09F0285C"/>
    <w:rsid w:val="0B73221C"/>
    <w:rsid w:val="0EF37117"/>
    <w:rsid w:val="10E20B40"/>
    <w:rsid w:val="112A0F34"/>
    <w:rsid w:val="118925D3"/>
    <w:rsid w:val="14D058B3"/>
    <w:rsid w:val="15456B76"/>
    <w:rsid w:val="19DB757A"/>
    <w:rsid w:val="1DF67D44"/>
    <w:rsid w:val="1F390CCB"/>
    <w:rsid w:val="209A79D9"/>
    <w:rsid w:val="20F71F25"/>
    <w:rsid w:val="26C174A2"/>
    <w:rsid w:val="28D45C09"/>
    <w:rsid w:val="2C503941"/>
    <w:rsid w:val="2CEC37BF"/>
    <w:rsid w:val="300D20E3"/>
    <w:rsid w:val="32774ADB"/>
    <w:rsid w:val="332C7E91"/>
    <w:rsid w:val="341D68CD"/>
    <w:rsid w:val="357E6FD1"/>
    <w:rsid w:val="36D52E06"/>
    <w:rsid w:val="37C97492"/>
    <w:rsid w:val="38111509"/>
    <w:rsid w:val="39105A97"/>
    <w:rsid w:val="3EB035E6"/>
    <w:rsid w:val="3EDC31B1"/>
    <w:rsid w:val="45FF1C64"/>
    <w:rsid w:val="47FD752B"/>
    <w:rsid w:val="482A5A71"/>
    <w:rsid w:val="48D7140D"/>
    <w:rsid w:val="4A8D0ADE"/>
    <w:rsid w:val="4AE414ED"/>
    <w:rsid w:val="4B652D40"/>
    <w:rsid w:val="4CE20FB3"/>
    <w:rsid w:val="4E2232CE"/>
    <w:rsid w:val="4FAD6EC7"/>
    <w:rsid w:val="55966EF8"/>
    <w:rsid w:val="579B08C7"/>
    <w:rsid w:val="588E4ED4"/>
    <w:rsid w:val="59522196"/>
    <w:rsid w:val="635A29E8"/>
    <w:rsid w:val="650D0874"/>
    <w:rsid w:val="69482CC7"/>
    <w:rsid w:val="6B411F12"/>
    <w:rsid w:val="6D06056F"/>
    <w:rsid w:val="71D80DD7"/>
    <w:rsid w:val="7331488C"/>
    <w:rsid w:val="73643DE1"/>
    <w:rsid w:val="77DD4EB4"/>
    <w:rsid w:val="79C64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adjustRightInd w:val="0"/>
      <w:spacing w:line="312" w:lineRule="atLeast"/>
      <w:ind w:firstLine="420"/>
      <w:textAlignment w:val="baseline"/>
    </w:pPr>
  </w:style>
  <w:style w:type="paragraph" w:styleId="4">
    <w:name w:val="Body Text"/>
    <w:basedOn w:val="1"/>
    <w:next w:val="1"/>
    <w:unhideWhenUsed/>
    <w:qFormat/>
    <w:uiPriority w:val="0"/>
    <w:pPr>
      <w:spacing w:after="120"/>
    </w:pPr>
  </w:style>
  <w:style w:type="paragraph" w:styleId="5">
    <w:name w:val="footer"/>
    <w:basedOn w:val="1"/>
    <w:link w:val="11"/>
    <w:qFormat/>
    <w:uiPriority w:val="0"/>
    <w:pPr>
      <w:tabs>
        <w:tab w:val="center" w:pos="4153"/>
        <w:tab w:val="right" w:pos="8306"/>
      </w:tabs>
      <w:snapToGrid w:val="0"/>
      <w:jc w:val="left"/>
    </w:pPr>
    <w:rPr>
      <w:sz w:val="18"/>
      <w:szCs w:val="18"/>
    </w:rPr>
  </w:style>
  <w:style w:type="paragraph" w:styleId="6">
    <w:name w:val="header"/>
    <w:basedOn w:val="1"/>
    <w:link w:val="10"/>
    <w:qFormat/>
    <w:uiPriority w:val="0"/>
    <w:pPr>
      <w:tabs>
        <w:tab w:val="center" w:pos="4153"/>
        <w:tab w:val="right" w:pos="8306"/>
      </w:tabs>
      <w:snapToGrid w:val="0"/>
      <w:jc w:val="center"/>
    </w:pPr>
    <w:rPr>
      <w:sz w:val="18"/>
      <w:szCs w:val="18"/>
    </w:rPr>
  </w:style>
  <w:style w:type="paragraph" w:styleId="9">
    <w:name w:val="List Paragraph"/>
    <w:basedOn w:val="1"/>
    <w:qFormat/>
    <w:uiPriority w:val="99"/>
    <w:pPr>
      <w:ind w:firstLine="420" w:firstLineChars="200"/>
    </w:pPr>
  </w:style>
  <w:style w:type="character" w:customStyle="1" w:styleId="10">
    <w:name w:val="页眉 字符"/>
    <w:basedOn w:val="8"/>
    <w:link w:val="6"/>
    <w:qFormat/>
    <w:uiPriority w:val="0"/>
    <w:rPr>
      <w:rFonts w:asciiTheme="minorHAnsi" w:hAnsiTheme="minorHAnsi" w:eastAsiaTheme="minorEastAsia" w:cstheme="minorBidi"/>
      <w:kern w:val="2"/>
      <w:sz w:val="18"/>
      <w:szCs w:val="18"/>
    </w:rPr>
  </w:style>
  <w:style w:type="character" w:customStyle="1" w:styleId="11">
    <w:name w:val="页脚 字符"/>
    <w:basedOn w:val="8"/>
    <w:link w:val="5"/>
    <w:qFormat/>
    <w:uiPriority w:val="0"/>
    <w:rPr>
      <w:rFonts w:asciiTheme="minorHAnsi" w:hAnsiTheme="minorHAnsi" w:eastAsiaTheme="minorEastAsia" w:cstheme="minorBidi"/>
      <w:kern w:val="2"/>
      <w:sz w:val="18"/>
      <w:szCs w:val="18"/>
    </w:rPr>
  </w:style>
  <w:style w:type="paragraph" w:customStyle="1" w:styleId="12">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430</Words>
  <Characters>2451</Characters>
  <Lines>20</Lines>
  <Paragraphs>5</Paragraphs>
  <TotalTime>16</TotalTime>
  <ScaleCrop>false</ScaleCrop>
  <LinksUpToDate>false</LinksUpToDate>
  <CharactersWithSpaces>2876</CharactersWithSpaces>
  <Application>WPS Office_11.8.2.12316_F1E327BC-269C-435d-A152-05C5408002CA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2025-02-05T02:01:00Z</dcterms:created>
  <dc:creator>wanglei.ft</dc:creator>
  <cp:lastModifiedBy>王鹏翔</cp:lastModifiedBy>
  <dcterms:modified xsi:type="dcterms:W3CDTF">2025-10-21T06:36:41Z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2052-11.8.2.12316</vt:lpwstr>
  </property>
  <property fmtid="{D5CDD505-2E9C-101B-9397-08002B2CF9AE}" pid="3" name="ICV">
    <vt:lpwstr>44982275FD5140B08572A09B739E45D9</vt:lpwstr>
  </property>
</Properties>
</file>