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E6FD8">
      <w:pPr>
        <w:jc w:val="center"/>
        <w:rPr>
          <w:rFonts w:hint="eastAsia" w:ascii="宋体" w:hAnsi="宋体" w:eastAsia="宋体" w:cs="宋体"/>
          <w:b/>
          <w:bCs/>
          <w:sz w:val="44"/>
          <w:szCs w:val="44"/>
        </w:rPr>
      </w:pPr>
      <w:r>
        <w:rPr>
          <w:rFonts w:hint="eastAsia" w:ascii="宋体" w:hAnsi="宋体" w:eastAsia="宋体" w:cs="宋体"/>
          <w:b/>
          <w:bCs/>
          <w:sz w:val="44"/>
          <w:szCs w:val="44"/>
        </w:rPr>
        <w:t>中国建设银行股份有限公司天津河东支行天津市职业病防治院人工窗口聚合支付项目软硬件集成服务采购需求主要内容</w:t>
      </w:r>
    </w:p>
    <w:p w14:paraId="3FA2AEB4">
      <w:pPr>
        <w:ind w:firstLine="1325" w:firstLineChars="300"/>
        <w:jc w:val="both"/>
        <w:rPr>
          <w:rFonts w:hint="eastAsia" w:ascii="宋体" w:hAnsi="宋体" w:eastAsia="宋体" w:cs="宋体"/>
          <w:b/>
          <w:bCs/>
          <w:sz w:val="44"/>
          <w:szCs w:val="44"/>
        </w:rPr>
      </w:pPr>
      <w:r>
        <w:rPr>
          <w:rFonts w:hint="eastAsia" w:ascii="宋体" w:hAnsi="宋体" w:eastAsia="宋体" w:cs="宋体"/>
          <w:b/>
          <w:bCs/>
          <w:sz w:val="44"/>
          <w:szCs w:val="44"/>
        </w:rPr>
        <w:t>（一般包括以下所列内容）</w:t>
      </w:r>
    </w:p>
    <w:p w14:paraId="346C4B9A">
      <w:pPr>
        <w:jc w:val="center"/>
        <w:rPr>
          <w:rFonts w:hint="eastAsia" w:ascii="宋体" w:hAnsi="宋体" w:eastAsia="宋体" w:cs="宋体"/>
          <w:b/>
          <w:bCs/>
          <w:sz w:val="36"/>
          <w:szCs w:val="36"/>
        </w:rPr>
      </w:pPr>
    </w:p>
    <w:p w14:paraId="20AA027D">
      <w:pPr>
        <w:numPr>
          <w:ilvl w:val="0"/>
          <w:numId w:val="1"/>
        </w:numPr>
        <w:ind w:firstLine="602" w:firstLineChars="200"/>
        <w:jc w:val="left"/>
        <w:rPr>
          <w:rFonts w:hint="eastAsia" w:ascii="宋体" w:hAnsi="宋体" w:eastAsia="宋体" w:cs="宋体"/>
          <w:b/>
          <w:bCs/>
          <w:sz w:val="30"/>
          <w:szCs w:val="30"/>
        </w:rPr>
      </w:pPr>
      <w:r>
        <w:rPr>
          <w:rFonts w:hint="eastAsia" w:ascii="宋体" w:hAnsi="宋体" w:eastAsia="宋体" w:cs="宋体"/>
          <w:b/>
          <w:bCs/>
          <w:sz w:val="30"/>
          <w:szCs w:val="30"/>
        </w:rPr>
        <w:t>软硬件集成内容、要求及目标说明（包括集成后的系统功能、性能要求等）</w:t>
      </w:r>
    </w:p>
    <w:p w14:paraId="0F354DCB">
      <w:pPr>
        <w:adjustRightInd w:val="0"/>
        <w:snapToGrid w:val="0"/>
        <w:spacing w:line="360" w:lineRule="auto"/>
        <w:ind w:firstLine="600" w:firstLineChars="200"/>
        <w:jc w:val="both"/>
        <w:rPr>
          <w:rFonts w:ascii="宋体" w:hAnsi="宋体" w:eastAsia="宋体" w:cs="宋体"/>
          <w:sz w:val="30"/>
          <w:szCs w:val="30"/>
        </w:rPr>
      </w:pPr>
      <w:bookmarkStart w:id="0" w:name="_Hlk212191060"/>
      <w:r>
        <w:rPr>
          <w:rFonts w:hint="eastAsia" w:ascii="宋体" w:hAnsi="宋体" w:eastAsia="宋体" w:cs="宋体"/>
          <w:sz w:val="30"/>
          <w:szCs w:val="30"/>
          <w:lang w:val="en-US" w:eastAsia="zh-CN"/>
        </w:rPr>
        <w:t>天津市职业病防治院人工窗口聚合支付项目</w:t>
      </w:r>
      <w:r>
        <w:rPr>
          <w:rFonts w:ascii="宋体" w:hAnsi="宋体" w:eastAsia="宋体" w:cs="宋体"/>
          <w:sz w:val="30"/>
          <w:szCs w:val="30"/>
        </w:rPr>
        <w:t>建设通过先进的软硬件集成，打造高效、智能的</w:t>
      </w:r>
      <w:r>
        <w:rPr>
          <w:rFonts w:hint="eastAsia" w:ascii="宋体" w:hAnsi="宋体" w:eastAsia="宋体" w:cs="宋体"/>
          <w:sz w:val="30"/>
          <w:szCs w:val="30"/>
        </w:rPr>
        <w:t>银行收单</w:t>
      </w:r>
      <w:r>
        <w:rPr>
          <w:rFonts w:ascii="宋体" w:hAnsi="宋体" w:eastAsia="宋体" w:cs="宋体"/>
          <w:sz w:val="30"/>
          <w:szCs w:val="30"/>
        </w:rPr>
        <w:t>体系。</w:t>
      </w:r>
      <w:r>
        <w:rPr>
          <w:rFonts w:hint="eastAsia" w:ascii="宋体" w:hAnsi="宋体" w:eastAsia="宋体" w:cs="宋体"/>
          <w:sz w:val="30"/>
          <w:szCs w:val="30"/>
          <w:lang w:val="en-US" w:eastAsia="zh-CN"/>
        </w:rPr>
        <w:t>通过对收费大厅人工窗口的不同支付渠道进行整合，借助银行聚合支付提高支付结算系统运行效率，同时需支持与医院现行财务核算体系进行标准化接口适配，实现收费结账、票据打印、统一对账、报表查询等核心业务功能</w:t>
      </w:r>
      <w:bookmarkEnd w:id="0"/>
      <w:r>
        <w:rPr>
          <w:rFonts w:hint="eastAsia" w:ascii="宋体" w:hAnsi="宋体" w:eastAsia="宋体" w:cs="宋体"/>
          <w:sz w:val="30"/>
          <w:szCs w:val="30"/>
          <w:lang w:val="en-US" w:eastAsia="zh-CN"/>
        </w:rPr>
        <w:t>，</w:t>
      </w:r>
      <w:r>
        <w:rPr>
          <w:rFonts w:ascii="宋体" w:hAnsi="宋体" w:eastAsia="宋体" w:cs="宋体"/>
          <w:sz w:val="30"/>
          <w:szCs w:val="30"/>
        </w:rPr>
        <w:t>助力医院实现数字化转型与可持续发展。</w:t>
      </w:r>
      <w:bookmarkStart w:id="1" w:name="_GoBack"/>
      <w:bookmarkEnd w:id="1"/>
    </w:p>
    <w:p w14:paraId="39BE2F56">
      <w:pPr>
        <w:adjustRightInd w:val="0"/>
        <w:snapToGrid w:val="0"/>
        <w:spacing w:line="360" w:lineRule="auto"/>
        <w:ind w:firstLine="600" w:firstLineChars="200"/>
        <w:jc w:val="both"/>
        <w:rPr>
          <w:rFonts w:ascii="宋体" w:hAnsi="宋体" w:eastAsia="宋体" w:cs="宋体"/>
          <w:sz w:val="30"/>
          <w:szCs w:val="30"/>
        </w:rPr>
      </w:pPr>
    </w:p>
    <w:tbl>
      <w:tblPr>
        <w:tblStyle w:val="3"/>
        <w:tblW w:w="51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193"/>
        <w:gridCol w:w="4254"/>
        <w:gridCol w:w="793"/>
        <w:gridCol w:w="793"/>
        <w:gridCol w:w="1076"/>
      </w:tblGrid>
      <w:tr w14:paraId="5BC6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408" w:type="pct"/>
            <w:vAlign w:val="center"/>
          </w:tcPr>
          <w:p w14:paraId="21F3CCB2">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lang w:bidi="ar"/>
              </w:rPr>
              <w:t>序号</w:t>
            </w:r>
          </w:p>
        </w:tc>
        <w:tc>
          <w:tcPr>
            <w:tcW w:w="674" w:type="pct"/>
            <w:vAlign w:val="center"/>
          </w:tcPr>
          <w:p w14:paraId="7054F9C9">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系统名称</w:t>
            </w:r>
          </w:p>
        </w:tc>
        <w:tc>
          <w:tcPr>
            <w:tcW w:w="2407" w:type="pct"/>
            <w:vAlign w:val="center"/>
          </w:tcPr>
          <w:p w14:paraId="448F5C47">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lang w:bidi="ar"/>
              </w:rPr>
              <w:t>服务内容</w:t>
            </w:r>
          </w:p>
        </w:tc>
        <w:tc>
          <w:tcPr>
            <w:tcW w:w="449" w:type="pct"/>
            <w:vAlign w:val="center"/>
          </w:tcPr>
          <w:p w14:paraId="4FB7CF70">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lang w:bidi="ar"/>
              </w:rPr>
              <w:t>单位</w:t>
            </w:r>
          </w:p>
        </w:tc>
        <w:tc>
          <w:tcPr>
            <w:tcW w:w="449" w:type="pct"/>
            <w:vAlign w:val="center"/>
          </w:tcPr>
          <w:p w14:paraId="31666666">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lang w:bidi="ar"/>
              </w:rPr>
              <w:t>数量</w:t>
            </w:r>
          </w:p>
        </w:tc>
        <w:tc>
          <w:tcPr>
            <w:tcW w:w="609" w:type="pct"/>
            <w:vAlign w:val="center"/>
          </w:tcPr>
          <w:p w14:paraId="03C264C2">
            <w:pPr>
              <w:widowControl/>
              <w:jc w:val="center"/>
              <w:textAlignment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lang w:bidi="ar"/>
              </w:rPr>
              <w:t>备注</w:t>
            </w:r>
          </w:p>
        </w:tc>
      </w:tr>
      <w:tr w14:paraId="1AFF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08" w:type="pct"/>
            <w:noWrap/>
            <w:vAlign w:val="center"/>
          </w:tcPr>
          <w:p w14:paraId="32FAA882">
            <w:pPr>
              <w:widowControl/>
              <w:jc w:val="center"/>
              <w:textAlignment w:val="center"/>
              <w:rPr>
                <w:rFonts w:hint="eastAsia" w:ascii="宋体" w:hAnsi="宋体" w:eastAsia="宋体" w:cs="宋体"/>
                <w:color w:val="000000"/>
                <w:sz w:val="32"/>
                <w:szCs w:val="32"/>
              </w:rPr>
            </w:pPr>
            <w:r>
              <w:rPr>
                <w:rFonts w:hint="eastAsia" w:ascii="宋体" w:hAnsi="宋体" w:eastAsia="宋体" w:cs="宋体"/>
                <w:color w:val="000000"/>
                <w:sz w:val="32"/>
                <w:szCs w:val="32"/>
              </w:rPr>
              <w:t>1</w:t>
            </w:r>
          </w:p>
        </w:tc>
        <w:tc>
          <w:tcPr>
            <w:tcW w:w="674" w:type="pct"/>
            <w:noWrap/>
            <w:vAlign w:val="center"/>
          </w:tcPr>
          <w:p w14:paraId="40C4539F">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聚合支付服务</w:t>
            </w:r>
          </w:p>
        </w:tc>
        <w:tc>
          <w:tcPr>
            <w:tcW w:w="2407" w:type="pct"/>
            <w:noWrap/>
            <w:vAlign w:val="center"/>
          </w:tcPr>
          <w:p w14:paraId="62EAA1FE">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数据分析，建表，配置支付记录（表、日志）</w:t>
            </w:r>
          </w:p>
          <w:p w14:paraId="12822792">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门诊挂号、预约报道、门诊退号、挂号结账、票据打印、支付异常处理</w:t>
            </w:r>
          </w:p>
          <w:p w14:paraId="647B0A61">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报表查询（依据报表待定）</w:t>
            </w:r>
          </w:p>
          <w:p w14:paraId="0D3684AD">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支付对账（依据对方所给数据待定）</w:t>
            </w:r>
          </w:p>
          <w:p w14:paraId="38F30EF5">
            <w:pPr>
              <w:adjustRightInd w:val="0"/>
              <w:snapToGrid w:val="0"/>
              <w:spacing w:line="360" w:lineRule="auto"/>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门诊收费、多张支付、门诊退费、收费结账、票据打印、支付异常处理、支付独立异常处理</w:t>
            </w:r>
          </w:p>
        </w:tc>
        <w:tc>
          <w:tcPr>
            <w:tcW w:w="449" w:type="pct"/>
            <w:noWrap/>
            <w:vAlign w:val="center"/>
          </w:tcPr>
          <w:p w14:paraId="1ED8CA57">
            <w:pPr>
              <w:widowControl/>
              <w:jc w:val="center"/>
              <w:textAlignment w:val="center"/>
              <w:rPr>
                <w:rFonts w:hint="eastAsia" w:ascii="宋体" w:hAnsi="宋体" w:eastAsia="宋体" w:cs="宋体"/>
                <w:color w:val="000000"/>
                <w:sz w:val="32"/>
                <w:szCs w:val="32"/>
              </w:rPr>
            </w:pPr>
            <w:r>
              <w:rPr>
                <w:rFonts w:hint="eastAsia" w:ascii="宋体" w:hAnsi="宋体" w:eastAsia="宋体" w:cs="宋体"/>
                <w:color w:val="000000"/>
                <w:sz w:val="32"/>
                <w:szCs w:val="32"/>
              </w:rPr>
              <w:t>项</w:t>
            </w:r>
          </w:p>
        </w:tc>
        <w:tc>
          <w:tcPr>
            <w:tcW w:w="449" w:type="pct"/>
            <w:noWrap/>
            <w:vAlign w:val="center"/>
          </w:tcPr>
          <w:p w14:paraId="5E19292E">
            <w:pPr>
              <w:widowControl/>
              <w:jc w:val="center"/>
              <w:textAlignment w:val="center"/>
              <w:rPr>
                <w:rFonts w:hint="eastAsia" w:ascii="宋体" w:hAnsi="宋体" w:eastAsia="宋体" w:cs="宋体"/>
                <w:color w:val="000000"/>
                <w:sz w:val="32"/>
                <w:szCs w:val="32"/>
              </w:rPr>
            </w:pPr>
            <w:r>
              <w:rPr>
                <w:rFonts w:hint="eastAsia" w:ascii="宋体" w:hAnsi="宋体" w:eastAsia="宋体" w:cs="宋体"/>
                <w:color w:val="000000"/>
                <w:sz w:val="32"/>
                <w:szCs w:val="32"/>
              </w:rPr>
              <w:t>1</w:t>
            </w:r>
          </w:p>
        </w:tc>
        <w:tc>
          <w:tcPr>
            <w:tcW w:w="609" w:type="pct"/>
            <w:noWrap/>
            <w:vAlign w:val="center"/>
          </w:tcPr>
          <w:p w14:paraId="6F6D6C47">
            <w:pPr>
              <w:widowControl/>
              <w:jc w:val="center"/>
              <w:textAlignment w:val="center"/>
              <w:rPr>
                <w:rFonts w:hint="eastAsia" w:ascii="宋体" w:hAnsi="宋体" w:eastAsia="宋体" w:cs="宋体"/>
                <w:color w:val="000000"/>
                <w:sz w:val="32"/>
                <w:szCs w:val="32"/>
              </w:rPr>
            </w:pPr>
          </w:p>
        </w:tc>
      </w:tr>
    </w:tbl>
    <w:p w14:paraId="066D67A5">
      <w:pPr>
        <w:ind w:firstLine="600" w:firstLineChars="200"/>
        <w:jc w:val="left"/>
        <w:rPr>
          <w:rFonts w:ascii="Times New Roman" w:hAnsi="Times New Roman" w:eastAsia="宋体" w:cs="Times New Roman"/>
          <w:sz w:val="30"/>
          <w:szCs w:val="30"/>
        </w:rPr>
      </w:pPr>
    </w:p>
    <w:p w14:paraId="56126F94">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现有的条件和环境配置简要说明</w:t>
      </w:r>
    </w:p>
    <w:p w14:paraId="4A7C4D4E">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人工窗口聚合支付服务项目建设基于医院信息化现有的基础与条件稳步推进。</w:t>
      </w:r>
    </w:p>
    <w:p w14:paraId="483FBABF">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集成服务进度要求，可分阶段要求。</w:t>
      </w:r>
    </w:p>
    <w:p w14:paraId="7F329493">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在合同签订后的</w:t>
      </w:r>
      <w:r>
        <w:rPr>
          <w:rFonts w:hint="eastAsia" w:ascii="Times New Roman" w:hAnsi="Times New Roman" w:eastAsia="宋体" w:cs="Times New Roman"/>
          <w:sz w:val="30"/>
          <w:szCs w:val="30"/>
        </w:rPr>
        <w:t>3</w:t>
      </w:r>
      <w:r>
        <w:rPr>
          <w:rFonts w:ascii="Times New Roman" w:hAnsi="Times New Roman" w:eastAsia="宋体" w:cs="Times New Roman"/>
          <w:sz w:val="30"/>
          <w:szCs w:val="30"/>
        </w:rPr>
        <w:t>0个工作日内完成系统安装、调试、上线等工作。</w:t>
      </w:r>
    </w:p>
    <w:p w14:paraId="23E54D7F">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集成服务过程的责任界定和分工说明</w:t>
      </w:r>
    </w:p>
    <w:p w14:paraId="6730505E">
      <w:pPr>
        <w:numPr>
          <w:ilvl w:val="0"/>
          <w:numId w:val="2"/>
        </w:num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供应商作为项目技术实施主体，需全面负责软件系统落地全流程，包括：依据院方业务需求完成软件深化设计与方案优化，提供系统软件平台定制开发，严格把控项目进度、软件质量与数据安全，避免对医院正常运营造成干扰，提供系统部署、功能调试、人员培训以及售后运维服务，确保院方人员熟练掌握操作技能，系统持续稳定运行。</w:t>
      </w:r>
    </w:p>
    <w:p w14:paraId="3924B8BE">
      <w:pPr>
        <w:numPr>
          <w:ilvl w:val="0"/>
          <w:numId w:val="2"/>
        </w:num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院方需组织内部财务、收银、信息等多部门协同配合，深度梳理核心业务需求，清晰界定软件系统的功能目标、业务流程，为项目建设提供明确方向。另外，开放必要的业务系统数据接口、提供合规业务数据支持，并调配专人全程配合需求确认、接口联调、功能测试等工作，负责项目关键节点（如阶段性验收、终验）的组织与确认，审核软件功能是否符合需求标准，项目上线后，组织内部人员开展强化培训，建立完善的软件使用规范与数据安全管理制度，在日常运营中保障系统合规使用，根据实际业务变化提出优化建议，推动软件系统迭代升级。</w:t>
      </w:r>
    </w:p>
    <w:p w14:paraId="1D6E0FFC">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集成服务的最后提交件要求、验收标准等</w:t>
      </w:r>
    </w:p>
    <w:p w14:paraId="167FD79B">
      <w:pPr>
        <w:numPr>
          <w:ilvl w:val="0"/>
          <w:numId w:val="3"/>
        </w:num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最终提交件要求</w:t>
      </w:r>
    </w:p>
    <w:p w14:paraId="0C144E64">
      <w:pPr>
        <w:pStyle w:val="2"/>
        <w:widowControl/>
        <w:numPr>
          <w:ilvl w:val="0"/>
          <w:numId w:val="4"/>
        </w:numPr>
        <w:ind w:left="0"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技术文档：包括系统设计说明、接口规范文档等。</w:t>
      </w:r>
      <w:r>
        <w:fldChar w:fldCharType="begin"/>
      </w:r>
      <w:r>
        <w:instrText xml:space="preserve"> HYPERLINK "https://www.mayiwenku.com/p-19211353.html" \t "https://chat.deepseek.com/a/chat/s/_blank" </w:instrText>
      </w:r>
      <w:r>
        <w:fldChar w:fldCharType="separate"/>
      </w:r>
      <w:r>
        <w:fldChar w:fldCharType="end"/>
      </w:r>
    </w:p>
    <w:p w14:paraId="6749A165">
      <w:pPr>
        <w:pStyle w:val="2"/>
        <w:widowControl/>
        <w:numPr>
          <w:ilvl w:val="0"/>
          <w:numId w:val="4"/>
        </w:numPr>
        <w:ind w:left="0"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管理文档：包括项目验收相关报告、用户操作手册等。</w:t>
      </w:r>
    </w:p>
    <w:p w14:paraId="659B9D0B">
      <w:pPr>
        <w:pStyle w:val="2"/>
        <w:widowControl/>
        <w:numPr>
          <w:ilvl w:val="0"/>
          <w:numId w:val="4"/>
        </w:numPr>
        <w:ind w:left="0"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培训资料：供应商需提供相关的培训教材、培训记录，以确保技术人员、操作人员能够熟练操作和维护新系统。</w:t>
      </w:r>
    </w:p>
    <w:p w14:paraId="7AE1DD28">
      <w:pPr>
        <w:numPr>
          <w:ilvl w:val="0"/>
          <w:numId w:val="3"/>
        </w:num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验收标准</w:t>
      </w:r>
    </w:p>
    <w:p w14:paraId="22BB360B">
      <w:pPr>
        <w:pStyle w:val="2"/>
        <w:widowControl/>
        <w:numPr>
          <w:ilvl w:val="0"/>
          <w:numId w:val="5"/>
        </w:numPr>
        <w:ind w:left="0"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技术验收</w:t>
      </w:r>
    </w:p>
    <w:p w14:paraId="56C1F37C">
      <w:pPr>
        <w:numPr>
          <w:ilvl w:val="0"/>
          <w:numId w:val="6"/>
        </w:numPr>
        <w:ind w:left="0"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功能符合性：软件所有功能需完全符合招标文件、合同及技术协议要求。</w:t>
      </w:r>
    </w:p>
    <w:p w14:paraId="349D62D2">
      <w:pPr>
        <w:numPr>
          <w:ilvl w:val="0"/>
          <w:numId w:val="6"/>
        </w:numPr>
        <w:ind w:left="0"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性能指标：系统响应时间、数据处理能力、并发用户数等性能指标需要达到设计标准。</w:t>
      </w:r>
    </w:p>
    <w:p w14:paraId="143837AC">
      <w:pPr>
        <w:numPr>
          <w:ilvl w:val="0"/>
          <w:numId w:val="6"/>
        </w:numPr>
        <w:ind w:left="0"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安全性：系统应具备完善的数据安全措施，包括数据加密、访问权限控制、安全审计日志等。</w:t>
      </w:r>
    </w:p>
    <w:p w14:paraId="7A3228A5">
      <w:pPr>
        <w:numPr>
          <w:ilvl w:val="0"/>
          <w:numId w:val="6"/>
        </w:numPr>
        <w:ind w:left="0"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集成性：与医院现有系统及各支付渠道集成正常。</w:t>
      </w:r>
    </w:p>
    <w:p w14:paraId="13C9E122">
      <w:pPr>
        <w:pStyle w:val="2"/>
        <w:widowControl/>
        <w:numPr>
          <w:ilvl w:val="0"/>
          <w:numId w:val="5"/>
        </w:numPr>
        <w:ind w:left="0"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资料验收：检查所有交付的文档是否齐全、内容是否清晰准确、格式是否规范，并符合合同约定。</w:t>
      </w:r>
    </w:p>
    <w:p w14:paraId="10038DBE">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对公司投入集成服务的人员数量、质量、经验等方面的要求</w:t>
      </w:r>
    </w:p>
    <w:p w14:paraId="1E920AF0">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供应商需确保人员具备高专业水平和技能，以确保服务的高效性；要求团队成员具有丰富的相关项目经验，以应对可能出现的各种情况。</w:t>
      </w:r>
    </w:p>
    <w:p w14:paraId="011443B1">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培训要求</w:t>
      </w:r>
    </w:p>
    <w:p w14:paraId="20058FAE">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供应商需制定全面、系统的培训计划，重点对医院相关技术人员、操作人员针对系统的原理、操作、维护及故障分析处理等方面进行现场培训，提供详尽的技术文档与操作手册，确保技术人员、操作人员能独立、高效地管理及运维系统，保障项目成果的持续有效应用。</w:t>
      </w:r>
    </w:p>
    <w:p w14:paraId="0159EE36">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技术支持与保修服务要求</w:t>
      </w:r>
    </w:p>
    <w:p w14:paraId="54F61FB0">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供应商需提供覆盖全周期的技术支持服务，建立7×24小时快速响应机制，确保系统故障1小时内响应、4小时内到场、重大问题24小时内解决。</w:t>
      </w:r>
    </w:p>
    <w:p w14:paraId="5D1DE5F8">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提供1年的质保期；同时需制定应急保障预案，确保系统在突发情况下的连续性与稳定性。</w:t>
      </w:r>
    </w:p>
    <w:p w14:paraId="55B7BB55">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报价</w:t>
      </w:r>
    </w:p>
    <w:tbl>
      <w:tblPr>
        <w:tblStyle w:val="3"/>
        <w:tblW w:w="45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193"/>
        <w:gridCol w:w="4253"/>
        <w:gridCol w:w="793"/>
        <w:gridCol w:w="793"/>
      </w:tblGrid>
      <w:tr w14:paraId="3E6C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464" w:type="pct"/>
            <w:vAlign w:val="center"/>
          </w:tcPr>
          <w:p w14:paraId="730CC532">
            <w:pPr>
              <w:widowControl/>
              <w:spacing w:line="360" w:lineRule="auto"/>
              <w:jc w:val="center"/>
              <w:textAlignment w:val="center"/>
              <w:rPr>
                <w:rFonts w:ascii="Times New Roman" w:hAnsi="Times New Roman" w:eastAsia="宋体" w:cs="Times New Roman"/>
                <w:b/>
                <w:bCs/>
                <w:color w:val="000000"/>
                <w:sz w:val="30"/>
                <w:szCs w:val="30"/>
              </w:rPr>
            </w:pPr>
            <w:r>
              <w:rPr>
                <w:rFonts w:ascii="Times New Roman" w:hAnsi="Times New Roman" w:eastAsia="宋体" w:cs="Times New Roman"/>
                <w:b/>
                <w:bCs/>
                <w:color w:val="000000"/>
                <w:kern w:val="0"/>
                <w:sz w:val="30"/>
                <w:szCs w:val="30"/>
                <w:lang w:bidi="ar"/>
              </w:rPr>
              <w:t>序号</w:t>
            </w:r>
          </w:p>
        </w:tc>
        <w:tc>
          <w:tcPr>
            <w:tcW w:w="769" w:type="pct"/>
            <w:vAlign w:val="center"/>
          </w:tcPr>
          <w:p w14:paraId="74B2E951">
            <w:pPr>
              <w:widowControl/>
              <w:spacing w:line="360" w:lineRule="auto"/>
              <w:jc w:val="center"/>
              <w:textAlignment w:val="center"/>
              <w:rPr>
                <w:rFonts w:ascii="Times New Roman" w:hAnsi="Times New Roman" w:eastAsia="宋体" w:cs="Times New Roman"/>
                <w:b/>
                <w:bCs/>
                <w:color w:val="000000"/>
                <w:sz w:val="30"/>
                <w:szCs w:val="30"/>
              </w:rPr>
            </w:pPr>
            <w:r>
              <w:rPr>
                <w:rFonts w:ascii="Times New Roman" w:hAnsi="Times New Roman" w:eastAsia="宋体" w:cs="Times New Roman"/>
                <w:b/>
                <w:bCs/>
                <w:color w:val="000000"/>
                <w:sz w:val="30"/>
                <w:szCs w:val="30"/>
              </w:rPr>
              <w:t>系统名称</w:t>
            </w:r>
          </w:p>
        </w:tc>
        <w:tc>
          <w:tcPr>
            <w:tcW w:w="2743" w:type="pct"/>
            <w:vAlign w:val="center"/>
          </w:tcPr>
          <w:p w14:paraId="54BAEBEE">
            <w:pPr>
              <w:widowControl/>
              <w:spacing w:line="360" w:lineRule="auto"/>
              <w:jc w:val="center"/>
              <w:textAlignment w:val="center"/>
              <w:rPr>
                <w:rFonts w:ascii="Times New Roman" w:hAnsi="Times New Roman" w:eastAsia="宋体" w:cs="Times New Roman"/>
                <w:b/>
                <w:bCs/>
                <w:color w:val="000000"/>
                <w:sz w:val="30"/>
                <w:szCs w:val="30"/>
              </w:rPr>
            </w:pPr>
            <w:r>
              <w:rPr>
                <w:rFonts w:ascii="Times New Roman" w:hAnsi="Times New Roman" w:eastAsia="宋体" w:cs="Times New Roman"/>
                <w:b/>
                <w:bCs/>
                <w:color w:val="000000"/>
                <w:kern w:val="0"/>
                <w:sz w:val="30"/>
                <w:szCs w:val="30"/>
                <w:lang w:bidi="ar"/>
              </w:rPr>
              <w:t>服务内容</w:t>
            </w:r>
          </w:p>
        </w:tc>
        <w:tc>
          <w:tcPr>
            <w:tcW w:w="511" w:type="pct"/>
            <w:vAlign w:val="center"/>
          </w:tcPr>
          <w:p w14:paraId="3E51B677">
            <w:pPr>
              <w:widowControl/>
              <w:spacing w:line="360" w:lineRule="auto"/>
              <w:jc w:val="center"/>
              <w:textAlignment w:val="center"/>
              <w:rPr>
                <w:rFonts w:ascii="Times New Roman" w:hAnsi="Times New Roman" w:eastAsia="宋体" w:cs="Times New Roman"/>
                <w:b/>
                <w:bCs/>
                <w:color w:val="000000"/>
                <w:sz w:val="30"/>
                <w:szCs w:val="30"/>
              </w:rPr>
            </w:pPr>
            <w:r>
              <w:rPr>
                <w:rFonts w:ascii="Times New Roman" w:hAnsi="Times New Roman" w:eastAsia="宋体" w:cs="Times New Roman"/>
                <w:b/>
                <w:bCs/>
                <w:color w:val="000000"/>
                <w:kern w:val="0"/>
                <w:sz w:val="30"/>
                <w:szCs w:val="30"/>
                <w:lang w:bidi="ar"/>
              </w:rPr>
              <w:t>单位</w:t>
            </w:r>
          </w:p>
        </w:tc>
        <w:tc>
          <w:tcPr>
            <w:tcW w:w="511" w:type="pct"/>
            <w:vAlign w:val="center"/>
          </w:tcPr>
          <w:p w14:paraId="7DDC9A7F">
            <w:pPr>
              <w:widowControl/>
              <w:spacing w:line="360" w:lineRule="auto"/>
              <w:jc w:val="center"/>
              <w:textAlignment w:val="center"/>
              <w:rPr>
                <w:rFonts w:ascii="Times New Roman" w:hAnsi="Times New Roman" w:eastAsia="宋体" w:cs="Times New Roman"/>
                <w:b/>
                <w:bCs/>
                <w:color w:val="000000"/>
                <w:sz w:val="30"/>
                <w:szCs w:val="30"/>
              </w:rPr>
            </w:pPr>
            <w:r>
              <w:rPr>
                <w:rFonts w:ascii="Times New Roman" w:hAnsi="Times New Roman" w:eastAsia="宋体" w:cs="Times New Roman"/>
                <w:b/>
                <w:bCs/>
                <w:color w:val="000000"/>
                <w:kern w:val="0"/>
                <w:sz w:val="30"/>
                <w:szCs w:val="30"/>
                <w:lang w:bidi="ar"/>
              </w:rPr>
              <w:t>数量</w:t>
            </w:r>
          </w:p>
        </w:tc>
      </w:tr>
      <w:tr w14:paraId="227E7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pct"/>
            <w:noWrap/>
            <w:vAlign w:val="center"/>
          </w:tcPr>
          <w:p w14:paraId="00C8DEDC">
            <w:pPr>
              <w:widowControl/>
              <w:spacing w:line="360" w:lineRule="auto"/>
              <w:jc w:val="center"/>
              <w:textAlignment w:val="center"/>
              <w:rPr>
                <w:rFonts w:ascii="Times New Roman" w:hAnsi="Times New Roman" w:eastAsia="宋体" w:cs="Times New Roman"/>
                <w:color w:val="000000"/>
                <w:sz w:val="30"/>
                <w:szCs w:val="30"/>
              </w:rPr>
            </w:pPr>
            <w:r>
              <w:rPr>
                <w:rFonts w:ascii="Times New Roman" w:hAnsi="Times New Roman" w:eastAsia="宋体" w:cs="Times New Roman"/>
                <w:color w:val="000000"/>
                <w:sz w:val="30"/>
                <w:szCs w:val="30"/>
              </w:rPr>
              <w:t>1</w:t>
            </w:r>
          </w:p>
        </w:tc>
        <w:tc>
          <w:tcPr>
            <w:tcW w:w="769" w:type="pct"/>
            <w:noWrap/>
            <w:vAlign w:val="center"/>
          </w:tcPr>
          <w:p w14:paraId="33F8A0E1">
            <w:pPr>
              <w:widowControl/>
              <w:spacing w:line="360" w:lineRule="auto"/>
              <w:jc w:val="center"/>
              <w:textAlignment w:val="center"/>
              <w:rPr>
                <w:rFonts w:ascii="Times New Roman" w:hAnsi="Times New Roman" w:eastAsia="宋体" w:cs="Times New Roman"/>
                <w:color w:val="000000"/>
                <w:sz w:val="30"/>
                <w:szCs w:val="30"/>
              </w:rPr>
            </w:pPr>
            <w:r>
              <w:rPr>
                <w:rFonts w:ascii="Times New Roman" w:hAnsi="Times New Roman" w:eastAsia="宋体" w:cs="Times New Roman"/>
                <w:color w:val="000000"/>
                <w:kern w:val="0"/>
                <w:sz w:val="30"/>
                <w:szCs w:val="30"/>
                <w:lang w:bidi="ar"/>
              </w:rPr>
              <w:t>聚合支付</w:t>
            </w:r>
            <w:r>
              <w:rPr>
                <w:rFonts w:hint="eastAsia" w:ascii="Times New Roman" w:hAnsi="Times New Roman" w:eastAsia="宋体" w:cs="Times New Roman"/>
                <w:color w:val="000000"/>
                <w:kern w:val="0"/>
                <w:sz w:val="30"/>
                <w:szCs w:val="30"/>
                <w:lang w:bidi="ar"/>
              </w:rPr>
              <w:t>服务</w:t>
            </w:r>
          </w:p>
        </w:tc>
        <w:tc>
          <w:tcPr>
            <w:tcW w:w="2743" w:type="pct"/>
            <w:noWrap/>
            <w:vAlign w:val="center"/>
          </w:tcPr>
          <w:p w14:paraId="07C44D65">
            <w:pPr>
              <w:widowControl/>
              <w:spacing w:line="360" w:lineRule="auto"/>
              <w:textAlignment w:val="center"/>
              <w:rPr>
                <w:rFonts w:ascii="Times New Roman" w:hAnsi="Times New Roman" w:eastAsia="宋体" w:cs="Times New Roman"/>
                <w:sz w:val="30"/>
                <w:szCs w:val="30"/>
              </w:rPr>
            </w:pPr>
            <w:r>
              <w:rPr>
                <w:rFonts w:ascii="Times New Roman" w:hAnsi="Times New Roman" w:eastAsia="宋体" w:cs="Times New Roman"/>
                <w:sz w:val="30"/>
                <w:szCs w:val="30"/>
              </w:rPr>
              <w:t>数据分析，建表，配置支付记录（表、日志）</w:t>
            </w:r>
          </w:p>
          <w:p w14:paraId="53E7B4F8">
            <w:pPr>
              <w:widowControl/>
              <w:spacing w:line="360" w:lineRule="auto"/>
              <w:textAlignment w:val="center"/>
              <w:rPr>
                <w:rFonts w:ascii="Times New Roman" w:hAnsi="Times New Roman" w:eastAsia="宋体" w:cs="Times New Roman"/>
                <w:sz w:val="30"/>
                <w:szCs w:val="30"/>
              </w:rPr>
            </w:pPr>
            <w:r>
              <w:rPr>
                <w:rFonts w:ascii="Times New Roman" w:hAnsi="Times New Roman" w:eastAsia="宋体" w:cs="Times New Roman"/>
                <w:sz w:val="30"/>
                <w:szCs w:val="30"/>
              </w:rPr>
              <w:t>门诊挂号、预约报道、门诊退号、挂号结账、票据打印、支付异常处理</w:t>
            </w:r>
          </w:p>
          <w:p w14:paraId="689F34BC">
            <w:pPr>
              <w:widowControl/>
              <w:spacing w:line="360" w:lineRule="auto"/>
              <w:textAlignment w:val="center"/>
              <w:rPr>
                <w:rFonts w:ascii="Times New Roman" w:hAnsi="Times New Roman" w:eastAsia="宋体" w:cs="Times New Roman"/>
                <w:sz w:val="30"/>
                <w:szCs w:val="30"/>
              </w:rPr>
            </w:pPr>
            <w:r>
              <w:rPr>
                <w:rFonts w:ascii="Times New Roman" w:hAnsi="Times New Roman" w:eastAsia="宋体" w:cs="Times New Roman"/>
                <w:sz w:val="30"/>
                <w:szCs w:val="30"/>
              </w:rPr>
              <w:t>报表查询（依据报表待定）</w:t>
            </w:r>
          </w:p>
          <w:p w14:paraId="2074BD7E">
            <w:pPr>
              <w:widowControl/>
              <w:spacing w:line="360" w:lineRule="auto"/>
              <w:textAlignment w:val="center"/>
              <w:rPr>
                <w:rFonts w:ascii="Times New Roman" w:hAnsi="Times New Roman" w:eastAsia="宋体" w:cs="Times New Roman"/>
                <w:sz w:val="30"/>
                <w:szCs w:val="30"/>
              </w:rPr>
            </w:pPr>
            <w:r>
              <w:rPr>
                <w:rFonts w:ascii="Times New Roman" w:hAnsi="Times New Roman" w:eastAsia="宋体" w:cs="Times New Roman"/>
                <w:sz w:val="30"/>
                <w:szCs w:val="30"/>
              </w:rPr>
              <w:t>支付对账（依据对方所给数据待定）</w:t>
            </w:r>
          </w:p>
          <w:p w14:paraId="1EABD45F">
            <w:pPr>
              <w:widowControl/>
              <w:spacing w:line="360" w:lineRule="auto"/>
              <w:textAlignment w:val="center"/>
              <w:rPr>
                <w:rFonts w:ascii="Times New Roman" w:hAnsi="Times New Roman" w:eastAsia="宋体" w:cs="Times New Roman"/>
                <w:color w:val="000000"/>
                <w:kern w:val="0"/>
                <w:sz w:val="30"/>
                <w:szCs w:val="30"/>
                <w:lang w:bidi="ar"/>
              </w:rPr>
            </w:pPr>
            <w:r>
              <w:rPr>
                <w:rFonts w:ascii="Times New Roman" w:hAnsi="Times New Roman" w:eastAsia="宋体" w:cs="Times New Roman"/>
                <w:sz w:val="30"/>
                <w:szCs w:val="30"/>
              </w:rPr>
              <w:t>门诊收费、多张支付、门诊退费、收费结账、票据打印、支付异常处理、支付独立异常处理</w:t>
            </w:r>
          </w:p>
        </w:tc>
        <w:tc>
          <w:tcPr>
            <w:tcW w:w="511" w:type="pct"/>
            <w:noWrap/>
            <w:vAlign w:val="center"/>
          </w:tcPr>
          <w:p w14:paraId="1861FE5B">
            <w:pPr>
              <w:widowControl/>
              <w:spacing w:line="360" w:lineRule="auto"/>
              <w:jc w:val="center"/>
              <w:textAlignment w:val="center"/>
              <w:rPr>
                <w:rFonts w:ascii="Times New Roman" w:hAnsi="Times New Roman" w:eastAsia="宋体" w:cs="Times New Roman"/>
                <w:color w:val="000000"/>
                <w:sz w:val="30"/>
                <w:szCs w:val="30"/>
              </w:rPr>
            </w:pPr>
            <w:r>
              <w:rPr>
                <w:rFonts w:ascii="Times New Roman" w:hAnsi="Times New Roman" w:eastAsia="宋体" w:cs="Times New Roman"/>
                <w:color w:val="000000"/>
                <w:sz w:val="30"/>
                <w:szCs w:val="30"/>
              </w:rPr>
              <w:t>项</w:t>
            </w:r>
          </w:p>
        </w:tc>
        <w:tc>
          <w:tcPr>
            <w:tcW w:w="511" w:type="pct"/>
            <w:noWrap/>
            <w:vAlign w:val="center"/>
          </w:tcPr>
          <w:p w14:paraId="108C1299">
            <w:pPr>
              <w:widowControl/>
              <w:spacing w:line="360" w:lineRule="auto"/>
              <w:jc w:val="center"/>
              <w:textAlignment w:val="center"/>
              <w:rPr>
                <w:rFonts w:ascii="Times New Roman" w:hAnsi="Times New Roman" w:eastAsia="宋体" w:cs="Times New Roman"/>
                <w:color w:val="000000"/>
                <w:sz w:val="30"/>
                <w:szCs w:val="30"/>
              </w:rPr>
            </w:pPr>
            <w:r>
              <w:rPr>
                <w:rFonts w:ascii="Times New Roman" w:hAnsi="Times New Roman" w:eastAsia="宋体" w:cs="Times New Roman"/>
                <w:color w:val="000000"/>
                <w:sz w:val="30"/>
                <w:szCs w:val="30"/>
              </w:rPr>
              <w:t>1</w:t>
            </w:r>
          </w:p>
        </w:tc>
      </w:tr>
    </w:tbl>
    <w:p w14:paraId="4049977B">
      <w:pPr>
        <w:ind w:firstLine="600" w:firstLineChars="200"/>
        <w:jc w:val="left"/>
        <w:rPr>
          <w:rFonts w:ascii="Times New Roman" w:hAnsi="Times New Roman" w:eastAsia="宋体" w:cs="Times New Roman"/>
          <w:sz w:val="30"/>
          <w:szCs w:val="30"/>
        </w:rPr>
      </w:pPr>
    </w:p>
    <w:p w14:paraId="2232F575">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款项支付要求</w:t>
      </w:r>
    </w:p>
    <w:p w14:paraId="3DB79109">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在款项支付方面需严格遵守合同约定，确保资金使用规范、透明。具体要求包括：供应商应提供符合国家规定的合法票据和完整的支付凭证；支付进度需与项目实施阶段相匹配，按合同约定的比例和时间节点进行支付；供应商需配合院方完成必要的审计和验收工作，确保款项支付与项目实际进度相符；如遇特殊情况需调整支付计划，供应商应提前与院方沟通并达成书面协议，确保资金管理的合规性和项目顺利推进。</w:t>
      </w:r>
    </w:p>
    <w:p w14:paraId="7A1A894A">
      <w:pPr>
        <w:numPr>
          <w:ilvl w:val="0"/>
          <w:numId w:val="1"/>
        </w:numPr>
        <w:ind w:firstLine="602" w:firstLineChars="200"/>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t>其他要求</w:t>
      </w:r>
    </w:p>
    <w:p w14:paraId="36A6A670">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1.院方要求供应商需确保系统符合国家信息安全标准，采取有效措施保护患者和医院数据的安全，防止信息泄露。若因供应商原因导致数据泄露，需承担全部法律及经济赔偿责任。</w:t>
      </w:r>
    </w:p>
    <w:p w14:paraId="324BF360">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2.供应商需严格遵守国家及天津市相关法律法规，确保所提供的软件产品为原厂正品，杜绝假冒伪劣产品。</w:t>
      </w:r>
    </w:p>
    <w:p w14:paraId="26C477CD">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3.中标供应商须在建行开立结算账户，以便结算付款，且须在龙集采系统内下载或激活数字化证书，以便签署电子合同使用。</w:t>
      </w:r>
    </w:p>
    <w:p w14:paraId="5A34C9B7">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4.供应商需提供以下承诺，并加盖公章。</w:t>
      </w:r>
    </w:p>
    <w:p w14:paraId="362B4DF1">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1.本单位未发生过重大违法违规情形，或者迟报、瞒报数据安全事件和案件，或者产生过重大数据安全风险、事件、案件等。2.本单位如被确定为建行的合作机构，在签订合同时，需同意建行在协议正文或以附件形式添加《数据安全条款》。若在建行进行驻场，会组织人员签署《第三方合作人员数据安全承诺书》。”</w:t>
      </w:r>
    </w:p>
    <w:p w14:paraId="5FAE59C8">
      <w:pPr>
        <w:ind w:firstLine="600" w:firstLineChars="200"/>
        <w:jc w:val="left"/>
        <w:rPr>
          <w:rFonts w:ascii="Times New Roman" w:hAnsi="Times New Roman" w:eastAsia="宋体" w:cs="Times New Roman"/>
          <w:sz w:val="30"/>
          <w:szCs w:val="30"/>
        </w:rPr>
      </w:pPr>
      <w:r>
        <w:rPr>
          <w:rFonts w:ascii="Times New Roman" w:hAnsi="Times New Roman" w:eastAsia="宋体" w:cs="Times New Roman"/>
          <w:sz w:val="30"/>
          <w:szCs w:val="30"/>
        </w:rPr>
        <w:t>5.中标供应商需制定数据安全事件应急预案并定期开展数据安全相关培训、检查、演练工作。</w:t>
      </w:r>
    </w:p>
    <w:p w14:paraId="653852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E4D67A"/>
    <w:multiLevelType w:val="singleLevel"/>
    <w:tmpl w:val="D6E4D67A"/>
    <w:lvl w:ilvl="0" w:tentative="0">
      <w:start w:val="1"/>
      <w:numFmt w:val="decimal"/>
      <w:suff w:val="nothing"/>
      <w:lvlText w:val="(%1)"/>
      <w:lvlJc w:val="left"/>
      <w:pPr>
        <w:ind w:left="113" w:hanging="113"/>
      </w:pPr>
      <w:rPr>
        <w:rFonts w:hint="default"/>
      </w:rPr>
    </w:lvl>
  </w:abstractNum>
  <w:abstractNum w:abstractNumId="1">
    <w:nsid w:val="D7A83BC1"/>
    <w:multiLevelType w:val="singleLevel"/>
    <w:tmpl w:val="D7A83BC1"/>
    <w:lvl w:ilvl="0" w:tentative="0">
      <w:start w:val="1"/>
      <w:numFmt w:val="decimal"/>
      <w:lvlText w:val="%1)"/>
      <w:lvlJc w:val="left"/>
      <w:pPr>
        <w:ind w:left="425" w:hanging="425"/>
      </w:pPr>
      <w:rPr>
        <w:rFonts w:hint="default"/>
      </w:rPr>
    </w:lvl>
  </w:abstractNum>
  <w:abstractNum w:abstractNumId="2">
    <w:nsid w:val="15934DBE"/>
    <w:multiLevelType w:val="singleLevel"/>
    <w:tmpl w:val="15934DBE"/>
    <w:lvl w:ilvl="0" w:tentative="0">
      <w:start w:val="1"/>
      <w:numFmt w:val="decimal"/>
      <w:suff w:val="nothing"/>
      <w:lvlText w:val="(%1)"/>
      <w:lvlJc w:val="left"/>
      <w:pPr>
        <w:ind w:left="113" w:hanging="113"/>
      </w:pPr>
      <w:rPr>
        <w:rFonts w:hint="default"/>
      </w:rPr>
    </w:lvl>
  </w:abstractNum>
  <w:abstractNum w:abstractNumId="3">
    <w:nsid w:val="21E93F62"/>
    <w:multiLevelType w:val="singleLevel"/>
    <w:tmpl w:val="21E93F62"/>
    <w:lvl w:ilvl="0" w:tentative="0">
      <w:start w:val="1"/>
      <w:numFmt w:val="chineseCounting"/>
      <w:suff w:val="nothing"/>
      <w:lvlText w:val="%1、"/>
      <w:lvlJc w:val="left"/>
      <w:rPr>
        <w:rFonts w:hint="eastAsia"/>
      </w:rPr>
    </w:lvl>
  </w:abstractNum>
  <w:abstractNum w:abstractNumId="4">
    <w:nsid w:val="345440BE"/>
    <w:multiLevelType w:val="singleLevel"/>
    <w:tmpl w:val="345440BE"/>
    <w:lvl w:ilvl="0" w:tentative="0">
      <w:start w:val="1"/>
      <w:numFmt w:val="decimal"/>
      <w:suff w:val="nothing"/>
      <w:lvlText w:val="%1、"/>
      <w:lvlJc w:val="left"/>
    </w:lvl>
  </w:abstractNum>
  <w:abstractNum w:abstractNumId="5">
    <w:nsid w:val="4F3D3B96"/>
    <w:multiLevelType w:val="singleLevel"/>
    <w:tmpl w:val="4F3D3B96"/>
    <w:lvl w:ilvl="0" w:tentative="0">
      <w:start w:val="1"/>
      <w:numFmt w:val="decimal"/>
      <w:suff w:val="nothing"/>
      <w:lvlText w:val="%1、"/>
      <w:lvlJc w:val="left"/>
    </w:lvl>
  </w:abstractNum>
  <w:num w:numId="1">
    <w:abstractNumId w:val="3"/>
  </w:num>
  <w:num w:numId="2">
    <w:abstractNumId w:val="4"/>
  </w:num>
  <w:num w:numId="3">
    <w:abstractNumId w:val="5"/>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93266"/>
    <w:rsid w:val="001F1C39"/>
    <w:rsid w:val="006B7697"/>
    <w:rsid w:val="00AE31C9"/>
    <w:rsid w:val="00B60B96"/>
    <w:rsid w:val="00C273C7"/>
    <w:rsid w:val="02A82745"/>
    <w:rsid w:val="05FC7D6A"/>
    <w:rsid w:val="0EA40A62"/>
    <w:rsid w:val="12893266"/>
    <w:rsid w:val="15993F38"/>
    <w:rsid w:val="1FC65E66"/>
    <w:rsid w:val="27603B29"/>
    <w:rsid w:val="2A0A5C85"/>
    <w:rsid w:val="2EA30205"/>
    <w:rsid w:val="3087066B"/>
    <w:rsid w:val="392D5027"/>
    <w:rsid w:val="3945585F"/>
    <w:rsid w:val="3CF1150B"/>
    <w:rsid w:val="3F320EE1"/>
    <w:rsid w:val="40152BC6"/>
    <w:rsid w:val="43083772"/>
    <w:rsid w:val="43550707"/>
    <w:rsid w:val="4D99751E"/>
    <w:rsid w:val="4EB73417"/>
    <w:rsid w:val="4FFC5CA5"/>
    <w:rsid w:val="53146CB5"/>
    <w:rsid w:val="53C263FE"/>
    <w:rsid w:val="55A92695"/>
    <w:rsid w:val="59011144"/>
    <w:rsid w:val="59585473"/>
    <w:rsid w:val="5D035F05"/>
    <w:rsid w:val="5DD47D5E"/>
    <w:rsid w:val="709A7FBA"/>
    <w:rsid w:val="70B35EA7"/>
    <w:rsid w:val="70C84664"/>
    <w:rsid w:val="713E31DB"/>
    <w:rsid w:val="71490ABC"/>
    <w:rsid w:val="73DA1EAE"/>
    <w:rsid w:val="74677660"/>
    <w:rsid w:val="78E21C10"/>
    <w:rsid w:val="7E695701"/>
    <w:rsid w:val="7F0B0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2227</Words>
  <Characters>2239</Characters>
  <Lines>16</Lines>
  <Paragraphs>4</Paragraphs>
  <TotalTime>13</TotalTime>
  <ScaleCrop>false</ScaleCrop>
  <LinksUpToDate>false</LinksUpToDate>
  <CharactersWithSpaces>2239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2025-11-21T09:04:00Z</dcterms:created>
  <dc:creator>cml</dc:creator>
  <cp:lastModifiedBy>vlone</cp:lastModifiedBy>
  <dcterms:modified xsi:type="dcterms:W3CDTF">2025-12-02T01:52:16Z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9091F9195E194ED197987E7D8C94692E_13</vt:lpwstr>
  </property>
  <property fmtid="{D5CDD505-2E9C-101B-9397-08002B2CF9AE}" pid="4" name="KSOTemplateDocerSaveRecord">
    <vt:lpwstr>eyJoZGlkIjoiZjA0YzNjMzc0ZGFmMmI1Zjc0NWE1ZDM1OTJlMGExNDQiLCJ1c2VySWQiOiI2NDQxMDc3ODMifQ==</vt:lpwstr>
  </property>
</Properties>
</file>