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right"/>
        <w:rPr>
          <w:rFonts w:ascii="仿宋_GB2312" w:hAnsi="宋体" w:eastAsia="仿宋_GB2312"/>
          <w:b/>
          <w:color w:val="auto"/>
          <w:sz w:val="28"/>
          <w:szCs w:val="28"/>
          <w:highlight w:val="none"/>
        </w:rPr>
      </w:pPr>
      <w:bookmarkStart w:id="222" w:name="_GoBack"/>
    </w:p>
    <w:p>
      <w:pPr>
        <w:jc w:val="both"/>
        <w:rPr>
          <w:rFonts w:ascii="仿宋_GB2312" w:hAnsi="宋体" w:eastAsia="仿宋_GB2312"/>
          <w:b/>
          <w:color w:val="auto"/>
          <w:sz w:val="36"/>
          <w:szCs w:val="36"/>
          <w:highlight w:val="none"/>
        </w:rPr>
      </w:pPr>
    </w:p>
    <w:p>
      <w:pPr>
        <w:pStyle w:val="2"/>
        <w:ind w:firstLine="361" w:firstLineChars="100"/>
        <w:rPr>
          <w:rFonts w:hint="eastAsia" w:ascii="仿宋_GB2312" w:hAnsi="宋体" w:eastAsia="仿宋_GB2312"/>
          <w:b/>
          <w:color w:val="auto"/>
          <w:sz w:val="36"/>
          <w:szCs w:val="36"/>
          <w:highlight w:val="none"/>
        </w:rPr>
      </w:pPr>
      <w:r>
        <w:rPr>
          <w:rFonts w:hint="eastAsia" w:ascii="仿宋_GB2312" w:hAnsi="宋体" w:eastAsia="仿宋_GB2312"/>
          <w:b/>
          <w:color w:val="auto"/>
          <w:sz w:val="36"/>
          <w:szCs w:val="36"/>
          <w:highlight w:val="none"/>
        </w:rPr>
        <w:t xml:space="preserve">人保财险四川省泸州市泸县支公司食堂食材物资采购项目 </w:t>
      </w:r>
    </w:p>
    <w:p>
      <w:pPr>
        <w:pStyle w:val="2"/>
        <w:rPr>
          <w:rFonts w:hint="eastAsia" w:ascii="仿宋_GB2312" w:hAnsi="宋体" w:eastAsia="仿宋_GB2312"/>
          <w:b/>
          <w:color w:val="auto"/>
          <w:sz w:val="36"/>
          <w:szCs w:val="36"/>
          <w:highlight w:val="none"/>
        </w:rPr>
      </w:pPr>
    </w:p>
    <w:p>
      <w:pPr>
        <w:pStyle w:val="2"/>
        <w:rPr>
          <w:rFonts w:hint="eastAsia" w:ascii="仿宋_GB2312" w:hAnsi="宋体" w:eastAsia="仿宋_GB2312"/>
          <w:b/>
          <w:color w:val="auto"/>
          <w:sz w:val="36"/>
          <w:szCs w:val="36"/>
          <w:highlight w:val="none"/>
        </w:rPr>
      </w:pPr>
    </w:p>
    <w:p>
      <w:pPr>
        <w:rPr>
          <w:rFonts w:hint="eastAsia"/>
          <w:color w:val="auto"/>
          <w:highlight w:val="none"/>
        </w:rPr>
      </w:pPr>
    </w:p>
    <w:p>
      <w:pPr>
        <w:jc w:val="center"/>
        <w:rPr>
          <w:rFonts w:ascii="仿宋_GB2312" w:eastAsia="仿宋_GB2312"/>
          <w:color w:val="auto"/>
          <w:sz w:val="72"/>
          <w:szCs w:val="72"/>
          <w:highlight w:val="none"/>
        </w:rPr>
      </w:pPr>
      <w:r>
        <w:rPr>
          <w:rFonts w:hint="eastAsia" w:ascii="仿宋_GB2312" w:eastAsia="仿宋_GB2312"/>
          <w:color w:val="auto"/>
          <w:sz w:val="72"/>
          <w:szCs w:val="72"/>
          <w:highlight w:val="none"/>
        </w:rPr>
        <w:t>比</w:t>
      </w:r>
    </w:p>
    <w:p>
      <w:pPr>
        <w:pStyle w:val="2"/>
        <w:rPr>
          <w:color w:val="auto"/>
          <w:highlight w:val="none"/>
        </w:rPr>
      </w:pPr>
    </w:p>
    <w:p>
      <w:pPr>
        <w:jc w:val="center"/>
        <w:rPr>
          <w:rFonts w:ascii="仿宋_GB2312" w:eastAsia="仿宋_GB2312"/>
          <w:color w:val="auto"/>
          <w:sz w:val="72"/>
          <w:szCs w:val="72"/>
          <w:highlight w:val="none"/>
        </w:rPr>
      </w:pPr>
      <w:r>
        <w:rPr>
          <w:rFonts w:hint="eastAsia" w:ascii="仿宋_GB2312" w:eastAsia="仿宋_GB2312"/>
          <w:color w:val="auto"/>
          <w:sz w:val="72"/>
          <w:szCs w:val="72"/>
          <w:highlight w:val="none"/>
        </w:rPr>
        <w:t>选</w:t>
      </w:r>
    </w:p>
    <w:p>
      <w:pPr>
        <w:pStyle w:val="2"/>
        <w:rPr>
          <w:color w:val="auto"/>
          <w:highlight w:val="none"/>
        </w:rPr>
      </w:pPr>
    </w:p>
    <w:p>
      <w:pPr>
        <w:jc w:val="center"/>
        <w:rPr>
          <w:rFonts w:ascii="仿宋_GB2312" w:eastAsia="仿宋_GB2312"/>
          <w:color w:val="auto"/>
          <w:sz w:val="72"/>
          <w:szCs w:val="72"/>
          <w:highlight w:val="none"/>
        </w:rPr>
      </w:pPr>
      <w:r>
        <w:rPr>
          <w:rFonts w:hint="eastAsia" w:ascii="仿宋_GB2312" w:eastAsia="仿宋_GB2312"/>
          <w:color w:val="auto"/>
          <w:sz w:val="72"/>
          <w:szCs w:val="72"/>
          <w:highlight w:val="none"/>
        </w:rPr>
        <w:t>文</w:t>
      </w:r>
    </w:p>
    <w:p>
      <w:pPr>
        <w:pStyle w:val="2"/>
        <w:rPr>
          <w:color w:val="auto"/>
          <w:highlight w:val="none"/>
        </w:rPr>
      </w:pPr>
    </w:p>
    <w:p>
      <w:pPr>
        <w:jc w:val="center"/>
        <w:rPr>
          <w:rFonts w:ascii="仿宋_GB2312" w:eastAsia="仿宋_GB2312"/>
          <w:color w:val="auto"/>
          <w:sz w:val="72"/>
          <w:szCs w:val="72"/>
          <w:highlight w:val="none"/>
        </w:rPr>
      </w:pPr>
      <w:r>
        <w:rPr>
          <w:rFonts w:hint="eastAsia" w:ascii="仿宋_GB2312" w:eastAsia="仿宋_GB2312"/>
          <w:color w:val="auto"/>
          <w:sz w:val="72"/>
          <w:szCs w:val="72"/>
          <w:highlight w:val="none"/>
        </w:rPr>
        <w:t>件</w:t>
      </w:r>
    </w:p>
    <w:p>
      <w:pPr>
        <w:pStyle w:val="2"/>
        <w:rPr>
          <w:color w:val="auto"/>
          <w:highlight w:val="none"/>
        </w:rPr>
      </w:pPr>
    </w:p>
    <w:p>
      <w:pPr>
        <w:jc w:val="center"/>
        <w:rPr>
          <w:rFonts w:ascii="仿宋_GB2312" w:hAnsi="宋体" w:eastAsia="仿宋_GB2312"/>
          <w:color w:val="auto"/>
          <w:sz w:val="28"/>
          <w:szCs w:val="28"/>
          <w:highlight w:val="none"/>
        </w:rPr>
      </w:pPr>
    </w:p>
    <w:p>
      <w:pPr>
        <w:jc w:val="center"/>
        <w:rPr>
          <w:rFonts w:ascii="仿宋_GB2312" w:hAnsi="宋体" w:eastAsia="仿宋_GB2312"/>
          <w:color w:val="auto"/>
          <w:sz w:val="28"/>
          <w:szCs w:val="28"/>
          <w:highlight w:val="none"/>
        </w:rPr>
      </w:pPr>
    </w:p>
    <w:p>
      <w:pPr>
        <w:pStyle w:val="16"/>
        <w:ind w:left="113" w:leftChars="47"/>
        <w:jc w:val="center"/>
        <w:rPr>
          <w:rFonts w:ascii="仿宋_GB2312" w:hAnsi="宋体" w:eastAsia="仿宋_GB2312"/>
          <w:b/>
          <w:color w:val="auto"/>
          <w:sz w:val="28"/>
          <w:szCs w:val="28"/>
          <w:highlight w:val="none"/>
        </w:rPr>
      </w:pPr>
    </w:p>
    <w:p>
      <w:pPr>
        <w:pStyle w:val="16"/>
        <w:ind w:left="113" w:leftChars="47"/>
        <w:jc w:val="center"/>
        <w:rPr>
          <w:rFonts w:ascii="仿宋_GB2312" w:hAnsi="宋体" w:eastAsia="仿宋_GB2312"/>
          <w:b/>
          <w:color w:val="auto"/>
          <w:sz w:val="28"/>
          <w:szCs w:val="28"/>
          <w:highlight w:val="none"/>
        </w:rPr>
      </w:pPr>
    </w:p>
    <w:p>
      <w:pPr>
        <w:pStyle w:val="16"/>
        <w:ind w:left="113" w:leftChars="47"/>
        <w:jc w:val="center"/>
        <w:rPr>
          <w:rFonts w:ascii="仿宋_GB2312" w:hAnsi="宋体" w:eastAsia="仿宋_GB2312"/>
          <w:b/>
          <w:color w:val="auto"/>
          <w:sz w:val="28"/>
          <w:szCs w:val="28"/>
          <w:highlight w:val="none"/>
        </w:rPr>
      </w:pPr>
    </w:p>
    <w:p>
      <w:pPr>
        <w:pStyle w:val="2"/>
        <w:rPr>
          <w:color w:val="auto"/>
          <w:highlight w:val="none"/>
        </w:rPr>
      </w:pPr>
    </w:p>
    <w:p>
      <w:pPr>
        <w:pStyle w:val="16"/>
        <w:ind w:left="0" w:leftChars="0" w:firstLine="4216" w:firstLineChars="1500"/>
        <w:jc w:val="both"/>
        <w:rPr>
          <w:rFonts w:ascii="仿宋_GB2312" w:hAnsi="宋体" w:eastAsia="仿宋_GB2312"/>
          <w:b/>
          <w:color w:val="auto"/>
          <w:sz w:val="28"/>
          <w:szCs w:val="28"/>
          <w:highlight w:val="none"/>
        </w:rPr>
      </w:pPr>
      <w:r>
        <w:rPr>
          <w:rFonts w:hint="eastAsia" w:ascii="仿宋_GB2312" w:hAnsi="宋体" w:eastAsia="仿宋_GB2312"/>
          <w:b/>
          <w:color w:val="auto"/>
          <w:sz w:val="28"/>
          <w:szCs w:val="28"/>
          <w:highlight w:val="none"/>
          <w:lang w:val="en-US" w:eastAsia="zh-CN"/>
        </w:rPr>
        <w:t>2026</w:t>
      </w:r>
      <w:r>
        <w:rPr>
          <w:rFonts w:hint="eastAsia" w:ascii="仿宋_GB2312" w:hAnsi="宋体" w:eastAsia="仿宋_GB2312"/>
          <w:b/>
          <w:color w:val="auto"/>
          <w:sz w:val="28"/>
          <w:szCs w:val="28"/>
          <w:highlight w:val="none"/>
        </w:rPr>
        <w:t>年</w:t>
      </w:r>
      <w:r>
        <w:rPr>
          <w:rFonts w:hint="eastAsia" w:ascii="仿宋_GB2312" w:hAnsi="宋体" w:eastAsia="仿宋_GB2312"/>
          <w:b/>
          <w:color w:val="auto"/>
          <w:sz w:val="28"/>
          <w:szCs w:val="28"/>
          <w:highlight w:val="none"/>
          <w:lang w:val="en-US" w:eastAsia="zh-CN"/>
        </w:rPr>
        <w:t>2</w:t>
      </w:r>
      <w:r>
        <w:rPr>
          <w:rFonts w:hint="eastAsia" w:ascii="仿宋_GB2312" w:hAnsi="宋体" w:eastAsia="仿宋_GB2312"/>
          <w:b/>
          <w:color w:val="auto"/>
          <w:sz w:val="28"/>
          <w:szCs w:val="28"/>
          <w:highlight w:val="none"/>
        </w:rPr>
        <w:t>月</w:t>
      </w:r>
    </w:p>
    <w:p>
      <w:pPr>
        <w:spacing w:line="360" w:lineRule="auto"/>
        <w:jc w:val="center"/>
        <w:rPr>
          <w:rFonts w:ascii="仿宋_GB2312" w:hAnsi="宋体" w:eastAsia="仿宋_GB2312"/>
          <w:b/>
          <w:color w:val="auto"/>
          <w:sz w:val="36"/>
          <w:szCs w:val="28"/>
          <w:highlight w:val="none"/>
        </w:rPr>
        <w:sectPr>
          <w:footerReference r:id="rId4" w:type="first"/>
          <w:footerReference r:id="rId3" w:type="even"/>
          <w:pgSz w:w="11906" w:h="16838"/>
          <w:pgMar w:top="1440" w:right="1134" w:bottom="1440" w:left="1134" w:header="851" w:footer="992" w:gutter="0"/>
          <w:pgNumType w:fmt="decimal"/>
          <w:cols w:space="720" w:num="1"/>
          <w:docGrid w:linePitch="326" w:charSpace="0"/>
        </w:sectPr>
      </w:pPr>
    </w:p>
    <w:p>
      <w:pPr>
        <w:spacing w:line="360" w:lineRule="auto"/>
        <w:jc w:val="center"/>
        <w:rPr>
          <w:rFonts w:ascii="仿宋_GB2312" w:hAnsi="宋体" w:eastAsia="仿宋_GB2312"/>
          <w:b/>
          <w:color w:val="auto"/>
          <w:sz w:val="36"/>
          <w:szCs w:val="28"/>
          <w:highlight w:val="none"/>
        </w:rPr>
      </w:pPr>
      <w:r>
        <w:rPr>
          <w:rFonts w:hint="eastAsia" w:ascii="仿宋_GB2312" w:hAnsi="宋体" w:eastAsia="仿宋_GB2312"/>
          <w:b/>
          <w:color w:val="auto"/>
          <w:sz w:val="36"/>
          <w:szCs w:val="28"/>
          <w:highlight w:val="none"/>
        </w:rPr>
        <w:t>目     录</w:t>
      </w:r>
    </w:p>
    <w:p>
      <w:pPr>
        <w:pStyle w:val="21"/>
        <w:tabs>
          <w:tab w:val="right" w:leader="dot" w:pos="9638"/>
        </w:tabs>
        <w:rPr>
          <w:color w:val="auto"/>
          <w:highlight w:val="none"/>
        </w:rPr>
      </w:pPr>
      <w:r>
        <w:rPr>
          <w:rFonts w:hint="eastAsia" w:ascii="仿宋_GB2312" w:hAnsi="宋体" w:eastAsia="仿宋_GB2312"/>
          <w:b w:val="0"/>
          <w:bCs w:val="0"/>
          <w:color w:val="auto"/>
          <w:highlight w:val="none"/>
        </w:rPr>
        <w:fldChar w:fldCharType="begin"/>
      </w:r>
      <w:r>
        <w:rPr>
          <w:rFonts w:hint="eastAsia" w:ascii="仿宋_GB2312" w:hAnsi="宋体" w:eastAsia="仿宋_GB2312"/>
          <w:b w:val="0"/>
          <w:bCs w:val="0"/>
          <w:color w:val="auto"/>
          <w:highlight w:val="none"/>
        </w:rPr>
        <w:instrText xml:space="preserve">TOC \o "1-3" \h \u </w:instrText>
      </w:r>
      <w:r>
        <w:rPr>
          <w:rFonts w:hint="eastAsia" w:ascii="仿宋_GB2312" w:hAnsi="宋体" w:eastAsia="仿宋_GB2312"/>
          <w:b w:val="0"/>
          <w:bCs w:val="0"/>
          <w:color w:val="auto"/>
          <w:highlight w:val="none"/>
        </w:rPr>
        <w:fldChar w:fldCharType="separate"/>
      </w: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_Toc1254 </w:instrText>
      </w:r>
      <w:r>
        <w:rPr>
          <w:rFonts w:hint="eastAsia" w:ascii="仿宋_GB2312" w:hAnsi="宋体" w:eastAsia="仿宋_GB2312"/>
          <w:bCs w:val="0"/>
          <w:color w:val="auto"/>
          <w:highlight w:val="none"/>
        </w:rPr>
        <w:fldChar w:fldCharType="separate"/>
      </w:r>
      <w:r>
        <w:rPr>
          <w:rFonts w:hint="eastAsia" w:ascii="仿宋_GB2312" w:hAnsi="宋体" w:eastAsia="仿宋_GB2312"/>
          <w:color w:val="auto"/>
          <w:szCs w:val="28"/>
          <w:highlight w:val="none"/>
        </w:rPr>
        <w:t>第一章 比选邀请</w:t>
      </w:r>
      <w:r>
        <w:rPr>
          <w:color w:val="auto"/>
          <w:highlight w:val="none"/>
        </w:rPr>
        <w:tab/>
      </w:r>
      <w:r>
        <w:rPr>
          <w:color w:val="auto"/>
          <w:highlight w:val="none"/>
        </w:rPr>
        <w:fldChar w:fldCharType="begin"/>
      </w:r>
      <w:r>
        <w:rPr>
          <w:color w:val="auto"/>
          <w:highlight w:val="none"/>
        </w:rPr>
        <w:instrText xml:space="preserve"> PAGEREF _Toc1254 \h </w:instrText>
      </w:r>
      <w:r>
        <w:rPr>
          <w:color w:val="auto"/>
          <w:highlight w:val="none"/>
        </w:rPr>
        <w:fldChar w:fldCharType="separate"/>
      </w:r>
      <w:r>
        <w:rPr>
          <w:color w:val="auto"/>
          <w:highlight w:val="none"/>
        </w:rPr>
        <w:t>3</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_Toc10427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一、项目概况与采购范围</w:t>
      </w:r>
      <w:r>
        <w:rPr>
          <w:color w:val="auto"/>
          <w:highlight w:val="none"/>
        </w:rPr>
        <w:tab/>
      </w:r>
      <w:r>
        <w:rPr>
          <w:color w:val="auto"/>
          <w:highlight w:val="none"/>
        </w:rPr>
        <w:fldChar w:fldCharType="begin"/>
      </w:r>
      <w:r>
        <w:rPr>
          <w:color w:val="auto"/>
          <w:highlight w:val="none"/>
        </w:rPr>
        <w:instrText xml:space="preserve"> PAGEREF _Toc10427 \h </w:instrText>
      </w:r>
      <w:r>
        <w:rPr>
          <w:color w:val="auto"/>
          <w:highlight w:val="none"/>
        </w:rPr>
        <w:fldChar w:fldCharType="separate"/>
      </w:r>
      <w:r>
        <w:rPr>
          <w:color w:val="auto"/>
          <w:highlight w:val="none"/>
        </w:rPr>
        <w:t>3</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_Toc32575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二、供应商资格要求</w:t>
      </w:r>
      <w:r>
        <w:rPr>
          <w:color w:val="auto"/>
          <w:highlight w:val="none"/>
        </w:rPr>
        <w:tab/>
      </w:r>
      <w:r>
        <w:rPr>
          <w:color w:val="auto"/>
          <w:highlight w:val="none"/>
        </w:rPr>
        <w:fldChar w:fldCharType="begin"/>
      </w:r>
      <w:r>
        <w:rPr>
          <w:color w:val="auto"/>
          <w:highlight w:val="none"/>
        </w:rPr>
        <w:instrText xml:space="preserve"> PAGEREF _Toc32575 \h </w:instrText>
      </w:r>
      <w:r>
        <w:rPr>
          <w:color w:val="auto"/>
          <w:highlight w:val="none"/>
        </w:rPr>
        <w:fldChar w:fldCharType="separate"/>
      </w:r>
      <w:r>
        <w:rPr>
          <w:color w:val="auto"/>
          <w:highlight w:val="none"/>
        </w:rPr>
        <w:t>3</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_Toc23834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三、比选文件的获取</w:t>
      </w:r>
      <w:r>
        <w:rPr>
          <w:color w:val="auto"/>
          <w:highlight w:val="none"/>
        </w:rPr>
        <w:tab/>
      </w:r>
      <w:r>
        <w:rPr>
          <w:color w:val="auto"/>
          <w:highlight w:val="none"/>
        </w:rPr>
        <w:fldChar w:fldCharType="begin"/>
      </w:r>
      <w:r>
        <w:rPr>
          <w:color w:val="auto"/>
          <w:highlight w:val="none"/>
        </w:rPr>
        <w:instrText xml:space="preserve"> PAGEREF _Toc23834 \h </w:instrText>
      </w:r>
      <w:r>
        <w:rPr>
          <w:color w:val="auto"/>
          <w:highlight w:val="none"/>
        </w:rPr>
        <w:fldChar w:fldCharType="separate"/>
      </w:r>
      <w:r>
        <w:rPr>
          <w:color w:val="auto"/>
          <w:highlight w:val="none"/>
        </w:rPr>
        <w:t>4</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_Toc26885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四、响应文件的递交</w:t>
      </w:r>
      <w:r>
        <w:rPr>
          <w:color w:val="auto"/>
          <w:highlight w:val="none"/>
        </w:rPr>
        <w:tab/>
      </w:r>
      <w:r>
        <w:rPr>
          <w:color w:val="auto"/>
          <w:highlight w:val="none"/>
        </w:rPr>
        <w:fldChar w:fldCharType="begin"/>
      </w:r>
      <w:r>
        <w:rPr>
          <w:color w:val="auto"/>
          <w:highlight w:val="none"/>
        </w:rPr>
        <w:instrText xml:space="preserve"> PAGEREF _Toc26885 \h </w:instrText>
      </w:r>
      <w:r>
        <w:rPr>
          <w:color w:val="auto"/>
          <w:highlight w:val="none"/>
        </w:rPr>
        <w:fldChar w:fldCharType="separate"/>
      </w:r>
      <w:r>
        <w:rPr>
          <w:color w:val="auto"/>
          <w:highlight w:val="none"/>
        </w:rPr>
        <w:t>4</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_Toc14271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五、发布公告的媒介</w:t>
      </w:r>
      <w:r>
        <w:rPr>
          <w:color w:val="auto"/>
          <w:highlight w:val="none"/>
        </w:rPr>
        <w:tab/>
      </w:r>
      <w:r>
        <w:rPr>
          <w:color w:val="auto"/>
          <w:highlight w:val="none"/>
        </w:rPr>
        <w:fldChar w:fldCharType="begin"/>
      </w:r>
      <w:r>
        <w:rPr>
          <w:color w:val="auto"/>
          <w:highlight w:val="none"/>
        </w:rPr>
        <w:instrText xml:space="preserve"> PAGEREF _Toc14271 \h </w:instrText>
      </w:r>
      <w:r>
        <w:rPr>
          <w:color w:val="auto"/>
          <w:highlight w:val="none"/>
        </w:rPr>
        <w:fldChar w:fldCharType="separate"/>
      </w:r>
      <w:r>
        <w:rPr>
          <w:color w:val="auto"/>
          <w:highlight w:val="none"/>
        </w:rPr>
        <w:t>5</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_Toc2894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六、联系方式</w:t>
      </w:r>
      <w:r>
        <w:rPr>
          <w:color w:val="auto"/>
          <w:highlight w:val="none"/>
        </w:rPr>
        <w:tab/>
      </w:r>
      <w:r>
        <w:rPr>
          <w:color w:val="auto"/>
          <w:highlight w:val="none"/>
        </w:rPr>
        <w:fldChar w:fldCharType="begin"/>
      </w:r>
      <w:r>
        <w:rPr>
          <w:color w:val="auto"/>
          <w:highlight w:val="none"/>
        </w:rPr>
        <w:instrText xml:space="preserve"> PAGEREF _Toc2894 \h </w:instrText>
      </w:r>
      <w:r>
        <w:rPr>
          <w:color w:val="auto"/>
          <w:highlight w:val="none"/>
        </w:rPr>
        <w:fldChar w:fldCharType="separate"/>
      </w:r>
      <w:r>
        <w:rPr>
          <w:color w:val="auto"/>
          <w:highlight w:val="none"/>
        </w:rPr>
        <w:t>5</w:t>
      </w:r>
      <w:r>
        <w:rPr>
          <w:color w:val="auto"/>
          <w:highlight w:val="none"/>
        </w:rPr>
        <w:fldChar w:fldCharType="end"/>
      </w:r>
      <w:r>
        <w:rPr>
          <w:rFonts w:hint="eastAsia" w:ascii="仿宋_GB2312" w:hAnsi="宋体" w:eastAsia="仿宋_GB2312"/>
          <w:bCs w:val="0"/>
          <w:color w:val="auto"/>
          <w:highlight w:val="none"/>
        </w:rPr>
        <w:fldChar w:fldCharType="end"/>
      </w:r>
    </w:p>
    <w:p>
      <w:pPr>
        <w:pStyle w:val="21"/>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_Toc19422 </w:instrText>
      </w:r>
      <w:r>
        <w:rPr>
          <w:rFonts w:hint="eastAsia" w:ascii="仿宋_GB2312" w:hAnsi="宋体" w:eastAsia="仿宋_GB2312"/>
          <w:bCs w:val="0"/>
          <w:color w:val="auto"/>
          <w:highlight w:val="none"/>
        </w:rPr>
        <w:fldChar w:fldCharType="separate"/>
      </w:r>
      <w:r>
        <w:rPr>
          <w:rFonts w:hint="eastAsia" w:ascii="仿宋_GB2312" w:hAnsi="宋体" w:eastAsia="仿宋_GB2312"/>
          <w:color w:val="auto"/>
          <w:szCs w:val="28"/>
          <w:highlight w:val="none"/>
        </w:rPr>
        <w:t>第二章 供应商须知</w:t>
      </w:r>
      <w:r>
        <w:rPr>
          <w:color w:val="auto"/>
          <w:highlight w:val="none"/>
        </w:rPr>
        <w:tab/>
      </w:r>
      <w:r>
        <w:rPr>
          <w:color w:val="auto"/>
          <w:highlight w:val="none"/>
        </w:rPr>
        <w:fldChar w:fldCharType="begin"/>
      </w:r>
      <w:r>
        <w:rPr>
          <w:color w:val="auto"/>
          <w:highlight w:val="none"/>
        </w:rPr>
        <w:instrText xml:space="preserve"> PAGEREF _Toc19422 \h </w:instrText>
      </w:r>
      <w:r>
        <w:rPr>
          <w:color w:val="auto"/>
          <w:highlight w:val="none"/>
        </w:rPr>
        <w:fldChar w:fldCharType="separate"/>
      </w:r>
      <w:r>
        <w:rPr>
          <w:color w:val="auto"/>
          <w:highlight w:val="none"/>
        </w:rPr>
        <w:t>6</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_Toc10537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一、供应商须知前附表</w:t>
      </w:r>
      <w:r>
        <w:rPr>
          <w:color w:val="auto"/>
          <w:highlight w:val="none"/>
        </w:rPr>
        <w:tab/>
      </w:r>
      <w:r>
        <w:rPr>
          <w:color w:val="auto"/>
          <w:highlight w:val="none"/>
        </w:rPr>
        <w:fldChar w:fldCharType="begin"/>
      </w:r>
      <w:r>
        <w:rPr>
          <w:color w:val="auto"/>
          <w:highlight w:val="none"/>
        </w:rPr>
        <w:instrText xml:space="preserve"> PAGEREF _Toc10537 \h </w:instrText>
      </w:r>
      <w:r>
        <w:rPr>
          <w:color w:val="auto"/>
          <w:highlight w:val="none"/>
        </w:rPr>
        <w:fldChar w:fldCharType="separate"/>
      </w:r>
      <w:r>
        <w:rPr>
          <w:color w:val="auto"/>
          <w:highlight w:val="none"/>
        </w:rPr>
        <w:t>6</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_Toc582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二、供应商须知正文</w:t>
      </w:r>
      <w:r>
        <w:rPr>
          <w:color w:val="auto"/>
          <w:highlight w:val="none"/>
        </w:rPr>
        <w:tab/>
      </w:r>
      <w:r>
        <w:rPr>
          <w:color w:val="auto"/>
          <w:highlight w:val="none"/>
        </w:rPr>
        <w:fldChar w:fldCharType="begin"/>
      </w:r>
      <w:r>
        <w:rPr>
          <w:color w:val="auto"/>
          <w:highlight w:val="none"/>
        </w:rPr>
        <w:instrText xml:space="preserve"> PAGEREF _Toc582 \h </w:instrText>
      </w:r>
      <w:r>
        <w:rPr>
          <w:color w:val="auto"/>
          <w:highlight w:val="none"/>
        </w:rPr>
        <w:fldChar w:fldCharType="separate"/>
      </w:r>
      <w:r>
        <w:rPr>
          <w:color w:val="auto"/>
          <w:highlight w:val="none"/>
        </w:rPr>
        <w:t>9</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_Toc31265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（一）总 则</w:t>
      </w:r>
      <w:r>
        <w:rPr>
          <w:color w:val="auto"/>
          <w:highlight w:val="none"/>
        </w:rPr>
        <w:tab/>
      </w:r>
      <w:r>
        <w:rPr>
          <w:color w:val="auto"/>
          <w:highlight w:val="none"/>
        </w:rPr>
        <w:fldChar w:fldCharType="begin"/>
      </w:r>
      <w:r>
        <w:rPr>
          <w:color w:val="auto"/>
          <w:highlight w:val="none"/>
        </w:rPr>
        <w:instrText xml:space="preserve"> PAGEREF _Toc31265 \h </w:instrText>
      </w:r>
      <w:r>
        <w:rPr>
          <w:color w:val="auto"/>
          <w:highlight w:val="none"/>
        </w:rPr>
        <w:fldChar w:fldCharType="separate"/>
      </w:r>
      <w:r>
        <w:rPr>
          <w:color w:val="auto"/>
          <w:highlight w:val="none"/>
        </w:rPr>
        <w:t>9</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_Toc18030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（二）比选文件</w:t>
      </w:r>
      <w:r>
        <w:rPr>
          <w:color w:val="auto"/>
          <w:highlight w:val="none"/>
        </w:rPr>
        <w:tab/>
      </w:r>
      <w:r>
        <w:rPr>
          <w:color w:val="auto"/>
          <w:highlight w:val="none"/>
        </w:rPr>
        <w:fldChar w:fldCharType="begin"/>
      </w:r>
      <w:r>
        <w:rPr>
          <w:color w:val="auto"/>
          <w:highlight w:val="none"/>
        </w:rPr>
        <w:instrText xml:space="preserve"> PAGEREF _Toc18030 \h </w:instrText>
      </w:r>
      <w:r>
        <w:rPr>
          <w:color w:val="auto"/>
          <w:highlight w:val="none"/>
        </w:rPr>
        <w:fldChar w:fldCharType="separate"/>
      </w:r>
      <w:r>
        <w:rPr>
          <w:color w:val="auto"/>
          <w:highlight w:val="none"/>
        </w:rPr>
        <w:t>9</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_Toc19869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（三）响应文件</w:t>
      </w:r>
      <w:r>
        <w:rPr>
          <w:color w:val="auto"/>
          <w:highlight w:val="none"/>
        </w:rPr>
        <w:tab/>
      </w:r>
      <w:r>
        <w:rPr>
          <w:color w:val="auto"/>
          <w:highlight w:val="none"/>
        </w:rPr>
        <w:fldChar w:fldCharType="begin"/>
      </w:r>
      <w:r>
        <w:rPr>
          <w:color w:val="auto"/>
          <w:highlight w:val="none"/>
        </w:rPr>
        <w:instrText xml:space="preserve"> PAGEREF _Toc19869 \h </w:instrText>
      </w:r>
      <w:r>
        <w:rPr>
          <w:color w:val="auto"/>
          <w:highlight w:val="none"/>
        </w:rPr>
        <w:fldChar w:fldCharType="separate"/>
      </w:r>
      <w:r>
        <w:rPr>
          <w:color w:val="auto"/>
          <w:highlight w:val="none"/>
        </w:rPr>
        <w:t>10</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_Toc7358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（四）响应文件的递交</w:t>
      </w:r>
      <w:r>
        <w:rPr>
          <w:color w:val="auto"/>
          <w:highlight w:val="none"/>
        </w:rPr>
        <w:tab/>
      </w:r>
      <w:r>
        <w:rPr>
          <w:color w:val="auto"/>
          <w:highlight w:val="none"/>
        </w:rPr>
        <w:fldChar w:fldCharType="begin"/>
      </w:r>
      <w:r>
        <w:rPr>
          <w:color w:val="auto"/>
          <w:highlight w:val="none"/>
        </w:rPr>
        <w:instrText xml:space="preserve"> PAGEREF _Toc7358 \h </w:instrText>
      </w:r>
      <w:r>
        <w:rPr>
          <w:color w:val="auto"/>
          <w:highlight w:val="none"/>
        </w:rPr>
        <w:fldChar w:fldCharType="separate"/>
      </w:r>
      <w:r>
        <w:rPr>
          <w:color w:val="auto"/>
          <w:highlight w:val="none"/>
        </w:rPr>
        <w:t>12</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_Toc18044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（五）比选和评审</w:t>
      </w:r>
      <w:r>
        <w:rPr>
          <w:color w:val="auto"/>
          <w:highlight w:val="none"/>
        </w:rPr>
        <w:tab/>
      </w:r>
      <w:r>
        <w:rPr>
          <w:color w:val="auto"/>
          <w:highlight w:val="none"/>
        </w:rPr>
        <w:fldChar w:fldCharType="begin"/>
      </w:r>
      <w:r>
        <w:rPr>
          <w:color w:val="auto"/>
          <w:highlight w:val="none"/>
        </w:rPr>
        <w:instrText xml:space="preserve"> PAGEREF _Toc18044 \h </w:instrText>
      </w:r>
      <w:r>
        <w:rPr>
          <w:color w:val="auto"/>
          <w:highlight w:val="none"/>
        </w:rPr>
        <w:fldChar w:fldCharType="separate"/>
      </w:r>
      <w:r>
        <w:rPr>
          <w:color w:val="auto"/>
          <w:highlight w:val="none"/>
        </w:rPr>
        <w:t>12</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_Toc29775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（六）授予合同</w:t>
      </w:r>
      <w:r>
        <w:rPr>
          <w:color w:val="auto"/>
          <w:highlight w:val="none"/>
        </w:rPr>
        <w:tab/>
      </w:r>
      <w:r>
        <w:rPr>
          <w:color w:val="auto"/>
          <w:highlight w:val="none"/>
        </w:rPr>
        <w:fldChar w:fldCharType="begin"/>
      </w:r>
      <w:r>
        <w:rPr>
          <w:color w:val="auto"/>
          <w:highlight w:val="none"/>
        </w:rPr>
        <w:instrText xml:space="preserve"> PAGEREF _Toc29775 \h </w:instrText>
      </w:r>
      <w:r>
        <w:rPr>
          <w:color w:val="auto"/>
          <w:highlight w:val="none"/>
        </w:rPr>
        <w:fldChar w:fldCharType="separate"/>
      </w:r>
      <w:r>
        <w:rPr>
          <w:color w:val="auto"/>
          <w:highlight w:val="none"/>
        </w:rPr>
        <w:t>15</w:t>
      </w:r>
      <w:r>
        <w:rPr>
          <w:color w:val="auto"/>
          <w:highlight w:val="none"/>
        </w:rPr>
        <w:fldChar w:fldCharType="end"/>
      </w:r>
      <w:r>
        <w:rPr>
          <w:rFonts w:hint="eastAsia" w:ascii="仿宋_GB2312" w:hAnsi="宋体" w:eastAsia="仿宋_GB2312"/>
          <w:bCs w:val="0"/>
          <w:color w:val="auto"/>
          <w:highlight w:val="none"/>
        </w:rPr>
        <w:fldChar w:fldCharType="end"/>
      </w:r>
    </w:p>
    <w:p>
      <w:pPr>
        <w:pStyle w:val="21"/>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_Toc22626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8"/>
          <w:highlight w:val="none"/>
        </w:rPr>
        <w:t>第三章 评审办法</w:t>
      </w:r>
      <w:r>
        <w:rPr>
          <w:color w:val="auto"/>
          <w:highlight w:val="none"/>
        </w:rPr>
        <w:tab/>
      </w:r>
      <w:r>
        <w:rPr>
          <w:color w:val="auto"/>
          <w:highlight w:val="none"/>
        </w:rPr>
        <w:fldChar w:fldCharType="begin"/>
      </w:r>
      <w:r>
        <w:rPr>
          <w:color w:val="auto"/>
          <w:highlight w:val="none"/>
        </w:rPr>
        <w:instrText xml:space="preserve"> PAGEREF _Toc22626 \h </w:instrText>
      </w:r>
      <w:r>
        <w:rPr>
          <w:color w:val="auto"/>
          <w:highlight w:val="none"/>
        </w:rPr>
        <w:fldChar w:fldCharType="separate"/>
      </w:r>
      <w:r>
        <w:rPr>
          <w:color w:val="auto"/>
          <w:highlight w:val="none"/>
        </w:rPr>
        <w:t>15</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_Toc22389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一、评审程序</w:t>
      </w:r>
      <w:r>
        <w:rPr>
          <w:color w:val="auto"/>
          <w:highlight w:val="none"/>
        </w:rPr>
        <w:tab/>
      </w:r>
      <w:r>
        <w:rPr>
          <w:color w:val="auto"/>
          <w:highlight w:val="none"/>
        </w:rPr>
        <w:fldChar w:fldCharType="begin"/>
      </w:r>
      <w:r>
        <w:rPr>
          <w:color w:val="auto"/>
          <w:highlight w:val="none"/>
        </w:rPr>
        <w:instrText xml:space="preserve"> PAGEREF _Toc22389 \h </w:instrText>
      </w:r>
      <w:r>
        <w:rPr>
          <w:color w:val="auto"/>
          <w:highlight w:val="none"/>
        </w:rPr>
        <w:fldChar w:fldCharType="separate"/>
      </w:r>
      <w:r>
        <w:rPr>
          <w:color w:val="auto"/>
          <w:highlight w:val="none"/>
        </w:rPr>
        <w:t>15</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_Toc15499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二、初步评审</w:t>
      </w:r>
      <w:r>
        <w:rPr>
          <w:color w:val="auto"/>
          <w:highlight w:val="none"/>
        </w:rPr>
        <w:tab/>
      </w:r>
      <w:r>
        <w:rPr>
          <w:color w:val="auto"/>
          <w:highlight w:val="none"/>
        </w:rPr>
        <w:fldChar w:fldCharType="begin"/>
      </w:r>
      <w:r>
        <w:rPr>
          <w:color w:val="auto"/>
          <w:highlight w:val="none"/>
        </w:rPr>
        <w:instrText xml:space="preserve"> PAGEREF _Toc15499 \h </w:instrText>
      </w:r>
      <w:r>
        <w:rPr>
          <w:color w:val="auto"/>
          <w:highlight w:val="none"/>
        </w:rPr>
        <w:fldChar w:fldCharType="separate"/>
      </w:r>
      <w:r>
        <w:rPr>
          <w:color w:val="auto"/>
          <w:highlight w:val="none"/>
        </w:rPr>
        <w:t>17</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_Toc31182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三、详细评审</w:t>
      </w:r>
      <w:r>
        <w:rPr>
          <w:color w:val="auto"/>
          <w:highlight w:val="none"/>
        </w:rPr>
        <w:tab/>
      </w:r>
      <w:r>
        <w:rPr>
          <w:color w:val="auto"/>
          <w:highlight w:val="none"/>
        </w:rPr>
        <w:fldChar w:fldCharType="begin"/>
      </w:r>
      <w:r>
        <w:rPr>
          <w:color w:val="auto"/>
          <w:highlight w:val="none"/>
        </w:rPr>
        <w:instrText xml:space="preserve"> PAGEREF _Toc31182 \h </w:instrText>
      </w:r>
      <w:r>
        <w:rPr>
          <w:color w:val="auto"/>
          <w:highlight w:val="none"/>
        </w:rPr>
        <w:fldChar w:fldCharType="separate"/>
      </w:r>
      <w:r>
        <w:rPr>
          <w:color w:val="auto"/>
          <w:highlight w:val="none"/>
        </w:rPr>
        <w:t>18</w:t>
      </w:r>
      <w:r>
        <w:rPr>
          <w:color w:val="auto"/>
          <w:highlight w:val="none"/>
        </w:rPr>
        <w:fldChar w:fldCharType="end"/>
      </w:r>
      <w:r>
        <w:rPr>
          <w:rFonts w:hint="eastAsia" w:ascii="仿宋_GB2312" w:hAnsi="宋体" w:eastAsia="仿宋_GB2312"/>
          <w:bCs w:val="0"/>
          <w:color w:val="auto"/>
          <w:highlight w:val="none"/>
        </w:rPr>
        <w:fldChar w:fldCharType="end"/>
      </w:r>
    </w:p>
    <w:p>
      <w:pPr>
        <w:pStyle w:val="21"/>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_Toc547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8"/>
          <w:highlight w:val="none"/>
          <w:lang w:eastAsia="zh-CN"/>
        </w:rPr>
        <w:t>第四章 合同条款</w:t>
      </w:r>
      <w:r>
        <w:rPr>
          <w:color w:val="auto"/>
          <w:highlight w:val="none"/>
        </w:rPr>
        <w:tab/>
      </w:r>
      <w:r>
        <w:rPr>
          <w:color w:val="auto"/>
          <w:highlight w:val="none"/>
        </w:rPr>
        <w:fldChar w:fldCharType="begin"/>
      </w:r>
      <w:r>
        <w:rPr>
          <w:color w:val="auto"/>
          <w:highlight w:val="none"/>
        </w:rPr>
        <w:instrText xml:space="preserve"> PAGEREF _Toc547 \h </w:instrText>
      </w:r>
      <w:r>
        <w:rPr>
          <w:color w:val="auto"/>
          <w:highlight w:val="none"/>
        </w:rPr>
        <w:fldChar w:fldCharType="separate"/>
      </w:r>
      <w:r>
        <w:rPr>
          <w:color w:val="auto"/>
          <w:highlight w:val="none"/>
        </w:rPr>
        <w:t>20</w:t>
      </w:r>
      <w:r>
        <w:rPr>
          <w:color w:val="auto"/>
          <w:highlight w:val="none"/>
        </w:rPr>
        <w:fldChar w:fldCharType="end"/>
      </w:r>
      <w:r>
        <w:rPr>
          <w:rFonts w:hint="eastAsia" w:ascii="仿宋_GB2312" w:hAnsi="宋体" w:eastAsia="仿宋_GB2312"/>
          <w:bCs w:val="0"/>
          <w:color w:val="auto"/>
          <w:highlight w:val="none"/>
        </w:rPr>
        <w:fldChar w:fldCharType="end"/>
      </w:r>
    </w:p>
    <w:p>
      <w:pPr>
        <w:pStyle w:val="21"/>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_Toc22454 </w:instrText>
      </w:r>
      <w:r>
        <w:rPr>
          <w:rFonts w:hint="eastAsia" w:ascii="仿宋_GB2312" w:hAnsi="宋体" w:eastAsia="仿宋_GB2312"/>
          <w:bCs w:val="0"/>
          <w:color w:val="auto"/>
          <w:highlight w:val="none"/>
        </w:rPr>
        <w:fldChar w:fldCharType="separate"/>
      </w:r>
      <w:r>
        <w:rPr>
          <w:rFonts w:hint="eastAsia" w:ascii="楷体" w:hAnsi="楷体" w:eastAsia="楷体" w:cs="楷体"/>
          <w:bCs/>
          <w:color w:val="auto"/>
          <w:kern w:val="0"/>
          <w:szCs w:val="24"/>
          <w:highlight w:val="none"/>
          <w:lang w:val="en-US" w:eastAsia="zh-CN" w:bidi="ar-SA"/>
        </w:rPr>
        <w:t>附件二</w:t>
      </w:r>
      <w:r>
        <w:rPr>
          <w:color w:val="auto"/>
          <w:highlight w:val="none"/>
        </w:rPr>
        <w:tab/>
      </w:r>
      <w:r>
        <w:rPr>
          <w:color w:val="auto"/>
          <w:highlight w:val="none"/>
        </w:rPr>
        <w:fldChar w:fldCharType="begin"/>
      </w:r>
      <w:r>
        <w:rPr>
          <w:color w:val="auto"/>
          <w:highlight w:val="none"/>
        </w:rPr>
        <w:instrText xml:space="preserve"> PAGEREF _Toc22454 \h </w:instrText>
      </w:r>
      <w:r>
        <w:rPr>
          <w:color w:val="auto"/>
          <w:highlight w:val="none"/>
        </w:rPr>
        <w:fldChar w:fldCharType="separate"/>
      </w:r>
      <w:r>
        <w:rPr>
          <w:color w:val="auto"/>
          <w:highlight w:val="none"/>
        </w:rPr>
        <w:t>26</w:t>
      </w:r>
      <w:r>
        <w:rPr>
          <w:color w:val="auto"/>
          <w:highlight w:val="none"/>
        </w:rPr>
        <w:fldChar w:fldCharType="end"/>
      </w:r>
      <w:r>
        <w:rPr>
          <w:rFonts w:hint="eastAsia" w:ascii="仿宋_GB2312" w:hAnsi="宋体" w:eastAsia="仿宋_GB2312"/>
          <w:bCs w:val="0"/>
          <w:color w:val="auto"/>
          <w:highlight w:val="none"/>
        </w:rPr>
        <w:fldChar w:fldCharType="end"/>
      </w:r>
    </w:p>
    <w:p>
      <w:pPr>
        <w:pStyle w:val="21"/>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_Toc15990 </w:instrText>
      </w:r>
      <w:r>
        <w:rPr>
          <w:rFonts w:hint="eastAsia" w:ascii="仿宋_GB2312" w:hAnsi="宋体" w:eastAsia="仿宋_GB2312"/>
          <w:bCs w:val="0"/>
          <w:color w:val="auto"/>
          <w:highlight w:val="none"/>
        </w:rPr>
        <w:fldChar w:fldCharType="separate"/>
      </w:r>
      <w:r>
        <w:rPr>
          <w:rFonts w:hint="eastAsia" w:ascii="仿宋_GB2312" w:hAnsi="宋体" w:eastAsia="仿宋_GB2312"/>
          <w:color w:val="auto"/>
          <w:szCs w:val="28"/>
          <w:highlight w:val="none"/>
        </w:rPr>
        <w:t>第五章 采购需求</w:t>
      </w:r>
      <w:r>
        <w:rPr>
          <w:color w:val="auto"/>
          <w:highlight w:val="none"/>
        </w:rPr>
        <w:tab/>
      </w:r>
      <w:r>
        <w:rPr>
          <w:color w:val="auto"/>
          <w:highlight w:val="none"/>
        </w:rPr>
        <w:fldChar w:fldCharType="begin"/>
      </w:r>
      <w:r>
        <w:rPr>
          <w:color w:val="auto"/>
          <w:highlight w:val="none"/>
        </w:rPr>
        <w:instrText xml:space="preserve"> PAGEREF _Toc15990 \h </w:instrText>
      </w:r>
      <w:r>
        <w:rPr>
          <w:color w:val="auto"/>
          <w:highlight w:val="none"/>
        </w:rPr>
        <w:fldChar w:fldCharType="separate"/>
      </w:r>
      <w:r>
        <w:rPr>
          <w:color w:val="auto"/>
          <w:highlight w:val="none"/>
        </w:rPr>
        <w:t>36</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_Toc31298 </w:instrText>
      </w:r>
      <w:r>
        <w:rPr>
          <w:rFonts w:hint="eastAsia" w:ascii="仿宋_GB2312" w:hAnsi="宋体" w:eastAsia="仿宋_GB2312"/>
          <w:bCs w:val="0"/>
          <w:color w:val="auto"/>
          <w:highlight w:val="none"/>
        </w:rPr>
        <w:fldChar w:fldCharType="separate"/>
      </w:r>
      <w:r>
        <w:rPr>
          <w:rFonts w:hint="default" w:ascii="楷体" w:hAnsi="楷体" w:eastAsia="楷体" w:cs="仿宋_GB2312"/>
          <w:i w:val="0"/>
          <w:iCs/>
          <w:color w:val="auto"/>
          <w:szCs w:val="40"/>
          <w:highlight w:val="none"/>
        </w:rPr>
        <w:t xml:space="preserve">一、 </w:t>
      </w:r>
      <w:r>
        <w:rPr>
          <w:rFonts w:ascii="楷体" w:hAnsi="楷体" w:eastAsia="楷体" w:cs="仿宋_GB2312"/>
          <w:i w:val="0"/>
          <w:iCs/>
          <w:color w:val="auto"/>
          <w:szCs w:val="40"/>
          <w:highlight w:val="none"/>
        </w:rPr>
        <w:t>采购项目背景</w:t>
      </w:r>
      <w:r>
        <w:rPr>
          <w:color w:val="auto"/>
          <w:highlight w:val="none"/>
        </w:rPr>
        <w:tab/>
      </w:r>
      <w:r>
        <w:rPr>
          <w:color w:val="auto"/>
          <w:highlight w:val="none"/>
        </w:rPr>
        <w:fldChar w:fldCharType="begin"/>
      </w:r>
      <w:r>
        <w:rPr>
          <w:color w:val="auto"/>
          <w:highlight w:val="none"/>
        </w:rPr>
        <w:instrText xml:space="preserve"> PAGEREF _Toc31298 \h </w:instrText>
      </w:r>
      <w:r>
        <w:rPr>
          <w:color w:val="auto"/>
          <w:highlight w:val="none"/>
        </w:rPr>
        <w:fldChar w:fldCharType="separate"/>
      </w:r>
      <w:r>
        <w:rPr>
          <w:color w:val="auto"/>
          <w:highlight w:val="none"/>
        </w:rPr>
        <w:t>36</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_Toc17259 </w:instrText>
      </w:r>
      <w:r>
        <w:rPr>
          <w:rFonts w:hint="eastAsia" w:ascii="仿宋_GB2312" w:hAnsi="宋体" w:eastAsia="仿宋_GB2312"/>
          <w:bCs w:val="0"/>
          <w:color w:val="auto"/>
          <w:highlight w:val="none"/>
        </w:rPr>
        <w:fldChar w:fldCharType="separate"/>
      </w:r>
      <w:r>
        <w:rPr>
          <w:rFonts w:hint="default" w:ascii="楷体" w:hAnsi="楷体" w:eastAsia="楷体" w:cs="仿宋_GB2312"/>
          <w:i w:val="0"/>
          <w:iCs/>
          <w:color w:val="auto"/>
          <w:szCs w:val="40"/>
          <w:highlight w:val="none"/>
        </w:rPr>
        <w:t xml:space="preserve">二、 </w:t>
      </w:r>
      <w:r>
        <w:rPr>
          <w:rFonts w:ascii="楷体" w:hAnsi="楷体" w:eastAsia="楷体" w:cs="仿宋_GB2312"/>
          <w:i w:val="0"/>
          <w:iCs/>
          <w:color w:val="auto"/>
          <w:szCs w:val="40"/>
          <w:highlight w:val="none"/>
        </w:rPr>
        <w:t>采购内容</w:t>
      </w:r>
      <w:r>
        <w:rPr>
          <w:color w:val="auto"/>
          <w:highlight w:val="none"/>
        </w:rPr>
        <w:tab/>
      </w:r>
      <w:r>
        <w:rPr>
          <w:color w:val="auto"/>
          <w:highlight w:val="none"/>
        </w:rPr>
        <w:fldChar w:fldCharType="begin"/>
      </w:r>
      <w:r>
        <w:rPr>
          <w:color w:val="auto"/>
          <w:highlight w:val="none"/>
        </w:rPr>
        <w:instrText xml:space="preserve"> PAGEREF _Toc17259 \h </w:instrText>
      </w:r>
      <w:r>
        <w:rPr>
          <w:color w:val="auto"/>
          <w:highlight w:val="none"/>
        </w:rPr>
        <w:fldChar w:fldCharType="separate"/>
      </w:r>
      <w:r>
        <w:rPr>
          <w:color w:val="auto"/>
          <w:highlight w:val="none"/>
        </w:rPr>
        <w:t>36</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_Toc19509 </w:instrText>
      </w:r>
      <w:r>
        <w:rPr>
          <w:rFonts w:hint="eastAsia" w:ascii="仿宋_GB2312" w:hAnsi="宋体" w:eastAsia="仿宋_GB2312"/>
          <w:bCs w:val="0"/>
          <w:color w:val="auto"/>
          <w:highlight w:val="none"/>
        </w:rPr>
        <w:fldChar w:fldCharType="separate"/>
      </w:r>
      <w:r>
        <w:rPr>
          <w:rFonts w:hint="default" w:ascii="楷体" w:hAnsi="楷体" w:eastAsia="楷体" w:cs="仿宋_GB2312"/>
          <w:i w:val="0"/>
          <w:iCs/>
          <w:color w:val="auto"/>
          <w:szCs w:val="40"/>
          <w:highlight w:val="none"/>
        </w:rPr>
        <w:t xml:space="preserve">三、 </w:t>
      </w:r>
      <w:r>
        <w:rPr>
          <w:rFonts w:hint="eastAsia" w:ascii="楷体" w:hAnsi="楷体" w:eastAsia="楷体" w:cs="仿宋_GB2312"/>
          <w:i w:val="0"/>
          <w:iCs/>
          <w:color w:val="auto"/>
          <w:szCs w:val="40"/>
          <w:highlight w:val="none"/>
        </w:rPr>
        <w:t>采购数量</w:t>
      </w:r>
      <w:r>
        <w:rPr>
          <w:color w:val="auto"/>
          <w:highlight w:val="none"/>
        </w:rPr>
        <w:tab/>
      </w:r>
      <w:r>
        <w:rPr>
          <w:color w:val="auto"/>
          <w:highlight w:val="none"/>
        </w:rPr>
        <w:fldChar w:fldCharType="begin"/>
      </w:r>
      <w:r>
        <w:rPr>
          <w:color w:val="auto"/>
          <w:highlight w:val="none"/>
        </w:rPr>
        <w:instrText xml:space="preserve"> PAGEREF _Toc19509 \h </w:instrText>
      </w:r>
      <w:r>
        <w:rPr>
          <w:color w:val="auto"/>
          <w:highlight w:val="none"/>
        </w:rPr>
        <w:fldChar w:fldCharType="separate"/>
      </w:r>
      <w:r>
        <w:rPr>
          <w:color w:val="auto"/>
          <w:highlight w:val="none"/>
        </w:rPr>
        <w:t>36</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_Toc14133 </w:instrText>
      </w:r>
      <w:r>
        <w:rPr>
          <w:rFonts w:hint="eastAsia" w:ascii="仿宋_GB2312" w:hAnsi="宋体" w:eastAsia="仿宋_GB2312"/>
          <w:bCs w:val="0"/>
          <w:color w:val="auto"/>
          <w:highlight w:val="none"/>
        </w:rPr>
        <w:fldChar w:fldCharType="separate"/>
      </w:r>
      <w:r>
        <w:rPr>
          <w:rFonts w:hint="default" w:ascii="楷体" w:hAnsi="楷体" w:eastAsia="楷体" w:cs="仿宋_GB2312"/>
          <w:i w:val="0"/>
          <w:iCs/>
          <w:color w:val="auto"/>
          <w:szCs w:val="40"/>
          <w:highlight w:val="none"/>
        </w:rPr>
        <w:t xml:space="preserve">四、 </w:t>
      </w:r>
      <w:r>
        <w:rPr>
          <w:rFonts w:hint="eastAsia" w:ascii="楷体" w:hAnsi="楷体" w:eastAsia="楷体" w:cs="仿宋_GB2312"/>
          <w:i w:val="0"/>
          <w:iCs/>
          <w:color w:val="auto"/>
          <w:szCs w:val="40"/>
          <w:highlight w:val="none"/>
        </w:rPr>
        <w:t>付款方式</w:t>
      </w:r>
      <w:r>
        <w:rPr>
          <w:color w:val="auto"/>
          <w:highlight w:val="none"/>
        </w:rPr>
        <w:tab/>
      </w:r>
      <w:r>
        <w:rPr>
          <w:color w:val="auto"/>
          <w:highlight w:val="none"/>
        </w:rPr>
        <w:fldChar w:fldCharType="begin"/>
      </w:r>
      <w:r>
        <w:rPr>
          <w:color w:val="auto"/>
          <w:highlight w:val="none"/>
        </w:rPr>
        <w:instrText xml:space="preserve"> PAGEREF _Toc14133 \h </w:instrText>
      </w:r>
      <w:r>
        <w:rPr>
          <w:color w:val="auto"/>
          <w:highlight w:val="none"/>
        </w:rPr>
        <w:fldChar w:fldCharType="separate"/>
      </w:r>
      <w:r>
        <w:rPr>
          <w:color w:val="auto"/>
          <w:highlight w:val="none"/>
        </w:rPr>
        <w:t>36</w:t>
      </w:r>
      <w:r>
        <w:rPr>
          <w:color w:val="auto"/>
          <w:highlight w:val="none"/>
        </w:rPr>
        <w:fldChar w:fldCharType="end"/>
      </w:r>
      <w:r>
        <w:rPr>
          <w:rFonts w:hint="eastAsia" w:ascii="仿宋_GB2312" w:hAnsi="宋体" w:eastAsia="仿宋_GB2312"/>
          <w:bCs w:val="0"/>
          <w:color w:val="auto"/>
          <w:highlight w:val="none"/>
        </w:rPr>
        <w:fldChar w:fldCharType="end"/>
      </w:r>
    </w:p>
    <w:p>
      <w:pPr>
        <w:pStyle w:val="21"/>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_Toc32278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8"/>
          <w:highlight w:val="none"/>
        </w:rPr>
        <w:t>第六章 响应文件格式</w:t>
      </w:r>
      <w:r>
        <w:rPr>
          <w:color w:val="auto"/>
          <w:highlight w:val="none"/>
        </w:rPr>
        <w:tab/>
      </w:r>
      <w:r>
        <w:rPr>
          <w:color w:val="auto"/>
          <w:highlight w:val="none"/>
        </w:rPr>
        <w:fldChar w:fldCharType="begin"/>
      </w:r>
      <w:r>
        <w:rPr>
          <w:color w:val="auto"/>
          <w:highlight w:val="none"/>
        </w:rPr>
        <w:instrText xml:space="preserve"> PAGEREF _Toc32278 \h </w:instrText>
      </w:r>
      <w:r>
        <w:rPr>
          <w:color w:val="auto"/>
          <w:highlight w:val="none"/>
        </w:rPr>
        <w:fldChar w:fldCharType="separate"/>
      </w:r>
      <w:r>
        <w:rPr>
          <w:color w:val="auto"/>
          <w:highlight w:val="none"/>
        </w:rPr>
        <w:t>37</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_Toc16556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一、商务文件</w:t>
      </w:r>
      <w:r>
        <w:rPr>
          <w:color w:val="auto"/>
          <w:highlight w:val="none"/>
        </w:rPr>
        <w:tab/>
      </w:r>
      <w:r>
        <w:rPr>
          <w:color w:val="auto"/>
          <w:highlight w:val="none"/>
        </w:rPr>
        <w:fldChar w:fldCharType="begin"/>
      </w:r>
      <w:r>
        <w:rPr>
          <w:color w:val="auto"/>
          <w:highlight w:val="none"/>
        </w:rPr>
        <w:instrText xml:space="preserve"> PAGEREF _Toc16556 \h </w:instrText>
      </w:r>
      <w:r>
        <w:rPr>
          <w:color w:val="auto"/>
          <w:highlight w:val="none"/>
        </w:rPr>
        <w:fldChar w:fldCharType="separate"/>
      </w:r>
      <w:r>
        <w:rPr>
          <w:color w:val="auto"/>
          <w:highlight w:val="none"/>
        </w:rPr>
        <w:t>38</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_Toc12198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（一）响应函</w:t>
      </w:r>
      <w:r>
        <w:rPr>
          <w:color w:val="auto"/>
          <w:highlight w:val="none"/>
        </w:rPr>
        <w:tab/>
      </w:r>
      <w:r>
        <w:rPr>
          <w:color w:val="auto"/>
          <w:highlight w:val="none"/>
        </w:rPr>
        <w:fldChar w:fldCharType="begin"/>
      </w:r>
      <w:r>
        <w:rPr>
          <w:color w:val="auto"/>
          <w:highlight w:val="none"/>
        </w:rPr>
        <w:instrText xml:space="preserve"> PAGEREF _Toc12198 \h </w:instrText>
      </w:r>
      <w:r>
        <w:rPr>
          <w:color w:val="auto"/>
          <w:highlight w:val="none"/>
        </w:rPr>
        <w:fldChar w:fldCharType="separate"/>
      </w:r>
      <w:r>
        <w:rPr>
          <w:color w:val="auto"/>
          <w:highlight w:val="none"/>
        </w:rPr>
        <w:t>39</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_Toc23285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（二）法定代表人（负责人）身份证明书</w:t>
      </w:r>
      <w:r>
        <w:rPr>
          <w:color w:val="auto"/>
          <w:highlight w:val="none"/>
        </w:rPr>
        <w:tab/>
      </w:r>
      <w:r>
        <w:rPr>
          <w:color w:val="auto"/>
          <w:highlight w:val="none"/>
        </w:rPr>
        <w:fldChar w:fldCharType="begin"/>
      </w:r>
      <w:r>
        <w:rPr>
          <w:color w:val="auto"/>
          <w:highlight w:val="none"/>
        </w:rPr>
        <w:instrText xml:space="preserve"> PAGEREF _Toc23285 \h </w:instrText>
      </w:r>
      <w:r>
        <w:rPr>
          <w:color w:val="auto"/>
          <w:highlight w:val="none"/>
        </w:rPr>
        <w:fldChar w:fldCharType="separate"/>
      </w:r>
      <w:r>
        <w:rPr>
          <w:color w:val="auto"/>
          <w:highlight w:val="none"/>
        </w:rPr>
        <w:t>40</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_Toc23302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（三）法定代表人（负责人）授权委托书</w:t>
      </w:r>
      <w:r>
        <w:rPr>
          <w:color w:val="auto"/>
          <w:highlight w:val="none"/>
        </w:rPr>
        <w:tab/>
      </w:r>
      <w:r>
        <w:rPr>
          <w:color w:val="auto"/>
          <w:highlight w:val="none"/>
        </w:rPr>
        <w:fldChar w:fldCharType="begin"/>
      </w:r>
      <w:r>
        <w:rPr>
          <w:color w:val="auto"/>
          <w:highlight w:val="none"/>
        </w:rPr>
        <w:instrText xml:space="preserve"> PAGEREF _Toc23302 \h </w:instrText>
      </w:r>
      <w:r>
        <w:rPr>
          <w:color w:val="auto"/>
          <w:highlight w:val="none"/>
        </w:rPr>
        <w:fldChar w:fldCharType="separate"/>
      </w:r>
      <w:r>
        <w:rPr>
          <w:color w:val="auto"/>
          <w:highlight w:val="none"/>
        </w:rPr>
        <w:t>41</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_Toc21703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（四）资格证明文件</w:t>
      </w:r>
      <w:r>
        <w:rPr>
          <w:color w:val="auto"/>
          <w:highlight w:val="none"/>
        </w:rPr>
        <w:tab/>
      </w:r>
      <w:r>
        <w:rPr>
          <w:color w:val="auto"/>
          <w:highlight w:val="none"/>
        </w:rPr>
        <w:fldChar w:fldCharType="begin"/>
      </w:r>
      <w:r>
        <w:rPr>
          <w:color w:val="auto"/>
          <w:highlight w:val="none"/>
        </w:rPr>
        <w:instrText xml:space="preserve"> PAGEREF _Toc21703 \h </w:instrText>
      </w:r>
      <w:r>
        <w:rPr>
          <w:color w:val="auto"/>
          <w:highlight w:val="none"/>
        </w:rPr>
        <w:fldChar w:fldCharType="separate"/>
      </w:r>
      <w:r>
        <w:rPr>
          <w:color w:val="auto"/>
          <w:highlight w:val="none"/>
        </w:rPr>
        <w:t>42</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_Toc14812 </w:instrText>
      </w:r>
      <w:r>
        <w:rPr>
          <w:rFonts w:hint="eastAsia" w:ascii="仿宋_GB2312" w:hAnsi="宋体" w:eastAsia="仿宋_GB2312"/>
          <w:bCs w:val="0"/>
          <w:color w:val="auto"/>
          <w:highlight w:val="none"/>
        </w:rPr>
        <w:fldChar w:fldCharType="separate"/>
      </w:r>
      <w:r>
        <w:rPr>
          <w:rFonts w:ascii="仿宋" w:hAnsi="仿宋" w:eastAsia="仿宋" w:cs="仿宋"/>
          <w:color w:val="auto"/>
          <w:szCs w:val="24"/>
          <w:highlight w:val="none"/>
        </w:rPr>
        <w:t>（</w:t>
      </w:r>
      <w:r>
        <w:rPr>
          <w:rFonts w:hint="eastAsia" w:ascii="仿宋" w:hAnsi="仿宋" w:eastAsia="仿宋" w:cs="仿宋"/>
          <w:color w:val="auto"/>
          <w:szCs w:val="24"/>
          <w:highlight w:val="none"/>
        </w:rPr>
        <w:t>五</w:t>
      </w:r>
      <w:r>
        <w:rPr>
          <w:rFonts w:ascii="仿宋" w:hAnsi="仿宋" w:eastAsia="仿宋" w:cs="仿宋"/>
          <w:color w:val="auto"/>
          <w:szCs w:val="24"/>
          <w:highlight w:val="none"/>
        </w:rPr>
        <w:t>）</w:t>
      </w:r>
      <w:r>
        <w:rPr>
          <w:rFonts w:hint="eastAsia" w:ascii="仿宋" w:hAnsi="仿宋" w:eastAsia="仿宋" w:cs="仿宋"/>
          <w:color w:val="auto"/>
          <w:szCs w:val="24"/>
          <w:highlight w:val="none"/>
        </w:rPr>
        <w:t>供应商</w:t>
      </w:r>
      <w:r>
        <w:rPr>
          <w:rFonts w:ascii="仿宋" w:hAnsi="仿宋" w:eastAsia="仿宋" w:cs="仿宋"/>
          <w:color w:val="auto"/>
          <w:szCs w:val="24"/>
          <w:highlight w:val="none"/>
        </w:rPr>
        <w:t>须知应答偏离表</w:t>
      </w:r>
      <w:r>
        <w:rPr>
          <w:color w:val="auto"/>
          <w:highlight w:val="none"/>
        </w:rPr>
        <w:tab/>
      </w:r>
      <w:r>
        <w:rPr>
          <w:color w:val="auto"/>
          <w:highlight w:val="none"/>
        </w:rPr>
        <w:fldChar w:fldCharType="begin"/>
      </w:r>
      <w:r>
        <w:rPr>
          <w:color w:val="auto"/>
          <w:highlight w:val="none"/>
        </w:rPr>
        <w:instrText xml:space="preserve"> PAGEREF _Toc14812 \h </w:instrText>
      </w:r>
      <w:r>
        <w:rPr>
          <w:color w:val="auto"/>
          <w:highlight w:val="none"/>
        </w:rPr>
        <w:fldChar w:fldCharType="separate"/>
      </w:r>
      <w:r>
        <w:rPr>
          <w:color w:val="auto"/>
          <w:highlight w:val="none"/>
        </w:rPr>
        <w:t>49</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_Toc4864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（七）供应商行为准则承诺书</w:t>
      </w:r>
      <w:r>
        <w:rPr>
          <w:color w:val="auto"/>
          <w:highlight w:val="none"/>
        </w:rPr>
        <w:tab/>
      </w:r>
      <w:r>
        <w:rPr>
          <w:color w:val="auto"/>
          <w:highlight w:val="none"/>
        </w:rPr>
        <w:fldChar w:fldCharType="begin"/>
      </w:r>
      <w:r>
        <w:rPr>
          <w:color w:val="auto"/>
          <w:highlight w:val="none"/>
        </w:rPr>
        <w:instrText xml:space="preserve"> PAGEREF _Toc4864 \h </w:instrText>
      </w:r>
      <w:r>
        <w:rPr>
          <w:color w:val="auto"/>
          <w:highlight w:val="none"/>
        </w:rPr>
        <w:fldChar w:fldCharType="separate"/>
      </w:r>
      <w:r>
        <w:rPr>
          <w:color w:val="auto"/>
          <w:highlight w:val="none"/>
        </w:rPr>
        <w:t>51</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_Toc12311 </w:instrText>
      </w:r>
      <w:r>
        <w:rPr>
          <w:rFonts w:hint="eastAsia" w:ascii="仿宋_GB2312" w:hAnsi="宋体" w:eastAsia="仿宋_GB2312"/>
          <w:bCs w:val="0"/>
          <w:color w:val="auto"/>
          <w:highlight w:val="none"/>
        </w:rPr>
        <w:fldChar w:fldCharType="separate"/>
      </w:r>
      <w:r>
        <w:rPr>
          <w:rFonts w:hint="eastAsia" w:ascii="仿宋" w:hAnsi="仿宋" w:eastAsia="仿宋" w:cs="宋体"/>
          <w:bCs w:val="0"/>
          <w:color w:val="auto"/>
          <w:szCs w:val="24"/>
          <w:highlight w:val="none"/>
        </w:rPr>
        <w:t>（八）供应商廉洁诚信承诺书</w:t>
      </w:r>
      <w:r>
        <w:rPr>
          <w:color w:val="auto"/>
          <w:highlight w:val="none"/>
        </w:rPr>
        <w:tab/>
      </w:r>
      <w:r>
        <w:rPr>
          <w:color w:val="auto"/>
          <w:highlight w:val="none"/>
        </w:rPr>
        <w:fldChar w:fldCharType="begin"/>
      </w:r>
      <w:r>
        <w:rPr>
          <w:color w:val="auto"/>
          <w:highlight w:val="none"/>
        </w:rPr>
        <w:instrText xml:space="preserve"> PAGEREF _Toc12311 \h </w:instrText>
      </w:r>
      <w:r>
        <w:rPr>
          <w:color w:val="auto"/>
          <w:highlight w:val="none"/>
        </w:rPr>
        <w:fldChar w:fldCharType="separate"/>
      </w:r>
      <w:r>
        <w:rPr>
          <w:color w:val="auto"/>
          <w:highlight w:val="none"/>
        </w:rPr>
        <w:t>53</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_Toc23102 </w:instrText>
      </w:r>
      <w:r>
        <w:rPr>
          <w:rFonts w:hint="eastAsia" w:ascii="仿宋_GB2312" w:hAnsi="宋体" w:eastAsia="仿宋_GB2312"/>
          <w:bCs w:val="0"/>
          <w:color w:val="auto"/>
          <w:highlight w:val="none"/>
        </w:rPr>
        <w:fldChar w:fldCharType="separate"/>
      </w:r>
      <w:r>
        <w:rPr>
          <w:rFonts w:hint="eastAsia" w:ascii="仿宋" w:hAnsi="仿宋" w:eastAsia="仿宋" w:cs="宋体"/>
          <w:color w:val="auto"/>
          <w:highlight w:val="none"/>
        </w:rPr>
        <w:t>（</w:t>
      </w:r>
      <w:r>
        <w:rPr>
          <w:rFonts w:hint="eastAsia" w:ascii="仿宋" w:hAnsi="仿宋" w:eastAsia="仿宋" w:cs="宋体"/>
          <w:color w:val="auto"/>
          <w:highlight w:val="none"/>
          <w:lang w:eastAsia="zh-CN"/>
        </w:rPr>
        <w:t>九</w:t>
      </w:r>
      <w:r>
        <w:rPr>
          <w:rFonts w:hint="eastAsia" w:ascii="仿宋" w:hAnsi="仿宋" w:eastAsia="仿宋" w:cs="宋体"/>
          <w:color w:val="auto"/>
          <w:highlight w:val="none"/>
        </w:rPr>
        <w:t>）其他材料</w:t>
      </w:r>
      <w:r>
        <w:rPr>
          <w:color w:val="auto"/>
          <w:highlight w:val="none"/>
        </w:rPr>
        <w:tab/>
      </w:r>
      <w:r>
        <w:rPr>
          <w:color w:val="auto"/>
          <w:highlight w:val="none"/>
        </w:rPr>
        <w:fldChar w:fldCharType="begin"/>
      </w:r>
      <w:r>
        <w:rPr>
          <w:color w:val="auto"/>
          <w:highlight w:val="none"/>
        </w:rPr>
        <w:instrText xml:space="preserve"> PAGEREF _Toc23102 \h </w:instrText>
      </w:r>
      <w:r>
        <w:rPr>
          <w:color w:val="auto"/>
          <w:highlight w:val="none"/>
        </w:rPr>
        <w:fldChar w:fldCharType="separate"/>
      </w:r>
      <w:r>
        <w:rPr>
          <w:color w:val="auto"/>
          <w:highlight w:val="none"/>
        </w:rPr>
        <w:t>56</w:t>
      </w:r>
      <w:r>
        <w:rPr>
          <w:color w:val="auto"/>
          <w:highlight w:val="none"/>
        </w:rPr>
        <w:fldChar w:fldCharType="end"/>
      </w:r>
      <w:r>
        <w:rPr>
          <w:rFonts w:hint="eastAsia" w:ascii="仿宋_GB2312" w:hAnsi="宋体" w:eastAsia="仿宋_GB2312"/>
          <w:bCs w:val="0"/>
          <w:color w:val="auto"/>
          <w:highlight w:val="none"/>
        </w:rPr>
        <w:fldChar w:fldCharType="end"/>
      </w:r>
    </w:p>
    <w:p>
      <w:pPr>
        <w:pStyle w:val="2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_Toc9914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二、 技术文件</w:t>
      </w:r>
      <w:r>
        <w:rPr>
          <w:color w:val="auto"/>
          <w:highlight w:val="none"/>
        </w:rPr>
        <w:tab/>
      </w:r>
      <w:r>
        <w:rPr>
          <w:color w:val="auto"/>
          <w:highlight w:val="none"/>
        </w:rPr>
        <w:fldChar w:fldCharType="begin"/>
      </w:r>
      <w:r>
        <w:rPr>
          <w:color w:val="auto"/>
          <w:highlight w:val="none"/>
        </w:rPr>
        <w:instrText xml:space="preserve"> PAGEREF _Toc9914 \h </w:instrText>
      </w:r>
      <w:r>
        <w:rPr>
          <w:color w:val="auto"/>
          <w:highlight w:val="none"/>
        </w:rPr>
        <w:fldChar w:fldCharType="separate"/>
      </w:r>
      <w:r>
        <w:rPr>
          <w:color w:val="auto"/>
          <w:highlight w:val="none"/>
        </w:rPr>
        <w:t>57</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_Toc13022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eastAsia="zh-CN"/>
        </w:rPr>
        <w:t>一</w:t>
      </w:r>
      <w:r>
        <w:rPr>
          <w:rFonts w:hint="eastAsia" w:ascii="仿宋" w:hAnsi="仿宋" w:eastAsia="仿宋" w:cs="仿宋"/>
          <w:color w:val="auto"/>
          <w:szCs w:val="24"/>
          <w:highlight w:val="none"/>
        </w:rPr>
        <w:t>）技术</w:t>
      </w:r>
      <w:r>
        <w:rPr>
          <w:rFonts w:hint="eastAsia" w:ascii="仿宋" w:hAnsi="仿宋" w:eastAsia="仿宋" w:cs="仿宋"/>
          <w:color w:val="auto"/>
          <w:szCs w:val="24"/>
          <w:highlight w:val="none"/>
          <w:lang w:val="en-US" w:eastAsia="zh-CN"/>
        </w:rPr>
        <w:t>/服务</w:t>
      </w:r>
      <w:r>
        <w:rPr>
          <w:rFonts w:hint="eastAsia" w:ascii="仿宋" w:hAnsi="仿宋" w:eastAsia="仿宋" w:cs="仿宋"/>
          <w:color w:val="auto"/>
          <w:szCs w:val="24"/>
          <w:highlight w:val="none"/>
        </w:rPr>
        <w:t>方案</w:t>
      </w:r>
      <w:r>
        <w:rPr>
          <w:color w:val="auto"/>
          <w:highlight w:val="none"/>
        </w:rPr>
        <w:tab/>
      </w:r>
      <w:r>
        <w:rPr>
          <w:color w:val="auto"/>
          <w:highlight w:val="none"/>
        </w:rPr>
        <w:fldChar w:fldCharType="begin"/>
      </w:r>
      <w:r>
        <w:rPr>
          <w:color w:val="auto"/>
          <w:highlight w:val="none"/>
        </w:rPr>
        <w:instrText xml:space="preserve"> PAGEREF _Toc13022 \h </w:instrText>
      </w:r>
      <w:r>
        <w:rPr>
          <w:color w:val="auto"/>
          <w:highlight w:val="none"/>
        </w:rPr>
        <w:fldChar w:fldCharType="separate"/>
      </w:r>
      <w:r>
        <w:rPr>
          <w:color w:val="auto"/>
          <w:highlight w:val="none"/>
        </w:rPr>
        <w:t>57</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_Toc596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w:t>
      </w:r>
      <w:r>
        <w:rPr>
          <w:rFonts w:hint="eastAsia" w:ascii="仿宋" w:hAnsi="仿宋" w:eastAsia="仿宋" w:cs="仿宋"/>
          <w:color w:val="auto"/>
          <w:szCs w:val="24"/>
          <w:highlight w:val="none"/>
          <w:lang w:eastAsia="zh-CN"/>
        </w:rPr>
        <w:t>二</w:t>
      </w:r>
      <w:r>
        <w:rPr>
          <w:rFonts w:hint="eastAsia" w:ascii="仿宋" w:hAnsi="仿宋" w:eastAsia="仿宋" w:cs="仿宋"/>
          <w:color w:val="auto"/>
          <w:szCs w:val="24"/>
          <w:highlight w:val="none"/>
        </w:rPr>
        <w:t>）其他材料</w:t>
      </w:r>
      <w:r>
        <w:rPr>
          <w:color w:val="auto"/>
          <w:highlight w:val="none"/>
        </w:rPr>
        <w:tab/>
      </w:r>
      <w:r>
        <w:rPr>
          <w:color w:val="auto"/>
          <w:highlight w:val="none"/>
        </w:rPr>
        <w:fldChar w:fldCharType="begin"/>
      </w:r>
      <w:r>
        <w:rPr>
          <w:color w:val="auto"/>
          <w:highlight w:val="none"/>
        </w:rPr>
        <w:instrText xml:space="preserve"> PAGEREF _Toc596 \h </w:instrText>
      </w:r>
      <w:r>
        <w:rPr>
          <w:color w:val="auto"/>
          <w:highlight w:val="none"/>
        </w:rPr>
        <w:fldChar w:fldCharType="separate"/>
      </w:r>
      <w:r>
        <w:rPr>
          <w:color w:val="auto"/>
          <w:highlight w:val="none"/>
        </w:rPr>
        <w:t>58</w:t>
      </w:r>
      <w:r>
        <w:rPr>
          <w:color w:val="auto"/>
          <w:highlight w:val="none"/>
        </w:rPr>
        <w:fldChar w:fldCharType="end"/>
      </w:r>
      <w:r>
        <w:rPr>
          <w:rFonts w:hint="eastAsia" w:ascii="仿宋_GB2312" w:hAnsi="宋体" w:eastAsia="仿宋_GB2312"/>
          <w:bCs w:val="0"/>
          <w:color w:val="auto"/>
          <w:highlight w:val="none"/>
        </w:rPr>
        <w:fldChar w:fldCharType="end"/>
      </w:r>
    </w:p>
    <w:p>
      <w:pPr>
        <w:pStyle w:val="14"/>
        <w:tabs>
          <w:tab w:val="right" w:leader="dot" w:pos="9638"/>
        </w:tabs>
        <w:rPr>
          <w:color w:val="auto"/>
          <w:highlight w:val="none"/>
        </w:rPr>
      </w:pPr>
      <w:r>
        <w:rPr>
          <w:rFonts w:hint="eastAsia" w:ascii="仿宋_GB2312" w:hAnsi="宋体" w:eastAsia="仿宋_GB2312"/>
          <w:bCs w:val="0"/>
          <w:color w:val="auto"/>
          <w:highlight w:val="none"/>
        </w:rPr>
        <w:fldChar w:fldCharType="begin"/>
      </w:r>
      <w:r>
        <w:rPr>
          <w:rFonts w:hint="eastAsia" w:ascii="仿宋_GB2312" w:hAnsi="宋体" w:eastAsia="仿宋_GB2312"/>
          <w:bCs w:val="0"/>
          <w:color w:val="auto"/>
          <w:highlight w:val="none"/>
        </w:rPr>
        <w:instrText xml:space="preserve"> HYPERLINK \l _Toc7744 </w:instrText>
      </w:r>
      <w:r>
        <w:rPr>
          <w:rFonts w:hint="eastAsia" w:ascii="仿宋_GB2312" w:hAnsi="宋体" w:eastAsia="仿宋_GB2312"/>
          <w:bCs w:val="0"/>
          <w:color w:val="auto"/>
          <w:highlight w:val="none"/>
        </w:rPr>
        <w:fldChar w:fldCharType="separate"/>
      </w:r>
      <w:r>
        <w:rPr>
          <w:rFonts w:hint="eastAsia" w:ascii="仿宋" w:hAnsi="仿宋" w:eastAsia="仿宋" w:cs="仿宋"/>
          <w:color w:val="auto"/>
          <w:szCs w:val="24"/>
          <w:highlight w:val="none"/>
        </w:rPr>
        <w:t>（一）报价一览表</w:t>
      </w:r>
      <w:r>
        <w:rPr>
          <w:color w:val="auto"/>
          <w:highlight w:val="none"/>
        </w:rPr>
        <w:tab/>
      </w:r>
      <w:r>
        <w:rPr>
          <w:color w:val="auto"/>
          <w:highlight w:val="none"/>
        </w:rPr>
        <w:fldChar w:fldCharType="begin"/>
      </w:r>
      <w:r>
        <w:rPr>
          <w:color w:val="auto"/>
          <w:highlight w:val="none"/>
        </w:rPr>
        <w:instrText xml:space="preserve"> PAGEREF _Toc7744 \h </w:instrText>
      </w:r>
      <w:r>
        <w:rPr>
          <w:color w:val="auto"/>
          <w:highlight w:val="none"/>
        </w:rPr>
        <w:fldChar w:fldCharType="separate"/>
      </w:r>
      <w:r>
        <w:rPr>
          <w:color w:val="auto"/>
          <w:highlight w:val="none"/>
        </w:rPr>
        <w:t>59</w:t>
      </w:r>
      <w:r>
        <w:rPr>
          <w:color w:val="auto"/>
          <w:highlight w:val="none"/>
        </w:rPr>
        <w:fldChar w:fldCharType="end"/>
      </w:r>
      <w:r>
        <w:rPr>
          <w:rFonts w:hint="eastAsia" w:ascii="仿宋_GB2312" w:hAnsi="宋体" w:eastAsia="仿宋_GB2312"/>
          <w:bCs w:val="0"/>
          <w:color w:val="auto"/>
          <w:highlight w:val="none"/>
        </w:rPr>
        <w:fldChar w:fldCharType="end"/>
      </w:r>
    </w:p>
    <w:p>
      <w:pPr>
        <w:pStyle w:val="3"/>
        <w:ind w:left="0" w:firstLine="0"/>
        <w:rPr>
          <w:rFonts w:ascii="仿宋_GB2312" w:hAnsi="宋体" w:eastAsia="仿宋_GB2312"/>
          <w:b w:val="0"/>
          <w:bCs w:val="0"/>
          <w:color w:val="auto"/>
          <w:highlight w:val="none"/>
        </w:rPr>
        <w:sectPr>
          <w:footerReference r:id="rId5" w:type="default"/>
          <w:pgSz w:w="11906" w:h="16838"/>
          <w:pgMar w:top="1440" w:right="1134" w:bottom="1440" w:left="1134" w:header="851" w:footer="992" w:gutter="0"/>
          <w:pgNumType w:fmt="decimal" w:start="1"/>
          <w:cols w:space="720" w:num="1"/>
          <w:docGrid w:linePitch="326" w:charSpace="0"/>
        </w:sectPr>
      </w:pPr>
      <w:r>
        <w:rPr>
          <w:rFonts w:hint="eastAsia" w:ascii="仿宋_GB2312" w:hAnsi="宋体" w:eastAsia="仿宋_GB2312"/>
          <w:bCs w:val="0"/>
          <w:color w:val="auto"/>
          <w:highlight w:val="none"/>
        </w:rPr>
        <w:fldChar w:fldCharType="end"/>
      </w:r>
    </w:p>
    <w:p>
      <w:pPr>
        <w:pStyle w:val="3"/>
        <w:ind w:left="0" w:firstLine="0"/>
        <w:rPr>
          <w:rFonts w:ascii="仿宋" w:hAnsi="仿宋" w:eastAsia="仿宋" w:cs="Cambria Math"/>
          <w:b w:val="0"/>
          <w:bCs w:val="0"/>
          <w:color w:val="auto"/>
          <w:kern w:val="0"/>
          <w:sz w:val="24"/>
          <w:szCs w:val="24"/>
          <w:highlight w:val="none"/>
        </w:rPr>
        <w:sectPr>
          <w:headerReference r:id="rId6" w:type="default"/>
          <w:footerReference r:id="rId7" w:type="default"/>
          <w:type w:val="continuous"/>
          <w:pgSz w:w="11906" w:h="16838"/>
          <w:pgMar w:top="1440" w:right="1134" w:bottom="1440" w:left="1134" w:header="851" w:footer="992" w:gutter="0"/>
          <w:pgNumType w:fmt="decimal"/>
          <w:cols w:space="720" w:num="1"/>
          <w:docGrid w:linePitch="326" w:charSpace="0"/>
        </w:sectPr>
      </w:pPr>
    </w:p>
    <w:p>
      <w:pPr>
        <w:pStyle w:val="3"/>
        <w:ind w:left="0" w:firstLine="0"/>
        <w:rPr>
          <w:rFonts w:ascii="仿宋_GB2312" w:hAnsi="宋体" w:eastAsia="仿宋_GB2312"/>
          <w:color w:val="auto"/>
          <w:sz w:val="28"/>
          <w:szCs w:val="28"/>
          <w:highlight w:val="none"/>
        </w:rPr>
      </w:pPr>
      <w:bookmarkStart w:id="0" w:name="_Toc21360"/>
      <w:bookmarkStart w:id="1" w:name="_Toc1254"/>
      <w:r>
        <w:rPr>
          <w:rFonts w:hint="eastAsia" w:ascii="仿宋_GB2312" w:hAnsi="宋体" w:eastAsia="仿宋_GB2312"/>
          <w:color w:val="auto"/>
          <w:sz w:val="28"/>
          <w:szCs w:val="28"/>
          <w:highlight w:val="none"/>
        </w:rPr>
        <w:t>第一章 比选邀请</w:t>
      </w:r>
      <w:bookmarkEnd w:id="0"/>
      <w:bookmarkEnd w:id="1"/>
    </w:p>
    <w:p>
      <w:pPr>
        <w:wordWrap w:val="0"/>
        <w:spacing w:line="360" w:lineRule="auto"/>
        <w:ind w:firstLine="480" w:firstLineChars="200"/>
        <w:textAlignment w:val="baseline"/>
        <w:rPr>
          <w:rFonts w:ascii="仿宋" w:hAnsi="仿宋" w:eastAsia="仿宋" w:cs="Cambria Math"/>
          <w:color w:val="auto"/>
          <w:highlight w:val="none"/>
        </w:rPr>
      </w:pPr>
      <w:r>
        <w:rPr>
          <w:rFonts w:hint="eastAsia" w:ascii="仿宋_GB2312" w:hAnsi="宋体" w:eastAsia="仿宋_GB2312"/>
          <w:color w:val="auto"/>
          <w:highlight w:val="none"/>
        </w:rPr>
        <w:t xml:space="preserve">   </w:t>
      </w:r>
      <w:r>
        <w:rPr>
          <w:rFonts w:hint="eastAsia" w:ascii="仿宋" w:hAnsi="仿宋" w:eastAsia="仿宋" w:cs="仿宋"/>
          <w:color w:val="auto"/>
          <w:highlight w:val="none"/>
        </w:rPr>
        <w:t>本项目</w:t>
      </w:r>
      <w:r>
        <w:rPr>
          <w:rFonts w:hint="eastAsia" w:ascii="仿宋" w:hAnsi="仿宋" w:eastAsia="仿宋" w:cs="仿宋"/>
          <w:color w:val="auto"/>
          <w:sz w:val="24"/>
          <w:szCs w:val="24"/>
          <w:highlight w:val="none"/>
          <w:u w:val="single"/>
          <w:lang w:eastAsia="zh-CN"/>
        </w:rPr>
        <w:t xml:space="preserve">人保财险四川省泸州市泸县支公司食堂食材物资采购项目 </w:t>
      </w:r>
      <w:r>
        <w:rPr>
          <w:rFonts w:hint="eastAsia" w:ascii="仿宋" w:hAnsi="仿宋" w:eastAsia="仿宋" w:cs="仿宋"/>
          <w:color w:val="auto"/>
          <w:sz w:val="24"/>
          <w:szCs w:val="24"/>
          <w:highlight w:val="none"/>
        </w:rPr>
        <w:t>（采购项目编号：</w:t>
      </w:r>
      <w:r>
        <w:rPr>
          <w:rFonts w:hint="eastAsia" w:ascii="仿宋" w:hAnsi="仿宋" w:eastAsia="仿宋" w:cs="仿宋"/>
          <w:color w:val="auto"/>
          <w:sz w:val="24"/>
          <w:szCs w:val="24"/>
          <w:highlight w:val="none"/>
        </w:rPr>
        <w:t>XM26FGPC000381</w:t>
      </w:r>
      <w:r>
        <w:rPr>
          <w:rFonts w:hint="eastAsia" w:ascii="仿宋" w:hAnsi="仿宋" w:eastAsia="仿宋" w:cs="仿宋"/>
          <w:color w:val="auto"/>
          <w:sz w:val="24"/>
          <w:szCs w:val="24"/>
          <w:highlight w:val="none"/>
        </w:rPr>
        <w:t xml:space="preserve"> ）</w:t>
      </w:r>
      <w:r>
        <w:rPr>
          <w:rFonts w:hint="eastAsia" w:ascii="仿宋" w:hAnsi="仿宋" w:eastAsia="仿宋" w:cs="仿宋"/>
          <w:color w:val="auto"/>
          <w:highlight w:val="none"/>
        </w:rPr>
        <w:t>（以下简称“采购人”）</w:t>
      </w:r>
      <w:r>
        <w:rPr>
          <w:rFonts w:hint="eastAsia" w:ascii="仿宋" w:hAnsi="仿宋" w:eastAsia="仿宋" w:cs="Cambria Math"/>
          <w:color w:val="auto"/>
          <w:highlight w:val="none"/>
        </w:rPr>
        <w:t>批准并落实资金，组织本项目的比选工作</w:t>
      </w:r>
      <w:r>
        <w:rPr>
          <w:rFonts w:hint="eastAsia" w:ascii="仿宋" w:hAnsi="仿宋" w:eastAsia="仿宋" w:cs="仿宋"/>
          <w:color w:val="auto"/>
          <w:highlight w:val="none"/>
        </w:rPr>
        <w:t>，采购合同由</w:t>
      </w:r>
      <w:r>
        <w:rPr>
          <w:rFonts w:hint="eastAsia" w:ascii="仿宋" w:hAnsi="仿宋" w:eastAsia="仿宋" w:cs="宋体"/>
          <w:color w:val="auto"/>
          <w:sz w:val="24"/>
          <w:szCs w:val="24"/>
          <w:highlight w:val="none"/>
          <w:u w:val="single"/>
        </w:rPr>
        <w:t>中国人民财产保险股份有限公司泸州市分公司</w:t>
      </w:r>
      <w:r>
        <w:rPr>
          <w:rFonts w:hint="eastAsia" w:ascii="仿宋" w:hAnsi="仿宋" w:eastAsia="仿宋" w:cs="宋体"/>
          <w:color w:val="auto"/>
          <w:sz w:val="24"/>
          <w:szCs w:val="24"/>
          <w:highlight w:val="none"/>
        </w:rPr>
        <w:t>（以下简称“人保财险泸州市分公司”）</w:t>
      </w:r>
      <w:r>
        <w:rPr>
          <w:rFonts w:hint="eastAsia" w:ascii="仿宋" w:hAnsi="仿宋" w:eastAsia="仿宋" w:cs="仿宋"/>
          <w:color w:val="auto"/>
          <w:highlight w:val="none"/>
        </w:rPr>
        <w:t>根据成交结果与成交人签署。现通过比选方式实施，</w:t>
      </w:r>
      <w:r>
        <w:rPr>
          <w:rFonts w:hint="eastAsia" w:ascii="仿宋" w:hAnsi="仿宋" w:eastAsia="仿宋" w:cs="Cambria Math"/>
          <w:color w:val="auto"/>
          <w:highlight w:val="none"/>
        </w:rPr>
        <w:t xml:space="preserve">有意向且具有提供标的物能力的潜在供应商（以下简称“供应商”）可前来参与比选响应。 </w:t>
      </w:r>
    </w:p>
    <w:p>
      <w:pPr>
        <w:pStyle w:val="4"/>
        <w:jc w:val="left"/>
        <w:rPr>
          <w:rFonts w:ascii="仿宋" w:hAnsi="仿宋" w:eastAsia="仿宋" w:cs="仿宋"/>
          <w:color w:val="auto"/>
          <w:sz w:val="24"/>
          <w:szCs w:val="24"/>
          <w:highlight w:val="none"/>
        </w:rPr>
      </w:pPr>
      <w:bookmarkStart w:id="2" w:name="_Toc21237"/>
      <w:bookmarkStart w:id="3" w:name="_Toc10427"/>
      <w:r>
        <w:rPr>
          <w:rFonts w:hint="eastAsia" w:ascii="仿宋" w:hAnsi="仿宋" w:eastAsia="仿宋" w:cs="仿宋"/>
          <w:color w:val="auto"/>
          <w:sz w:val="24"/>
          <w:szCs w:val="24"/>
          <w:highlight w:val="none"/>
        </w:rPr>
        <w:t>一、项目概况与采购范围</w:t>
      </w:r>
      <w:bookmarkEnd w:id="2"/>
      <w:bookmarkEnd w:id="3"/>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ascii="仿宋" w:hAnsi="仿宋" w:eastAsia="仿宋" w:cs="仿宋"/>
          <w:color w:val="auto"/>
          <w:highlight w:val="none"/>
        </w:rPr>
      </w:pPr>
      <w:r>
        <w:rPr>
          <w:rFonts w:hint="eastAsia" w:ascii="仿宋" w:hAnsi="仿宋" w:eastAsia="仿宋" w:cs="仿宋"/>
          <w:color w:val="auto"/>
          <w:highlight w:val="none"/>
        </w:rPr>
        <w:t>1.1 项目名称：</w:t>
      </w:r>
      <w:r>
        <w:rPr>
          <w:rFonts w:hint="eastAsia" w:ascii="仿宋" w:hAnsi="仿宋" w:eastAsia="仿宋" w:cs="仿宋"/>
          <w:color w:val="auto"/>
          <w:sz w:val="24"/>
          <w:szCs w:val="24"/>
          <w:highlight w:val="none"/>
          <w:u w:val="single"/>
          <w:lang w:eastAsia="zh-CN"/>
        </w:rPr>
        <w:t>人保财险四川省泸州市泸县支公司食堂食材物资采购项目 。</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ascii="仿宋" w:hAnsi="仿宋" w:eastAsia="仿宋" w:cs="仿宋"/>
          <w:color w:val="auto"/>
          <w:highlight w:val="none"/>
        </w:rPr>
      </w:pPr>
      <w:r>
        <w:rPr>
          <w:rFonts w:hint="eastAsia" w:ascii="仿宋" w:hAnsi="仿宋" w:eastAsia="仿宋" w:cs="仿宋"/>
          <w:color w:val="auto"/>
          <w:highlight w:val="none"/>
        </w:rPr>
        <w:t>1.2 采购范围：</w:t>
      </w:r>
      <w:r>
        <w:rPr>
          <w:rFonts w:hint="eastAsia" w:ascii="仿宋" w:hAnsi="仿宋" w:eastAsia="仿宋" w:cs="宋体"/>
          <w:color w:val="auto"/>
          <w:highlight w:val="none"/>
        </w:rPr>
        <w:t>本项目拟采购一家有资质的公司负责食堂食材</w:t>
      </w:r>
      <w:r>
        <w:rPr>
          <w:rFonts w:hint="eastAsia" w:ascii="仿宋" w:hAnsi="仿宋" w:eastAsia="仿宋" w:cs="宋体"/>
          <w:color w:val="auto"/>
          <w:highlight w:val="none"/>
          <w:lang w:eastAsia="zh-CN"/>
        </w:rPr>
        <w:t>物资</w:t>
      </w:r>
      <w:r>
        <w:rPr>
          <w:rFonts w:hint="eastAsia" w:ascii="仿宋" w:hAnsi="仿宋" w:eastAsia="仿宋" w:cs="宋体"/>
          <w:color w:val="auto"/>
          <w:highlight w:val="none"/>
        </w:rPr>
        <w:t>采购，采购内容</w:t>
      </w:r>
      <w:r>
        <w:rPr>
          <w:rFonts w:hint="eastAsia" w:ascii="仿宋" w:hAnsi="仿宋" w:eastAsia="仿宋" w:cs="宋体"/>
          <w:color w:val="auto"/>
          <w:highlight w:val="none"/>
          <w:lang w:eastAsia="zh-CN"/>
        </w:rPr>
        <w:t>为</w:t>
      </w:r>
      <w:r>
        <w:rPr>
          <w:rFonts w:hint="eastAsia" w:ascii="仿宋" w:hAnsi="仿宋" w:eastAsia="仿宋" w:cs="宋体"/>
          <w:color w:val="auto"/>
          <w:highlight w:val="none"/>
        </w:rPr>
        <w:t>蔬菜类、水产类、肉制品类、粮油类、蛋类、</w:t>
      </w:r>
      <w:r>
        <w:rPr>
          <w:rFonts w:hint="eastAsia" w:ascii="仿宋" w:hAnsi="仿宋" w:eastAsia="仿宋" w:cs="宋体"/>
          <w:color w:val="auto"/>
          <w:highlight w:val="none"/>
          <w:lang w:val="en-US" w:eastAsia="zh-CN"/>
        </w:rPr>
        <w:t>调料干货类、</w:t>
      </w:r>
      <w:r>
        <w:rPr>
          <w:rFonts w:hint="eastAsia" w:ascii="仿宋" w:hAnsi="仿宋" w:eastAsia="仿宋" w:cs="宋体"/>
          <w:color w:val="auto"/>
          <w:highlight w:val="none"/>
        </w:rPr>
        <w:t>耗材类（如洗洁精</w:t>
      </w:r>
      <w:r>
        <w:rPr>
          <w:rFonts w:hint="eastAsia" w:ascii="仿宋" w:hAnsi="仿宋" w:eastAsia="仿宋" w:cs="宋体"/>
          <w:color w:val="auto"/>
          <w:highlight w:val="none"/>
          <w:lang w:eastAsia="zh-CN"/>
        </w:rPr>
        <w:t>、</w:t>
      </w:r>
      <w:r>
        <w:rPr>
          <w:rFonts w:hint="eastAsia" w:ascii="仿宋" w:hAnsi="仿宋" w:eastAsia="仿宋" w:cs="宋体"/>
          <w:color w:val="auto"/>
          <w:highlight w:val="none"/>
          <w:lang w:val="en-US" w:eastAsia="zh-CN"/>
        </w:rPr>
        <w:t>碗筷、油污清洁剂</w:t>
      </w:r>
      <w:r>
        <w:rPr>
          <w:rFonts w:hint="eastAsia" w:ascii="仿宋" w:hAnsi="仿宋" w:eastAsia="仿宋" w:cs="宋体"/>
          <w:color w:val="auto"/>
          <w:highlight w:val="none"/>
        </w:rPr>
        <w:t>）等</w:t>
      </w:r>
      <w:r>
        <w:rPr>
          <w:rFonts w:hint="eastAsia" w:ascii="仿宋" w:hAnsi="仿宋" w:eastAsia="仿宋" w:cs="宋体"/>
          <w:color w:val="auto"/>
          <w:highlight w:val="none"/>
          <w:lang w:eastAsia="zh-CN"/>
        </w:rPr>
        <w:t>，</w:t>
      </w:r>
      <w:r>
        <w:rPr>
          <w:rFonts w:hint="eastAsia" w:ascii="仿宋" w:hAnsi="仿宋" w:eastAsia="仿宋" w:cs="宋体"/>
          <w:color w:val="auto"/>
          <w:highlight w:val="none"/>
        </w:rPr>
        <w:t>采购</w:t>
      </w:r>
      <w:r>
        <w:rPr>
          <w:rFonts w:hint="eastAsia" w:ascii="仿宋" w:hAnsi="仿宋" w:eastAsia="仿宋" w:cs="宋体"/>
          <w:color w:val="auto"/>
          <w:highlight w:val="none"/>
          <w:lang w:val="en-US" w:eastAsia="zh-CN"/>
        </w:rPr>
        <w:t>2</w:t>
      </w:r>
      <w:r>
        <w:rPr>
          <w:rFonts w:hint="eastAsia" w:ascii="仿宋" w:hAnsi="仿宋" w:eastAsia="仿宋" w:cs="宋体"/>
          <w:color w:val="auto"/>
          <w:highlight w:val="none"/>
        </w:rPr>
        <w:t>年期服务。具体技术要求详见第五章采购需求。</w:t>
      </w:r>
    </w:p>
    <w:p>
      <w:pPr>
        <w:keepNext w:val="0"/>
        <w:keepLines w:val="0"/>
        <w:pageBreakBefore w:val="0"/>
        <w:widowControl/>
        <w:kinsoku/>
        <w:wordWrap/>
        <w:overflowPunct/>
        <w:topLinePunct w:val="0"/>
        <w:autoSpaceDE/>
        <w:autoSpaceDN/>
        <w:bidi w:val="0"/>
        <w:adjustRightInd w:val="0"/>
        <w:snapToGrid w:val="0"/>
        <w:spacing w:before="240" w:line="360" w:lineRule="auto"/>
        <w:ind w:firstLine="480" w:firstLineChars="200"/>
        <w:textAlignment w:val="auto"/>
        <w:rPr>
          <w:rFonts w:hint="eastAsia" w:ascii="仿宋" w:hAnsi="仿宋" w:eastAsia="仿宋" w:cs="宋体"/>
          <w:color w:val="auto"/>
          <w:highlight w:val="none"/>
          <w:lang w:eastAsia="zh-CN"/>
        </w:rPr>
      </w:pPr>
      <w:r>
        <w:rPr>
          <w:rFonts w:hint="eastAsia" w:ascii="仿宋" w:hAnsi="仿宋" w:eastAsia="仿宋" w:cs="仿宋"/>
          <w:color w:val="auto"/>
          <w:highlight w:val="none"/>
        </w:rPr>
        <w:t>1.3 标包划分：</w:t>
      </w:r>
      <w:r>
        <w:rPr>
          <w:rFonts w:hint="eastAsia" w:ascii="仿宋" w:hAnsi="仿宋" w:eastAsia="仿宋" w:cs="宋体"/>
          <w:color w:val="auto"/>
          <w:highlight w:val="none"/>
        </w:rPr>
        <w:t>本项目不划分标包</w:t>
      </w:r>
      <w:r>
        <w:rPr>
          <w:rFonts w:hint="eastAsia" w:ascii="仿宋" w:hAnsi="仿宋" w:eastAsia="仿宋" w:cs="宋体"/>
          <w:color w:val="auto"/>
          <w:highlight w:val="none"/>
          <w:lang w:eastAsia="zh-CN"/>
        </w:rPr>
        <w:t>。</w:t>
      </w:r>
    </w:p>
    <w:p>
      <w:pPr>
        <w:keepNext w:val="0"/>
        <w:keepLines w:val="0"/>
        <w:pageBreakBefore w:val="0"/>
        <w:widowControl/>
        <w:kinsoku/>
        <w:wordWrap/>
        <w:overflowPunct/>
        <w:topLinePunct w:val="0"/>
        <w:autoSpaceDE/>
        <w:autoSpaceDN/>
        <w:bidi w:val="0"/>
        <w:adjustRightInd w:val="0"/>
        <w:snapToGrid w:val="0"/>
        <w:spacing w:before="240" w:line="360" w:lineRule="auto"/>
        <w:ind w:firstLine="480" w:firstLineChars="200"/>
        <w:textAlignment w:val="auto"/>
        <w:rPr>
          <w:rFonts w:ascii="仿宋" w:hAnsi="仿宋" w:eastAsia="仿宋" w:cs="仿宋"/>
          <w:color w:val="auto"/>
          <w:highlight w:val="none"/>
        </w:rPr>
      </w:pPr>
      <w:r>
        <w:rPr>
          <w:rFonts w:ascii="仿宋" w:hAnsi="仿宋" w:eastAsia="仿宋" w:cs="仿宋"/>
          <w:color w:val="auto"/>
          <w:highlight w:val="none"/>
        </w:rPr>
        <w:t>1.4</w:t>
      </w:r>
      <w:r>
        <w:rPr>
          <w:rFonts w:ascii="仿宋" w:hAnsi="仿宋" w:cs="仿宋"/>
          <w:color w:val="auto"/>
          <w:highlight w:val="none"/>
        </w:rPr>
        <w:t xml:space="preserve"> </w:t>
      </w:r>
      <w:r>
        <w:rPr>
          <w:rFonts w:hint="eastAsia" w:ascii="仿宋" w:hAnsi="仿宋" w:eastAsia="仿宋" w:cs="仿宋"/>
          <w:color w:val="auto"/>
          <w:highlight w:val="none"/>
        </w:rPr>
        <w:t>项目性质：</w:t>
      </w:r>
      <w:r>
        <w:rPr>
          <w:rFonts w:hint="eastAsia" w:ascii="仿宋" w:hAnsi="仿宋" w:eastAsia="仿宋" w:cs="仿宋"/>
          <w:color w:val="auto"/>
          <w:highlight w:val="none"/>
          <w:lang w:eastAsia="zh-CN"/>
        </w:rPr>
        <w:t>货物</w:t>
      </w:r>
      <w:r>
        <w:rPr>
          <w:rFonts w:hint="eastAsia" w:ascii="仿宋" w:hAnsi="仿宋" w:eastAsia="仿宋" w:cs="仿宋"/>
          <w:color w:val="auto"/>
          <w:highlight w:val="none"/>
        </w:rPr>
        <w:t>。</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ascii="仿宋" w:hAnsi="仿宋" w:eastAsia="仿宋" w:cs="仿宋"/>
          <w:color w:val="auto"/>
          <w:highlight w:val="none"/>
        </w:rPr>
      </w:pPr>
      <w:r>
        <w:rPr>
          <w:rFonts w:hint="eastAsia" w:ascii="仿宋" w:hAnsi="仿宋" w:eastAsia="仿宋" w:cs="仿宋"/>
          <w:color w:val="auto"/>
          <w:highlight w:val="none"/>
        </w:rPr>
        <w:t>1.</w:t>
      </w:r>
      <w:r>
        <w:rPr>
          <w:rFonts w:ascii="仿宋" w:hAnsi="仿宋" w:eastAsia="仿宋" w:cs="仿宋"/>
          <w:color w:val="auto"/>
          <w:highlight w:val="none"/>
        </w:rPr>
        <w:t>5</w:t>
      </w:r>
      <w:r>
        <w:rPr>
          <w:rFonts w:hint="eastAsia" w:ascii="仿宋" w:hAnsi="仿宋" w:eastAsia="仿宋" w:cs="仿宋"/>
          <w:color w:val="auto"/>
          <w:highlight w:val="none"/>
        </w:rPr>
        <w:t>服务期限：</w:t>
      </w:r>
      <w:r>
        <w:rPr>
          <w:rFonts w:hint="eastAsia" w:ascii="仿宋" w:hAnsi="仿宋" w:eastAsia="仿宋" w:cs="宋体"/>
          <w:color w:val="auto"/>
          <w:highlight w:val="none"/>
        </w:rPr>
        <w:t>自合同签订之日起</w:t>
      </w:r>
      <w:r>
        <w:rPr>
          <w:rFonts w:hint="eastAsia" w:ascii="仿宋" w:hAnsi="仿宋" w:eastAsia="仿宋" w:cs="宋体"/>
          <w:color w:val="auto"/>
          <w:highlight w:val="none"/>
          <w:lang w:val="en-US" w:eastAsia="zh-CN"/>
        </w:rPr>
        <w:t>2</w:t>
      </w:r>
      <w:r>
        <w:rPr>
          <w:rFonts w:hint="eastAsia" w:ascii="仿宋" w:hAnsi="仿宋" w:eastAsia="仿宋" w:cs="宋体"/>
          <w:color w:val="auto"/>
          <w:highlight w:val="none"/>
        </w:rPr>
        <w:t>年。</w:t>
      </w:r>
    </w:p>
    <w:p>
      <w:pPr>
        <w:adjustRightInd w:val="0"/>
        <w:snapToGrid w:val="0"/>
        <w:spacing w:line="360" w:lineRule="auto"/>
        <w:ind w:firstLine="480" w:firstLineChars="200"/>
        <w:rPr>
          <w:rFonts w:ascii="仿宋" w:hAnsi="仿宋" w:eastAsia="仿宋" w:cs="宋体"/>
          <w:color w:val="auto"/>
          <w:highlight w:val="none"/>
        </w:rPr>
      </w:pPr>
      <w:r>
        <w:rPr>
          <w:rFonts w:hint="eastAsia" w:ascii="仿宋" w:hAnsi="仿宋" w:eastAsia="仿宋" w:cs="仿宋"/>
          <w:color w:val="auto"/>
          <w:highlight w:val="none"/>
        </w:rPr>
        <w:t>1.</w:t>
      </w:r>
      <w:r>
        <w:rPr>
          <w:rFonts w:ascii="仿宋" w:hAnsi="仿宋" w:eastAsia="仿宋" w:cs="仿宋"/>
          <w:color w:val="auto"/>
          <w:highlight w:val="none"/>
        </w:rPr>
        <w:t>6</w:t>
      </w:r>
      <w:r>
        <w:rPr>
          <w:rFonts w:hint="eastAsia" w:ascii="仿宋" w:hAnsi="仿宋" w:eastAsia="仿宋" w:cs="宋体"/>
          <w:color w:val="auto"/>
          <w:highlight w:val="none"/>
        </w:rPr>
        <w:t>服务地点：人保财险泸州市</w:t>
      </w:r>
      <w:r>
        <w:rPr>
          <w:rFonts w:hint="eastAsia" w:ascii="仿宋" w:hAnsi="仿宋" w:eastAsia="仿宋" w:cs="宋体"/>
          <w:color w:val="auto"/>
          <w:highlight w:val="none"/>
          <w:lang w:eastAsia="zh-CN"/>
        </w:rPr>
        <w:t>泸县</w:t>
      </w:r>
      <w:r>
        <w:rPr>
          <w:rFonts w:hint="eastAsia" w:ascii="仿宋" w:hAnsi="仿宋" w:eastAsia="仿宋" w:cs="宋体"/>
          <w:color w:val="auto"/>
          <w:highlight w:val="none"/>
        </w:rPr>
        <w:t>支公司</w:t>
      </w:r>
      <w:r>
        <w:rPr>
          <w:rFonts w:hint="eastAsia" w:ascii="仿宋" w:hAnsi="仿宋" w:eastAsia="仿宋" w:cs="宋体"/>
          <w:color w:val="auto"/>
          <w:highlight w:val="none"/>
          <w:lang w:eastAsia="zh-CN"/>
        </w:rPr>
        <w:t>食堂</w:t>
      </w:r>
      <w:r>
        <w:rPr>
          <w:rFonts w:hint="eastAsia" w:ascii="仿宋" w:hAnsi="仿宋" w:eastAsia="仿宋" w:cs="宋体"/>
          <w:color w:val="auto"/>
          <w:highlight w:val="none"/>
        </w:rPr>
        <w:t>。</w:t>
      </w:r>
    </w:p>
    <w:p>
      <w:pPr>
        <w:pStyle w:val="2"/>
        <w:keepNext w:val="0"/>
        <w:keepLines w:val="0"/>
        <w:pageBreakBefore w:val="0"/>
        <w:widowControl/>
        <w:kinsoku/>
        <w:wordWrap/>
        <w:overflowPunct/>
        <w:topLinePunct w:val="0"/>
        <w:autoSpaceDE/>
        <w:autoSpaceDN/>
        <w:bidi w:val="0"/>
        <w:spacing w:line="360" w:lineRule="auto"/>
        <w:textAlignment w:val="auto"/>
        <w:rPr>
          <w:color w:val="auto"/>
          <w:highlight w:val="none"/>
        </w:rPr>
      </w:pPr>
      <w:r>
        <w:rPr>
          <w:rFonts w:hint="eastAsia"/>
          <w:color w:val="auto"/>
          <w:highlight w:val="none"/>
        </w:rPr>
        <w:t xml:space="preserve"> </w:t>
      </w:r>
      <w:r>
        <w:rPr>
          <w:color w:val="auto"/>
          <w:highlight w:val="none"/>
        </w:rPr>
        <w:t xml:space="preserve">   </w:t>
      </w:r>
      <w:r>
        <w:rPr>
          <w:rFonts w:ascii="仿宋" w:hAnsi="仿宋" w:eastAsia="仿宋" w:cs="仿宋"/>
          <w:color w:val="auto"/>
          <w:highlight w:val="none"/>
        </w:rPr>
        <w:t>1.7 项目限价</w:t>
      </w:r>
      <w:r>
        <w:rPr>
          <w:rFonts w:hint="eastAsia" w:ascii="仿宋" w:hAnsi="仿宋" w:eastAsia="仿宋" w:cs="仿宋"/>
          <w:color w:val="auto"/>
          <w:highlight w:val="none"/>
        </w:rPr>
        <w:t>：</w:t>
      </w:r>
      <w:r>
        <w:rPr>
          <w:rFonts w:ascii="仿宋" w:hAnsi="仿宋" w:eastAsia="仿宋" w:cs="仿宋"/>
          <w:color w:val="auto"/>
          <w:sz w:val="24"/>
          <w:szCs w:val="24"/>
          <w:highlight w:val="none"/>
        </w:rPr>
        <w:t>目设置最高限价</w:t>
      </w:r>
      <w:r>
        <w:rPr>
          <w:rFonts w:hint="eastAsia" w:ascii="仿宋" w:hAnsi="仿宋" w:eastAsia="仿宋" w:cs="仿宋"/>
          <w:color w:val="auto"/>
          <w:sz w:val="24"/>
          <w:szCs w:val="24"/>
          <w:highlight w:val="none"/>
        </w:rPr>
        <w:t>，</w:t>
      </w:r>
      <w:r>
        <w:rPr>
          <w:rFonts w:ascii="仿宋" w:hAnsi="仿宋" w:eastAsia="仿宋" w:cs="仿宋"/>
          <w:color w:val="auto"/>
          <w:sz w:val="24"/>
          <w:szCs w:val="24"/>
          <w:highlight w:val="none"/>
        </w:rPr>
        <w:t>即供应商报价不得高于</w:t>
      </w:r>
      <w:r>
        <w:rPr>
          <w:rFonts w:hint="eastAsia" w:ascii="仿宋" w:hAnsi="仿宋" w:eastAsia="仿宋" w:cs="仿宋"/>
          <w:color w:val="auto"/>
          <w:sz w:val="24"/>
          <w:szCs w:val="24"/>
          <w:highlight w:val="none"/>
          <w:lang w:val="en-US" w:eastAsia="zh-CN"/>
        </w:rPr>
        <w:t>37.74</w:t>
      </w:r>
      <w:r>
        <w:rPr>
          <w:rFonts w:ascii="仿宋" w:hAnsi="仿宋" w:eastAsia="仿宋" w:cs="仿宋"/>
          <w:color w:val="auto"/>
          <w:sz w:val="24"/>
          <w:szCs w:val="24"/>
          <w:highlight w:val="none"/>
        </w:rPr>
        <w:t>万元</w:t>
      </w:r>
      <w:r>
        <w:rPr>
          <w:rFonts w:hint="eastAsia" w:ascii="仿宋" w:hAnsi="仿宋" w:eastAsia="仿宋" w:cs="仿宋"/>
          <w:color w:val="auto"/>
          <w:sz w:val="24"/>
          <w:szCs w:val="24"/>
          <w:highlight w:val="none"/>
        </w:rPr>
        <w:t>。</w:t>
      </w:r>
    </w:p>
    <w:p>
      <w:pPr>
        <w:pStyle w:val="4"/>
        <w:jc w:val="left"/>
        <w:rPr>
          <w:rFonts w:ascii="仿宋" w:hAnsi="仿宋" w:eastAsia="仿宋" w:cs="仿宋"/>
          <w:color w:val="auto"/>
          <w:sz w:val="24"/>
          <w:szCs w:val="24"/>
          <w:highlight w:val="none"/>
        </w:rPr>
      </w:pPr>
      <w:bookmarkStart w:id="4" w:name="_Toc17569"/>
      <w:bookmarkStart w:id="5" w:name="_Toc32575"/>
      <w:r>
        <w:rPr>
          <w:rFonts w:hint="eastAsia" w:ascii="仿宋" w:hAnsi="仿宋" w:eastAsia="仿宋" w:cs="仿宋"/>
          <w:color w:val="auto"/>
          <w:sz w:val="24"/>
          <w:szCs w:val="24"/>
          <w:highlight w:val="none"/>
        </w:rPr>
        <w:t>二、供应商资格要求</w:t>
      </w:r>
      <w:bookmarkEnd w:id="4"/>
      <w:bookmarkEnd w:id="5"/>
    </w:p>
    <w:p>
      <w:pPr>
        <w:spacing w:line="360" w:lineRule="auto"/>
        <w:ind w:firstLine="480" w:firstLineChars="200"/>
        <w:textAlignment w:val="baseline"/>
        <w:rPr>
          <w:rFonts w:ascii="仿宋" w:hAnsi="仿宋" w:eastAsia="仿宋" w:cs="宋体"/>
          <w:color w:val="auto"/>
          <w:highlight w:val="none"/>
        </w:rPr>
      </w:pPr>
      <w:r>
        <w:rPr>
          <w:rFonts w:hint="eastAsia" w:ascii="仿宋" w:hAnsi="仿宋" w:eastAsia="仿宋" w:cs="宋体"/>
          <w:color w:val="auto"/>
          <w:sz w:val="24"/>
          <w:szCs w:val="24"/>
          <w:highlight w:val="none"/>
        </w:rPr>
        <w:t>2.1</w:t>
      </w:r>
      <w:r>
        <w:rPr>
          <w:rFonts w:hint="eastAsia" w:ascii="仿宋" w:hAnsi="仿宋" w:eastAsia="仿宋" w:cs="宋体"/>
          <w:b/>
          <w:bCs/>
          <w:color w:val="auto"/>
          <w:sz w:val="24"/>
          <w:szCs w:val="24"/>
          <w:highlight w:val="none"/>
        </w:rPr>
        <w:t>在中华人民共和国境内依法登记的法人或其他组织，具有独立承担民事责任的能力，</w:t>
      </w:r>
      <w:r>
        <w:rPr>
          <w:rFonts w:hint="eastAsia" w:ascii="仿宋" w:hAnsi="仿宋" w:eastAsia="仿宋" w:cs="宋体"/>
          <w:color w:val="auto"/>
          <w:sz w:val="24"/>
          <w:szCs w:val="24"/>
          <w:highlight w:val="none"/>
        </w:rPr>
        <w:t>供应商如为企业法人，须提供企业法人营业执照</w:t>
      </w:r>
      <w:r>
        <w:rPr>
          <w:rFonts w:hint="eastAsia" w:ascii="仿宋" w:hAnsi="仿宋" w:eastAsia="仿宋" w:cs="Monaco"/>
          <w:color w:val="auto"/>
          <w:sz w:val="24"/>
          <w:szCs w:val="24"/>
          <w:highlight w:val="none"/>
        </w:rPr>
        <w:t>（复印件）</w:t>
      </w:r>
      <w:r>
        <w:rPr>
          <w:rFonts w:hint="eastAsia" w:ascii="仿宋" w:hAnsi="仿宋" w:eastAsia="仿宋" w:cs="宋体"/>
          <w:color w:val="auto"/>
          <w:sz w:val="24"/>
          <w:szCs w:val="24"/>
          <w:highlight w:val="none"/>
        </w:rPr>
        <w:t>；供应商如为事业单位或其他组织，须提供事业单位法人证书或登记证或组织机构代码证或其他有效证明文件（复印件）；</w:t>
      </w:r>
    </w:p>
    <w:p>
      <w:pPr>
        <w:spacing w:line="360" w:lineRule="auto"/>
        <w:ind w:firstLine="480" w:firstLineChars="200"/>
        <w:textAlignment w:val="baseline"/>
        <w:rPr>
          <w:rFonts w:hint="eastAsia" w:ascii="仿宋" w:hAnsi="仿宋" w:eastAsia="仿宋" w:cs="宋体"/>
          <w:color w:val="auto"/>
          <w:highlight w:val="none"/>
          <w:lang w:val="en-US" w:eastAsia="zh-CN"/>
        </w:rPr>
      </w:pPr>
      <w:r>
        <w:rPr>
          <w:rFonts w:hint="eastAsia" w:ascii="仿宋" w:hAnsi="仿宋" w:eastAsia="仿宋" w:cs="宋体"/>
          <w:color w:val="auto"/>
          <w:sz w:val="24"/>
          <w:szCs w:val="24"/>
          <w:highlight w:val="none"/>
        </w:rPr>
        <w:t>2.</w:t>
      </w:r>
      <w:r>
        <w:rPr>
          <w:rFonts w:hint="eastAsia" w:ascii="仿宋" w:hAnsi="仿宋" w:eastAsia="仿宋" w:cs="宋体"/>
          <w:color w:val="auto"/>
          <w:sz w:val="24"/>
          <w:szCs w:val="24"/>
          <w:highlight w:val="none"/>
          <w:lang w:val="en-US" w:eastAsia="zh-CN"/>
        </w:rPr>
        <w:t>2</w:t>
      </w:r>
      <w:r>
        <w:rPr>
          <w:rFonts w:hint="eastAsia" w:ascii="仿宋" w:hAnsi="仿宋" w:eastAsia="仿宋" w:cs="宋体"/>
          <w:color w:val="auto"/>
          <w:sz w:val="24"/>
          <w:szCs w:val="24"/>
          <w:highlight w:val="none"/>
        </w:rPr>
        <w:t xml:space="preserve"> </w:t>
      </w:r>
      <w:r>
        <w:rPr>
          <w:rFonts w:hint="eastAsia" w:ascii="仿宋" w:hAnsi="仿宋" w:eastAsia="仿宋" w:cs="宋体"/>
          <w:b/>
          <w:bCs/>
          <w:color w:val="auto"/>
          <w:sz w:val="24"/>
          <w:szCs w:val="24"/>
          <w:highlight w:val="none"/>
        </w:rPr>
        <w:t>供应商应具有履行合同所必需的设备和专业技术能力</w:t>
      </w:r>
      <w:r>
        <w:rPr>
          <w:rFonts w:hint="eastAsia" w:ascii="仿宋" w:hAnsi="仿宋" w:eastAsia="仿宋" w:cs="宋体"/>
          <w:color w:val="auto"/>
          <w:sz w:val="24"/>
          <w:szCs w:val="24"/>
          <w:highlight w:val="none"/>
        </w:rPr>
        <w:t>，近三年（</w:t>
      </w:r>
      <w:r>
        <w:rPr>
          <w:rFonts w:hint="eastAsia" w:ascii="仿宋" w:hAnsi="仿宋" w:eastAsia="仿宋" w:cs="宋体"/>
          <w:color w:val="auto"/>
          <w:sz w:val="24"/>
          <w:szCs w:val="24"/>
          <w:highlight w:val="none"/>
          <w:lang w:val="en-US" w:eastAsia="zh-CN"/>
        </w:rPr>
        <w:t>2023</w:t>
      </w:r>
      <w:r>
        <w:rPr>
          <w:rFonts w:hint="eastAsia" w:ascii="仿宋" w:hAnsi="仿宋" w:eastAsia="仿宋" w:cs="宋体"/>
          <w:color w:val="auto"/>
          <w:sz w:val="24"/>
          <w:szCs w:val="24"/>
          <w:highlight w:val="none"/>
        </w:rPr>
        <w:t>年1月1日至今）应具有</w:t>
      </w:r>
      <w:r>
        <w:rPr>
          <w:rFonts w:hint="eastAsia" w:ascii="仿宋" w:hAnsi="仿宋" w:eastAsia="仿宋" w:cs="宋体"/>
          <w:color w:val="auto"/>
          <w:sz w:val="24"/>
          <w:szCs w:val="24"/>
          <w:highlight w:val="none"/>
          <w:lang w:val="en-US" w:eastAsia="zh-CN"/>
        </w:rPr>
        <w:t>1</w:t>
      </w:r>
      <w:r>
        <w:rPr>
          <w:rFonts w:hint="eastAsia" w:ascii="仿宋" w:hAnsi="仿宋" w:eastAsia="仿宋" w:cs="宋体"/>
          <w:color w:val="auto"/>
          <w:sz w:val="24"/>
          <w:szCs w:val="24"/>
          <w:highlight w:val="none"/>
        </w:rPr>
        <w:t>个</w:t>
      </w:r>
      <w:r>
        <w:rPr>
          <w:rFonts w:hint="eastAsia" w:ascii="仿宋" w:hAnsi="仿宋" w:eastAsia="仿宋" w:cs="宋体"/>
          <w:color w:val="auto"/>
          <w:sz w:val="24"/>
          <w:szCs w:val="24"/>
          <w:highlight w:val="none"/>
          <w:lang w:val="en-US" w:eastAsia="zh-CN"/>
        </w:rPr>
        <w:t>20万元</w:t>
      </w:r>
      <w:r>
        <w:rPr>
          <w:rFonts w:hint="eastAsia" w:ascii="仿宋" w:hAnsi="仿宋" w:eastAsia="仿宋" w:cs="宋体"/>
          <w:color w:val="auto"/>
          <w:sz w:val="24"/>
          <w:szCs w:val="24"/>
          <w:highlight w:val="none"/>
        </w:rPr>
        <w:t>（含）以上同类项目实施案例，并提供符合上述要求的合同关键页作为有效的业绩证明材料。合同关键页包含但不限于合同首页、合同标的页、签署日期页及盖章页等。</w:t>
      </w:r>
    </w:p>
    <w:p>
      <w:pPr>
        <w:spacing w:line="360" w:lineRule="auto"/>
        <w:ind w:firstLine="480" w:firstLineChars="200"/>
        <w:textAlignment w:val="baseline"/>
        <w:rPr>
          <w:rFonts w:ascii="仿宋" w:hAnsi="仿宋" w:eastAsia="仿宋" w:cs="宋体"/>
          <w:color w:val="auto"/>
          <w:sz w:val="24"/>
          <w:szCs w:val="24"/>
          <w:highlight w:val="none"/>
        </w:rPr>
      </w:pPr>
      <w:r>
        <w:rPr>
          <w:rFonts w:hint="eastAsia" w:ascii="仿宋" w:hAnsi="仿宋" w:eastAsia="仿宋" w:cs="宋体"/>
          <w:color w:val="auto"/>
          <w:sz w:val="24"/>
          <w:szCs w:val="24"/>
          <w:highlight w:val="none"/>
        </w:rPr>
        <w:t>2.</w:t>
      </w:r>
      <w:r>
        <w:rPr>
          <w:rFonts w:hint="eastAsia" w:ascii="仿宋" w:hAnsi="仿宋" w:eastAsia="仿宋" w:cs="宋体"/>
          <w:color w:val="auto"/>
          <w:sz w:val="24"/>
          <w:szCs w:val="24"/>
          <w:highlight w:val="none"/>
          <w:lang w:val="en-US" w:eastAsia="zh-CN"/>
        </w:rPr>
        <w:t>3</w:t>
      </w:r>
      <w:r>
        <w:rPr>
          <w:rFonts w:hint="eastAsia" w:ascii="仿宋" w:hAnsi="仿宋" w:eastAsia="仿宋" w:cs="宋体"/>
          <w:b/>
          <w:bCs/>
          <w:color w:val="auto"/>
          <w:sz w:val="24"/>
          <w:szCs w:val="24"/>
          <w:highlight w:val="none"/>
        </w:rPr>
        <w:t>供应商应经营状况良好，且近三年内（20</w:t>
      </w:r>
      <w:r>
        <w:rPr>
          <w:rFonts w:hint="eastAsia" w:ascii="仿宋" w:hAnsi="仿宋" w:eastAsia="仿宋" w:cs="宋体"/>
          <w:b/>
          <w:bCs/>
          <w:color w:val="auto"/>
          <w:sz w:val="24"/>
          <w:szCs w:val="24"/>
          <w:highlight w:val="none"/>
          <w:lang w:val="en-US" w:eastAsia="zh-CN"/>
        </w:rPr>
        <w:t>23</w:t>
      </w:r>
      <w:r>
        <w:rPr>
          <w:rFonts w:hint="eastAsia" w:ascii="仿宋" w:hAnsi="仿宋" w:eastAsia="仿宋" w:cs="宋体"/>
          <w:b/>
          <w:bCs/>
          <w:color w:val="auto"/>
          <w:sz w:val="24"/>
          <w:szCs w:val="24"/>
          <w:highlight w:val="none"/>
        </w:rPr>
        <w:t>年1月1日至今）无违法违规记录。</w:t>
      </w:r>
      <w:r>
        <w:rPr>
          <w:rFonts w:hint="eastAsia" w:ascii="仿宋" w:hAnsi="仿宋" w:eastAsia="仿宋" w:cs="宋体"/>
          <w:color w:val="auto"/>
          <w:sz w:val="24"/>
          <w:szCs w:val="24"/>
          <w:highlight w:val="none"/>
        </w:rPr>
        <w:t>违法违规记录是指被“信用中国”列入失信被执行人、重大税收违法失信主体、政府采购严重违法失信行为记录名单。供应商需提供自磋商公告发布之日至响应文件递交截止之日期间对以上三项内容的查询截图。</w:t>
      </w:r>
    </w:p>
    <w:p>
      <w:pPr>
        <w:snapToGrid w:val="0"/>
        <w:spacing w:line="360" w:lineRule="auto"/>
        <w:ind w:firstLine="480" w:firstLineChars="200"/>
        <w:textAlignment w:val="baseline"/>
        <w:rPr>
          <w:rFonts w:ascii="仿宋" w:hAnsi="仿宋" w:eastAsia="仿宋" w:cs="仿宋"/>
          <w:color w:val="auto"/>
          <w:highlight w:val="none"/>
        </w:rPr>
      </w:pPr>
      <w:r>
        <w:rPr>
          <w:rFonts w:hint="eastAsia" w:ascii="仿宋" w:hAnsi="仿宋" w:eastAsia="仿宋" w:cs="仿宋"/>
          <w:color w:val="auto"/>
          <w:highlight w:val="none"/>
        </w:rPr>
        <w:t>信用中国查询网址：https://www.creditchina.gov.cn/xinxigongshi/</w:t>
      </w:r>
    </w:p>
    <w:p>
      <w:pPr>
        <w:snapToGrid w:val="0"/>
        <w:spacing w:line="360" w:lineRule="auto"/>
        <w:ind w:firstLine="480" w:firstLineChars="200"/>
        <w:textAlignment w:val="baseline"/>
        <w:rPr>
          <w:rFonts w:ascii="仿宋" w:hAnsi="仿宋" w:eastAsia="仿宋" w:cs="仿宋"/>
          <w:color w:val="auto"/>
          <w:highlight w:val="none"/>
        </w:rPr>
      </w:pPr>
      <w:r>
        <w:rPr>
          <w:rFonts w:hint="eastAsia" w:ascii="仿宋" w:hAnsi="仿宋" w:eastAsia="仿宋" w:cs="仿宋"/>
          <w:color w:val="auto"/>
          <w:highlight w:val="none"/>
        </w:rPr>
        <w:t>政府采购严重违法失信行为记录名单查询网址：</w:t>
      </w:r>
    </w:p>
    <w:p>
      <w:pPr>
        <w:snapToGrid w:val="0"/>
        <w:spacing w:line="360" w:lineRule="auto"/>
        <w:ind w:firstLine="480" w:firstLineChars="200"/>
        <w:textAlignment w:val="baseline"/>
        <w:rPr>
          <w:rFonts w:ascii="仿宋" w:hAnsi="仿宋" w:eastAsia="仿宋" w:cs="仿宋"/>
          <w:color w:val="auto"/>
          <w:highlight w:val="none"/>
        </w:rPr>
      </w:pPr>
      <w:r>
        <w:rPr>
          <w:rFonts w:hint="eastAsia" w:ascii="仿宋" w:hAnsi="仿宋" w:eastAsia="仿宋" w:cs="仿宋"/>
          <w:color w:val="auto"/>
          <w:highlight w:val="none"/>
        </w:rPr>
        <w:t>https://www.creditchina.gov.cn/zhuanxiangchaxun/zhengfucaigouyanzhongweifashixinmingdan/</w:t>
      </w:r>
    </w:p>
    <w:p>
      <w:pPr>
        <w:spacing w:line="360" w:lineRule="auto"/>
        <w:ind w:firstLine="480" w:firstLineChars="200"/>
        <w:textAlignment w:val="baseline"/>
        <w:rPr>
          <w:rFonts w:hint="eastAsia" w:ascii="仿宋" w:hAnsi="仿宋" w:eastAsia="仿宋" w:cs="宋体"/>
          <w:b/>
          <w:bCs/>
          <w:color w:val="auto"/>
          <w:sz w:val="24"/>
          <w:szCs w:val="24"/>
          <w:highlight w:val="none"/>
        </w:rPr>
      </w:pPr>
      <w:r>
        <w:rPr>
          <w:rFonts w:hint="eastAsia" w:ascii="仿宋" w:hAnsi="仿宋" w:eastAsia="仿宋" w:cs="宋体"/>
          <w:color w:val="auto"/>
          <w:sz w:val="24"/>
          <w:szCs w:val="24"/>
          <w:highlight w:val="none"/>
        </w:rPr>
        <w:t>2.</w:t>
      </w:r>
      <w:r>
        <w:rPr>
          <w:rFonts w:hint="eastAsia" w:ascii="仿宋" w:hAnsi="仿宋" w:eastAsia="仿宋" w:cs="宋体"/>
          <w:color w:val="auto"/>
          <w:sz w:val="24"/>
          <w:szCs w:val="24"/>
          <w:highlight w:val="none"/>
          <w:lang w:val="en-US" w:eastAsia="zh-CN"/>
        </w:rPr>
        <w:t>4</w:t>
      </w:r>
      <w:r>
        <w:rPr>
          <w:rFonts w:hint="eastAsia" w:ascii="仿宋" w:hAnsi="仿宋" w:eastAsia="仿宋" w:cs="宋体"/>
          <w:color w:val="auto"/>
          <w:sz w:val="24"/>
          <w:szCs w:val="24"/>
          <w:highlight w:val="none"/>
        </w:rPr>
        <w:t xml:space="preserve"> </w:t>
      </w:r>
      <w:r>
        <w:rPr>
          <w:rFonts w:hint="eastAsia" w:ascii="仿宋" w:hAnsi="仿宋" w:eastAsia="仿宋" w:cs="宋体"/>
          <w:b/>
          <w:bCs/>
          <w:color w:val="auto"/>
          <w:sz w:val="24"/>
          <w:szCs w:val="24"/>
          <w:highlight w:val="none"/>
        </w:rPr>
        <w:t>严禁列入采购人及其所隶属的中国人民保险各级机构的供应商黑名单且在禁入期内的供应商参与采购活动。</w:t>
      </w:r>
    </w:p>
    <w:p>
      <w:pPr>
        <w:spacing w:line="360" w:lineRule="auto"/>
        <w:ind w:firstLine="480" w:firstLineChars="200"/>
        <w:textAlignment w:val="baseline"/>
        <w:rPr>
          <w:rFonts w:ascii="仿宋" w:hAnsi="仿宋" w:eastAsia="仿宋" w:cs="宋体"/>
          <w:color w:val="auto"/>
          <w:highlight w:val="none"/>
        </w:rPr>
      </w:pPr>
      <w:r>
        <w:rPr>
          <w:rFonts w:hint="eastAsia" w:ascii="仿宋" w:hAnsi="仿宋" w:eastAsia="仿宋" w:cs="宋体"/>
          <w:color w:val="auto"/>
          <w:highlight w:val="none"/>
        </w:rPr>
        <w:t>2.</w:t>
      </w:r>
      <w:r>
        <w:rPr>
          <w:rFonts w:hint="eastAsia" w:ascii="仿宋" w:hAnsi="仿宋" w:eastAsia="仿宋" w:cs="宋体"/>
          <w:color w:val="auto"/>
          <w:highlight w:val="none"/>
          <w:lang w:val="en-US" w:eastAsia="zh-CN"/>
        </w:rPr>
        <w:t>5</w:t>
      </w:r>
      <w:r>
        <w:rPr>
          <w:rFonts w:hint="eastAsia" w:ascii="仿宋" w:hAnsi="仿宋" w:eastAsia="仿宋" w:cs="宋体"/>
          <w:color w:val="auto"/>
          <w:highlight w:val="none"/>
        </w:rPr>
        <w:t>单位负责人为同一人或存在控股、管理关系的不同单位，不得参加同一标段/标包比选响应或未划分标段/标包的同一采购项目的比选响应，需填写《供应商控股及管理关系情况申报表》。</w:t>
      </w:r>
    </w:p>
    <w:p>
      <w:pPr>
        <w:spacing w:line="360" w:lineRule="auto"/>
        <w:ind w:firstLine="480" w:firstLineChars="200"/>
        <w:textAlignment w:val="baseline"/>
        <w:rPr>
          <w:rFonts w:ascii="仿宋" w:hAnsi="仿宋" w:eastAsia="仿宋" w:cs="宋体"/>
          <w:color w:val="auto"/>
          <w:highlight w:val="none"/>
        </w:rPr>
      </w:pPr>
      <w:r>
        <w:rPr>
          <w:rFonts w:hint="eastAsia" w:ascii="仿宋" w:hAnsi="仿宋" w:eastAsia="仿宋" w:cs="宋体"/>
          <w:color w:val="auto"/>
          <w:highlight w:val="none"/>
        </w:rPr>
        <w:t>2.</w:t>
      </w:r>
      <w:r>
        <w:rPr>
          <w:rFonts w:hint="eastAsia" w:ascii="仿宋" w:hAnsi="仿宋" w:eastAsia="仿宋" w:cs="宋体"/>
          <w:color w:val="auto"/>
          <w:highlight w:val="none"/>
          <w:lang w:val="en-US" w:eastAsia="zh-CN"/>
        </w:rPr>
        <w:t>6</w:t>
      </w:r>
      <w:r>
        <w:rPr>
          <w:rFonts w:hint="eastAsia" w:ascii="仿宋" w:hAnsi="仿宋" w:eastAsia="仿宋" w:cs="宋体"/>
          <w:color w:val="auto"/>
          <w:highlight w:val="none"/>
        </w:rPr>
        <w:t>本项目不接受联合体比选响应。提供承诺函，格式详见第六章响应文件格式。</w:t>
      </w:r>
    </w:p>
    <w:p>
      <w:pPr>
        <w:pStyle w:val="4"/>
        <w:spacing w:after="240"/>
        <w:jc w:val="left"/>
        <w:rPr>
          <w:rFonts w:ascii="仿宋" w:hAnsi="仿宋" w:eastAsia="仿宋" w:cs="仿宋"/>
          <w:color w:val="auto"/>
          <w:sz w:val="24"/>
          <w:szCs w:val="24"/>
          <w:highlight w:val="none"/>
        </w:rPr>
      </w:pPr>
      <w:bookmarkStart w:id="6" w:name="_Toc23834"/>
      <w:bookmarkStart w:id="7" w:name="_Toc2019"/>
      <w:r>
        <w:rPr>
          <w:rFonts w:hint="eastAsia" w:ascii="仿宋" w:hAnsi="仿宋" w:eastAsia="仿宋" w:cs="仿宋"/>
          <w:color w:val="auto"/>
          <w:sz w:val="24"/>
          <w:szCs w:val="24"/>
          <w:highlight w:val="none"/>
        </w:rPr>
        <w:t>三、比选文件的获取</w:t>
      </w:r>
      <w:bookmarkEnd w:id="6"/>
      <w:bookmarkEnd w:id="7"/>
    </w:p>
    <w:p>
      <w:pPr>
        <w:pStyle w:val="65"/>
        <w:adjustRightInd w:val="0"/>
        <w:snapToGrid w:val="0"/>
        <w:ind w:firstLineChars="175"/>
        <w:jc w:val="left"/>
        <w:rPr>
          <w:rFonts w:ascii="仿宋" w:hAnsi="仿宋" w:eastAsia="仿宋" w:cs="仿宋"/>
          <w:color w:val="auto"/>
          <w:sz w:val="24"/>
          <w:szCs w:val="24"/>
          <w:highlight w:val="none"/>
        </w:rPr>
      </w:pPr>
      <w:r>
        <w:rPr>
          <w:rFonts w:ascii="仿宋" w:hAnsi="仿宋" w:eastAsia="仿宋" w:cs="仿宋"/>
          <w:color w:val="auto"/>
          <w:sz w:val="24"/>
          <w:szCs w:val="24"/>
          <w:highlight w:val="none"/>
        </w:rPr>
        <w:t>3</w:t>
      </w:r>
      <w:r>
        <w:rPr>
          <w:rFonts w:hint="eastAsia" w:ascii="仿宋" w:hAnsi="仿宋" w:eastAsia="仿宋" w:cs="仿宋"/>
          <w:color w:val="auto"/>
          <w:sz w:val="24"/>
          <w:szCs w:val="24"/>
          <w:highlight w:val="none"/>
        </w:rPr>
        <w:t>.1比选文件</w:t>
      </w:r>
      <w:r>
        <w:rPr>
          <w:rFonts w:hint="eastAsia" w:ascii="仿宋" w:hAnsi="仿宋" w:eastAsia="仿宋" w:cs="宋体"/>
          <w:color w:val="auto"/>
          <w:sz w:val="24"/>
          <w:szCs w:val="24"/>
          <w:highlight w:val="none"/>
        </w:rPr>
        <w:t>获取</w:t>
      </w:r>
      <w:r>
        <w:rPr>
          <w:rFonts w:hint="eastAsia" w:ascii="仿宋" w:hAnsi="仿宋" w:eastAsia="仿宋" w:cs="仿宋"/>
          <w:color w:val="auto"/>
          <w:sz w:val="24"/>
          <w:szCs w:val="24"/>
          <w:highlight w:val="none"/>
        </w:rPr>
        <w:t>时间：</w:t>
      </w:r>
      <w:r>
        <w:rPr>
          <w:rFonts w:hint="eastAsia" w:ascii="仿宋" w:hAnsi="仿宋" w:eastAsia="仿宋" w:cs="宋体"/>
          <w:b/>
          <w:color w:val="auto"/>
          <w:sz w:val="24"/>
          <w:szCs w:val="24"/>
          <w:highlight w:val="none"/>
          <w:u w:val="single"/>
        </w:rPr>
        <w:t>202</w:t>
      </w:r>
      <w:r>
        <w:rPr>
          <w:rFonts w:hint="eastAsia" w:ascii="仿宋" w:hAnsi="仿宋" w:eastAsia="仿宋" w:cs="宋体"/>
          <w:b/>
          <w:color w:val="auto"/>
          <w:sz w:val="24"/>
          <w:szCs w:val="24"/>
          <w:highlight w:val="none"/>
          <w:u w:val="single"/>
          <w:lang w:val="en-US" w:eastAsia="zh-CN"/>
        </w:rPr>
        <w:t>6</w:t>
      </w:r>
      <w:r>
        <w:rPr>
          <w:rFonts w:hint="eastAsia" w:ascii="仿宋" w:hAnsi="仿宋" w:eastAsia="仿宋" w:cs="宋体"/>
          <w:b/>
          <w:color w:val="auto"/>
          <w:sz w:val="24"/>
          <w:szCs w:val="24"/>
          <w:highlight w:val="none"/>
          <w:u w:val="single"/>
        </w:rPr>
        <w:t>年</w:t>
      </w:r>
      <w:r>
        <w:rPr>
          <w:rFonts w:hint="eastAsia" w:ascii="仿宋" w:hAnsi="仿宋" w:eastAsia="仿宋" w:cs="宋体"/>
          <w:b/>
          <w:color w:val="auto"/>
          <w:sz w:val="24"/>
          <w:szCs w:val="24"/>
          <w:highlight w:val="none"/>
          <w:u w:val="single"/>
          <w:lang w:val="en-US" w:eastAsia="zh-CN"/>
        </w:rPr>
        <w:t>2</w:t>
      </w:r>
      <w:r>
        <w:rPr>
          <w:rFonts w:hint="eastAsia" w:ascii="仿宋" w:hAnsi="仿宋" w:eastAsia="仿宋" w:cs="宋体"/>
          <w:b/>
          <w:color w:val="auto"/>
          <w:sz w:val="24"/>
          <w:szCs w:val="24"/>
          <w:highlight w:val="none"/>
          <w:u w:val="single"/>
        </w:rPr>
        <w:t>月</w:t>
      </w:r>
      <w:r>
        <w:rPr>
          <w:rFonts w:hint="eastAsia" w:ascii="仿宋" w:hAnsi="仿宋" w:eastAsia="仿宋" w:cs="宋体"/>
          <w:b/>
          <w:color w:val="auto"/>
          <w:sz w:val="24"/>
          <w:szCs w:val="24"/>
          <w:highlight w:val="none"/>
          <w:u w:val="single"/>
          <w:lang w:val="en-US" w:eastAsia="zh-CN"/>
        </w:rPr>
        <w:t>14</w:t>
      </w:r>
      <w:r>
        <w:rPr>
          <w:rFonts w:hint="eastAsia" w:ascii="仿宋" w:hAnsi="仿宋" w:eastAsia="仿宋" w:cs="宋体"/>
          <w:b/>
          <w:color w:val="auto"/>
          <w:sz w:val="24"/>
          <w:szCs w:val="24"/>
          <w:highlight w:val="none"/>
          <w:u w:val="single"/>
        </w:rPr>
        <w:t>日</w:t>
      </w:r>
      <w:r>
        <w:rPr>
          <w:rFonts w:hint="eastAsia" w:ascii="仿宋" w:hAnsi="仿宋" w:eastAsia="仿宋" w:cs="宋体"/>
          <w:b/>
          <w:color w:val="auto"/>
          <w:sz w:val="24"/>
          <w:szCs w:val="24"/>
          <w:highlight w:val="none"/>
        </w:rPr>
        <w:t>至</w:t>
      </w:r>
      <w:r>
        <w:rPr>
          <w:rFonts w:hint="eastAsia" w:ascii="仿宋" w:hAnsi="仿宋" w:eastAsia="仿宋" w:cs="宋体"/>
          <w:b/>
          <w:color w:val="auto"/>
          <w:sz w:val="24"/>
          <w:szCs w:val="24"/>
          <w:highlight w:val="none"/>
          <w:u w:val="single"/>
        </w:rPr>
        <w:t>202</w:t>
      </w:r>
      <w:r>
        <w:rPr>
          <w:rFonts w:hint="eastAsia" w:ascii="仿宋" w:hAnsi="仿宋" w:eastAsia="仿宋" w:cs="宋体"/>
          <w:b/>
          <w:color w:val="auto"/>
          <w:sz w:val="24"/>
          <w:szCs w:val="24"/>
          <w:highlight w:val="none"/>
          <w:u w:val="single"/>
          <w:lang w:val="en-US" w:eastAsia="zh-CN"/>
        </w:rPr>
        <w:t>6</w:t>
      </w:r>
      <w:r>
        <w:rPr>
          <w:rFonts w:hint="eastAsia" w:ascii="仿宋" w:hAnsi="仿宋" w:eastAsia="仿宋" w:cs="宋体"/>
          <w:b/>
          <w:color w:val="auto"/>
          <w:sz w:val="24"/>
          <w:szCs w:val="24"/>
          <w:highlight w:val="none"/>
          <w:u w:val="single"/>
        </w:rPr>
        <w:t>年</w:t>
      </w:r>
      <w:r>
        <w:rPr>
          <w:rFonts w:hint="eastAsia" w:ascii="仿宋" w:hAnsi="仿宋" w:eastAsia="仿宋" w:cs="宋体"/>
          <w:b/>
          <w:color w:val="auto"/>
          <w:sz w:val="24"/>
          <w:szCs w:val="24"/>
          <w:highlight w:val="none"/>
          <w:u w:val="single"/>
          <w:lang w:val="en-US" w:eastAsia="zh-CN"/>
        </w:rPr>
        <w:t>2</w:t>
      </w:r>
      <w:r>
        <w:rPr>
          <w:rFonts w:hint="eastAsia" w:ascii="仿宋" w:hAnsi="仿宋" w:eastAsia="仿宋" w:cs="宋体"/>
          <w:b/>
          <w:color w:val="auto"/>
          <w:sz w:val="24"/>
          <w:szCs w:val="24"/>
          <w:highlight w:val="none"/>
          <w:u w:val="single"/>
        </w:rPr>
        <w:t>月</w:t>
      </w:r>
      <w:r>
        <w:rPr>
          <w:rFonts w:hint="eastAsia" w:ascii="仿宋" w:hAnsi="仿宋" w:eastAsia="仿宋" w:cs="宋体"/>
          <w:b/>
          <w:color w:val="auto"/>
          <w:sz w:val="24"/>
          <w:szCs w:val="24"/>
          <w:highlight w:val="none"/>
          <w:u w:val="single"/>
          <w:lang w:val="en-US" w:eastAsia="zh-CN"/>
        </w:rPr>
        <w:t>25</w:t>
      </w:r>
      <w:r>
        <w:rPr>
          <w:rFonts w:hint="eastAsia" w:ascii="仿宋" w:hAnsi="仿宋" w:eastAsia="仿宋" w:cs="宋体"/>
          <w:b/>
          <w:color w:val="auto"/>
          <w:sz w:val="24"/>
          <w:szCs w:val="24"/>
          <w:highlight w:val="none"/>
          <w:u w:val="single"/>
        </w:rPr>
        <w:t>日，</w:t>
      </w:r>
      <w:r>
        <w:rPr>
          <w:rFonts w:hint="eastAsia" w:ascii="仿宋" w:hAnsi="仿宋" w:eastAsia="仿宋" w:cs="宋体"/>
          <w:color w:val="auto"/>
          <w:sz w:val="24"/>
          <w:szCs w:val="24"/>
          <w:highlight w:val="none"/>
        </w:rPr>
        <w:t>上午</w:t>
      </w:r>
      <w:r>
        <w:rPr>
          <w:rFonts w:hint="eastAsia" w:ascii="仿宋" w:hAnsi="仿宋" w:eastAsia="仿宋" w:cs="宋体"/>
          <w:color w:val="auto"/>
          <w:sz w:val="24"/>
          <w:szCs w:val="24"/>
          <w:highlight w:val="none"/>
          <w:lang w:val="en-US" w:eastAsia="zh-CN"/>
        </w:rPr>
        <w:t>8:30</w:t>
      </w:r>
      <w:r>
        <w:rPr>
          <w:rFonts w:hint="eastAsia" w:ascii="仿宋" w:hAnsi="仿宋" w:eastAsia="仿宋" w:cs="宋体"/>
          <w:color w:val="auto"/>
          <w:sz w:val="24"/>
          <w:szCs w:val="24"/>
          <w:highlight w:val="none"/>
        </w:rPr>
        <w:t>时至</w:t>
      </w:r>
      <w:r>
        <w:rPr>
          <w:rFonts w:hint="eastAsia" w:ascii="仿宋" w:hAnsi="仿宋" w:eastAsia="仿宋" w:cs="宋体"/>
          <w:color w:val="auto"/>
          <w:sz w:val="24"/>
          <w:szCs w:val="24"/>
          <w:highlight w:val="none"/>
          <w:lang w:val="en-US" w:eastAsia="zh-CN"/>
        </w:rPr>
        <w:t>12</w:t>
      </w:r>
      <w:r>
        <w:rPr>
          <w:rFonts w:hint="eastAsia" w:ascii="仿宋" w:hAnsi="仿宋" w:eastAsia="仿宋" w:cs="宋体"/>
          <w:color w:val="auto"/>
          <w:sz w:val="24"/>
          <w:szCs w:val="24"/>
          <w:highlight w:val="none"/>
        </w:rPr>
        <w:t>时，下午</w:t>
      </w:r>
      <w:r>
        <w:rPr>
          <w:rFonts w:hint="eastAsia" w:ascii="仿宋" w:hAnsi="仿宋" w:eastAsia="仿宋" w:cs="宋体"/>
          <w:color w:val="auto"/>
          <w:sz w:val="24"/>
          <w:szCs w:val="24"/>
          <w:highlight w:val="none"/>
          <w:lang w:val="en-US" w:eastAsia="zh-CN"/>
        </w:rPr>
        <w:t>14:30</w:t>
      </w:r>
      <w:r>
        <w:rPr>
          <w:rFonts w:hint="eastAsia" w:ascii="仿宋" w:hAnsi="仿宋" w:eastAsia="仿宋" w:cs="宋体"/>
          <w:color w:val="auto"/>
          <w:sz w:val="24"/>
          <w:szCs w:val="24"/>
          <w:highlight w:val="none"/>
        </w:rPr>
        <w:t>时至</w:t>
      </w:r>
      <w:r>
        <w:rPr>
          <w:rFonts w:hint="eastAsia" w:ascii="仿宋" w:hAnsi="仿宋" w:eastAsia="仿宋" w:cs="宋体"/>
          <w:color w:val="auto"/>
          <w:sz w:val="24"/>
          <w:szCs w:val="24"/>
          <w:highlight w:val="none"/>
          <w:lang w:val="en-US" w:eastAsia="zh-CN"/>
        </w:rPr>
        <w:t>18:00</w:t>
      </w:r>
      <w:r>
        <w:rPr>
          <w:rFonts w:hint="eastAsia" w:ascii="仿宋" w:hAnsi="仿宋" w:eastAsia="仿宋" w:cs="宋体"/>
          <w:color w:val="auto"/>
          <w:sz w:val="24"/>
          <w:szCs w:val="24"/>
          <w:highlight w:val="none"/>
        </w:rPr>
        <w:t>时（北京时间，下同）。</w:t>
      </w:r>
    </w:p>
    <w:p>
      <w:pPr>
        <w:pStyle w:val="11"/>
        <w:spacing w:line="360" w:lineRule="auto"/>
        <w:ind w:left="0" w:leftChars="0" w:firstLine="480" w:firstLineChars="200"/>
        <w:rPr>
          <w:rFonts w:ascii="仿宋" w:hAnsi="仿宋" w:eastAsia="仿宋" w:cs="仿宋_GB2312"/>
          <w:color w:val="auto"/>
          <w:sz w:val="24"/>
          <w:szCs w:val="24"/>
          <w:highlight w:val="none"/>
        </w:rPr>
      </w:pPr>
      <w:r>
        <w:rPr>
          <w:rFonts w:ascii="仿宋" w:hAnsi="仿宋" w:eastAsia="仿宋" w:cs="宋体"/>
          <w:color w:val="auto"/>
          <w:sz w:val="24"/>
          <w:highlight w:val="none"/>
        </w:rPr>
        <w:t>3</w:t>
      </w:r>
      <w:r>
        <w:rPr>
          <w:rFonts w:hint="eastAsia" w:ascii="仿宋" w:hAnsi="仿宋" w:eastAsia="仿宋" w:cs="宋体"/>
          <w:color w:val="auto"/>
          <w:sz w:val="24"/>
          <w:highlight w:val="none"/>
        </w:rPr>
        <w:t>.2拟报名参加本项目的供应商，请通过“人保e采”外网门户</w:t>
      </w:r>
      <w:r>
        <w:rPr>
          <w:rFonts w:hint="eastAsia" w:ascii="仿宋" w:hAnsi="仿宋" w:eastAsia="仿宋" w:cs="宋体"/>
          <w:color w:val="auto"/>
          <w:sz w:val="24"/>
          <w:highlight w:val="none"/>
          <w:lang w:eastAsia="zh-CN"/>
        </w:rPr>
        <w:t>、金采网</w:t>
      </w:r>
      <w:r>
        <w:rPr>
          <w:rFonts w:hint="eastAsia" w:ascii="仿宋" w:hAnsi="仿宋" w:eastAsia="仿宋" w:cs="宋体"/>
          <w:color w:val="auto"/>
          <w:sz w:val="24"/>
          <w:highlight w:val="none"/>
        </w:rPr>
        <w:t>获取比选文件</w:t>
      </w:r>
      <w:r>
        <w:rPr>
          <w:rFonts w:hint="eastAsia" w:ascii="仿宋" w:hAnsi="仿宋" w:eastAsia="仿宋" w:cs="仿宋_GB2312"/>
          <w:color w:val="auto"/>
          <w:sz w:val="24"/>
          <w:szCs w:val="24"/>
          <w:highlight w:val="none"/>
        </w:rPr>
        <w:t>。</w:t>
      </w:r>
    </w:p>
    <w:p>
      <w:pPr>
        <w:pStyle w:val="4"/>
        <w:jc w:val="left"/>
        <w:rPr>
          <w:rFonts w:ascii="仿宋" w:hAnsi="仿宋" w:eastAsia="仿宋" w:cs="仿宋"/>
          <w:color w:val="auto"/>
          <w:sz w:val="24"/>
          <w:szCs w:val="24"/>
          <w:highlight w:val="none"/>
        </w:rPr>
      </w:pPr>
      <w:bookmarkStart w:id="8" w:name="_Toc26885"/>
      <w:bookmarkStart w:id="9" w:name="_Toc32115"/>
      <w:r>
        <w:rPr>
          <w:rFonts w:hint="eastAsia" w:ascii="仿宋" w:hAnsi="仿宋" w:eastAsia="仿宋" w:cs="仿宋"/>
          <w:color w:val="auto"/>
          <w:sz w:val="24"/>
          <w:szCs w:val="24"/>
          <w:highlight w:val="none"/>
        </w:rPr>
        <w:t>四、响应文件的递交</w:t>
      </w:r>
      <w:bookmarkEnd w:id="8"/>
      <w:bookmarkEnd w:id="9"/>
    </w:p>
    <w:p>
      <w:pPr>
        <w:spacing w:line="360" w:lineRule="auto"/>
        <w:ind w:firstLine="480" w:firstLineChars="200"/>
        <w:textAlignment w:val="baseline"/>
        <w:rPr>
          <w:rFonts w:ascii="仿宋" w:hAnsi="仿宋" w:eastAsia="仿宋" w:cs="宋体"/>
          <w:color w:val="auto"/>
          <w:highlight w:val="none"/>
        </w:rPr>
      </w:pPr>
      <w:r>
        <w:rPr>
          <w:rFonts w:ascii="仿宋" w:hAnsi="仿宋" w:eastAsia="仿宋" w:cs="宋体"/>
          <w:color w:val="auto"/>
          <w:highlight w:val="none"/>
        </w:rPr>
        <w:t>4</w:t>
      </w:r>
      <w:r>
        <w:rPr>
          <w:rFonts w:hint="eastAsia" w:ascii="仿宋" w:hAnsi="仿宋" w:eastAsia="仿宋" w:cs="宋体"/>
          <w:color w:val="auto"/>
          <w:highlight w:val="none"/>
        </w:rPr>
        <w:t>.1响应文件递交截止时间：</w:t>
      </w:r>
      <w:r>
        <w:rPr>
          <w:rFonts w:hint="eastAsia" w:ascii="仿宋" w:hAnsi="仿宋" w:eastAsia="仿宋" w:cs="宋体"/>
          <w:color w:val="auto"/>
          <w:highlight w:val="none"/>
          <w:u w:val="single"/>
        </w:rPr>
        <w:t>20</w:t>
      </w:r>
      <w:r>
        <w:rPr>
          <w:rFonts w:hint="eastAsia" w:ascii="仿宋" w:hAnsi="仿宋" w:eastAsia="仿宋" w:cs="宋体"/>
          <w:color w:val="auto"/>
          <w:highlight w:val="none"/>
          <w:u w:val="single"/>
          <w:lang w:val="en-US" w:eastAsia="zh-CN"/>
        </w:rPr>
        <w:t>26</w:t>
      </w:r>
      <w:r>
        <w:rPr>
          <w:rFonts w:hint="eastAsia" w:ascii="仿宋" w:hAnsi="仿宋" w:eastAsia="仿宋" w:cs="宋体"/>
          <w:color w:val="auto"/>
          <w:highlight w:val="none"/>
          <w:u w:val="single"/>
        </w:rPr>
        <w:t>年</w:t>
      </w:r>
      <w:r>
        <w:rPr>
          <w:rFonts w:hint="eastAsia" w:ascii="仿宋" w:hAnsi="仿宋" w:eastAsia="仿宋" w:cs="宋体"/>
          <w:color w:val="auto"/>
          <w:highlight w:val="none"/>
          <w:u w:val="single"/>
          <w:lang w:val="en-US" w:eastAsia="zh-CN"/>
        </w:rPr>
        <w:t>3</w:t>
      </w:r>
      <w:r>
        <w:rPr>
          <w:rFonts w:hint="eastAsia" w:ascii="仿宋" w:hAnsi="仿宋" w:eastAsia="仿宋" w:cs="宋体"/>
          <w:color w:val="auto"/>
          <w:highlight w:val="none"/>
          <w:u w:val="single"/>
        </w:rPr>
        <w:t>月</w:t>
      </w:r>
      <w:r>
        <w:rPr>
          <w:rFonts w:hint="eastAsia" w:ascii="仿宋" w:hAnsi="仿宋" w:eastAsia="仿宋" w:cs="宋体"/>
          <w:color w:val="auto"/>
          <w:highlight w:val="none"/>
          <w:u w:val="single"/>
          <w:lang w:val="en-US" w:eastAsia="zh-CN"/>
        </w:rPr>
        <w:t>3</w:t>
      </w:r>
      <w:r>
        <w:rPr>
          <w:rFonts w:hint="eastAsia" w:ascii="仿宋" w:hAnsi="仿宋" w:eastAsia="仿宋" w:cs="宋体"/>
          <w:color w:val="auto"/>
          <w:highlight w:val="none"/>
          <w:u w:val="single"/>
        </w:rPr>
        <w:t>日</w:t>
      </w:r>
      <w:r>
        <w:rPr>
          <w:rFonts w:hint="eastAsia" w:ascii="仿宋" w:hAnsi="仿宋" w:eastAsia="仿宋" w:cs="宋体"/>
          <w:color w:val="auto"/>
          <w:highlight w:val="none"/>
          <w:u w:val="single"/>
          <w:lang w:val="en-US" w:eastAsia="zh-CN"/>
        </w:rPr>
        <w:t>10</w:t>
      </w:r>
      <w:r>
        <w:rPr>
          <w:rFonts w:hint="eastAsia" w:ascii="仿宋" w:hAnsi="仿宋" w:eastAsia="仿宋" w:cs="宋体"/>
          <w:color w:val="auto"/>
          <w:highlight w:val="none"/>
          <w:u w:val="single"/>
        </w:rPr>
        <w:t>时</w:t>
      </w:r>
      <w:r>
        <w:rPr>
          <w:rFonts w:hint="eastAsia" w:ascii="仿宋" w:hAnsi="仿宋" w:eastAsia="仿宋" w:cs="宋体"/>
          <w:color w:val="auto"/>
          <w:highlight w:val="none"/>
          <w:u w:val="single"/>
          <w:lang w:val="en-US" w:eastAsia="zh-CN"/>
        </w:rPr>
        <w:t>00</w:t>
      </w:r>
      <w:r>
        <w:rPr>
          <w:rFonts w:hint="eastAsia" w:ascii="仿宋" w:hAnsi="仿宋" w:eastAsia="仿宋" w:cs="宋体"/>
          <w:color w:val="auto"/>
          <w:highlight w:val="none"/>
          <w:u w:val="single"/>
        </w:rPr>
        <w:t>分00秒</w:t>
      </w:r>
      <w:r>
        <w:rPr>
          <w:rFonts w:hint="eastAsia" w:ascii="仿宋" w:hAnsi="仿宋" w:eastAsia="仿宋" w:cs="宋体"/>
          <w:color w:val="auto"/>
          <w:highlight w:val="none"/>
        </w:rPr>
        <w:t>。</w:t>
      </w:r>
    </w:p>
    <w:p>
      <w:pPr>
        <w:spacing w:line="360" w:lineRule="auto"/>
        <w:ind w:firstLine="480" w:firstLineChars="200"/>
        <w:textAlignment w:val="baseline"/>
        <w:rPr>
          <w:color w:val="auto"/>
          <w:highlight w:val="none"/>
        </w:rPr>
      </w:pPr>
      <w:r>
        <w:rPr>
          <w:rFonts w:ascii="仿宋" w:hAnsi="仿宋" w:eastAsia="仿宋" w:cs="宋体"/>
          <w:color w:val="auto"/>
          <w:highlight w:val="none"/>
        </w:rPr>
        <w:t>4</w:t>
      </w:r>
      <w:r>
        <w:rPr>
          <w:rFonts w:hint="eastAsia" w:ascii="仿宋" w:hAnsi="仿宋" w:eastAsia="仿宋" w:cs="宋体"/>
          <w:color w:val="auto"/>
          <w:highlight w:val="none"/>
        </w:rPr>
        <w:t>.2响应文件的递交：须现场递交（</w:t>
      </w:r>
      <w:r>
        <w:rPr>
          <w:rFonts w:hint="eastAsia" w:ascii="仿宋" w:hAnsi="仿宋" w:eastAsia="仿宋" w:cs="宋体"/>
          <w:color w:val="auto"/>
          <w:sz w:val="24"/>
          <w:szCs w:val="24"/>
          <w:highlight w:val="none"/>
        </w:rPr>
        <w:t>或邮寄至</w:t>
      </w:r>
      <w:r>
        <w:rPr>
          <w:rFonts w:hint="eastAsia" w:ascii="仿宋" w:hAnsi="仿宋" w:eastAsia="仿宋" w:cs="宋体"/>
          <w:color w:val="auto"/>
          <w:sz w:val="24"/>
          <w:szCs w:val="24"/>
          <w:highlight w:val="none"/>
          <w:lang w:eastAsia="zh-CN"/>
        </w:rPr>
        <w:t>泸县玉蟾街道玉蟾大道</w:t>
      </w:r>
      <w:r>
        <w:rPr>
          <w:rFonts w:hint="eastAsia" w:ascii="仿宋" w:hAnsi="仿宋" w:eastAsia="仿宋" w:cs="宋体"/>
          <w:color w:val="auto"/>
          <w:sz w:val="24"/>
          <w:szCs w:val="24"/>
          <w:highlight w:val="none"/>
          <w:lang w:val="en-US" w:eastAsia="zh-CN"/>
        </w:rPr>
        <w:t>238号</w:t>
      </w:r>
      <w:r>
        <w:rPr>
          <w:rFonts w:hint="eastAsia" w:ascii="仿宋" w:hAnsi="仿宋" w:eastAsia="仿宋" w:cs="宋体"/>
          <w:color w:val="auto"/>
          <w:sz w:val="24"/>
          <w:szCs w:val="24"/>
          <w:highlight w:val="none"/>
          <w:lang w:eastAsia="zh-CN"/>
        </w:rPr>
        <w:t>人保财险泸县支公司</w:t>
      </w:r>
      <w:r>
        <w:rPr>
          <w:rFonts w:hint="eastAsia" w:ascii="仿宋" w:hAnsi="仿宋" w:eastAsia="仿宋" w:cs="宋体"/>
          <w:color w:val="auto"/>
          <w:sz w:val="24"/>
          <w:szCs w:val="24"/>
          <w:highlight w:val="none"/>
          <w:lang w:val="en-US" w:eastAsia="zh-CN"/>
        </w:rPr>
        <w:t>综合部）</w:t>
      </w:r>
      <w:r>
        <w:rPr>
          <w:rFonts w:hint="eastAsia" w:ascii="仿宋" w:hAnsi="仿宋" w:eastAsia="仿宋" w:cs="宋体"/>
          <w:color w:val="auto"/>
          <w:highlight w:val="none"/>
        </w:rPr>
        <w:t>，</w:t>
      </w:r>
      <w:r>
        <w:rPr>
          <w:rFonts w:hint="eastAsia" w:ascii="仿宋" w:hAnsi="仿宋" w:eastAsia="仿宋" w:cs="宋体"/>
          <w:b/>
          <w:bCs/>
          <w:color w:val="auto"/>
          <w:highlight w:val="none"/>
        </w:rPr>
        <w:t>逾期送达或者未送达指定地点或者未按照比选文件要求封装的纸质响应文件不予接收。</w:t>
      </w:r>
    </w:p>
    <w:p>
      <w:pPr>
        <w:spacing w:line="360" w:lineRule="auto"/>
        <w:ind w:firstLine="480" w:firstLineChars="200"/>
        <w:textAlignment w:val="baseline"/>
        <w:rPr>
          <w:rFonts w:ascii="仿宋" w:hAnsi="仿宋" w:eastAsia="仿宋" w:cs="宋体"/>
          <w:color w:val="auto"/>
          <w:highlight w:val="none"/>
        </w:rPr>
      </w:pPr>
      <w:r>
        <w:rPr>
          <w:rFonts w:ascii="仿宋" w:hAnsi="仿宋" w:eastAsia="仿宋" w:cs="宋体"/>
          <w:color w:val="auto"/>
          <w:highlight w:val="none"/>
        </w:rPr>
        <w:t>4</w:t>
      </w:r>
      <w:r>
        <w:rPr>
          <w:rFonts w:hint="eastAsia" w:ascii="仿宋" w:hAnsi="仿宋" w:eastAsia="仿宋" w:cs="宋体"/>
          <w:color w:val="auto"/>
          <w:kern w:val="2"/>
          <w:highlight w:val="none"/>
        </w:rPr>
        <w:t>.3本项目将于上述同一时间、地点进行比选，采购人邀请供应商代表准时参加。</w:t>
      </w:r>
    </w:p>
    <w:p>
      <w:pPr>
        <w:spacing w:line="360" w:lineRule="auto"/>
        <w:ind w:firstLine="480" w:firstLineChars="200"/>
        <w:textAlignment w:val="baseline"/>
        <w:rPr>
          <w:rFonts w:ascii="仿宋" w:hAnsi="仿宋" w:eastAsia="仿宋" w:cs="宋体"/>
          <w:b/>
          <w:bCs/>
          <w:color w:val="auto"/>
          <w:highlight w:val="none"/>
        </w:rPr>
      </w:pPr>
      <w:r>
        <w:rPr>
          <w:rFonts w:ascii="仿宋" w:hAnsi="仿宋" w:eastAsia="仿宋" w:cs="宋体"/>
          <w:color w:val="auto"/>
          <w:highlight w:val="none"/>
        </w:rPr>
        <w:t>4</w:t>
      </w:r>
      <w:r>
        <w:rPr>
          <w:rFonts w:hint="eastAsia" w:ascii="仿宋" w:hAnsi="仿宋" w:eastAsia="仿宋" w:cs="宋体"/>
          <w:color w:val="auto"/>
          <w:kern w:val="2"/>
          <w:highlight w:val="none"/>
        </w:rPr>
        <w:t>.4</w:t>
      </w:r>
      <w:r>
        <w:rPr>
          <w:rFonts w:hint="eastAsia" w:ascii="仿宋" w:hAnsi="仿宋" w:eastAsia="仿宋" w:cs="宋体"/>
          <w:b/>
          <w:bCs/>
          <w:color w:val="auto"/>
          <w:kern w:val="2"/>
          <w:highlight w:val="none"/>
        </w:rPr>
        <w:t>出现以下情形之一时，采购人不予接收投标文件：</w:t>
      </w:r>
    </w:p>
    <w:p>
      <w:pPr>
        <w:spacing w:line="360" w:lineRule="auto"/>
        <w:ind w:firstLine="480" w:firstLineChars="200"/>
        <w:textAlignment w:val="baseline"/>
        <w:rPr>
          <w:rFonts w:ascii="仿宋" w:hAnsi="仿宋" w:eastAsia="仿宋" w:cs="宋体"/>
          <w:color w:val="auto"/>
          <w:highlight w:val="none"/>
        </w:rPr>
      </w:pPr>
      <w:r>
        <w:rPr>
          <w:rFonts w:ascii="仿宋" w:hAnsi="仿宋" w:eastAsia="仿宋" w:cs="宋体"/>
          <w:color w:val="auto"/>
          <w:highlight w:val="none"/>
        </w:rPr>
        <w:t>4</w:t>
      </w:r>
      <w:r>
        <w:rPr>
          <w:rFonts w:hint="eastAsia" w:ascii="仿宋" w:hAnsi="仿宋" w:eastAsia="仿宋" w:cs="宋体"/>
          <w:color w:val="auto"/>
          <w:kern w:val="2"/>
          <w:highlight w:val="none"/>
        </w:rPr>
        <w:t>.4.1  逾期送达或者未送达指定地点的；</w:t>
      </w:r>
    </w:p>
    <w:p>
      <w:pPr>
        <w:spacing w:line="360" w:lineRule="auto"/>
        <w:ind w:firstLine="480" w:firstLineChars="200"/>
        <w:textAlignment w:val="baseline"/>
        <w:rPr>
          <w:rFonts w:ascii="仿宋" w:hAnsi="仿宋" w:eastAsia="仿宋" w:cs="宋体"/>
          <w:color w:val="auto"/>
          <w:highlight w:val="none"/>
        </w:rPr>
      </w:pPr>
      <w:r>
        <w:rPr>
          <w:rFonts w:ascii="仿宋" w:hAnsi="仿宋" w:eastAsia="仿宋" w:cs="宋体"/>
          <w:color w:val="auto"/>
          <w:highlight w:val="none"/>
        </w:rPr>
        <w:t>4</w:t>
      </w:r>
      <w:r>
        <w:rPr>
          <w:rFonts w:hint="eastAsia" w:ascii="仿宋" w:hAnsi="仿宋" w:eastAsia="仿宋" w:cs="宋体"/>
          <w:color w:val="auto"/>
          <w:kern w:val="2"/>
          <w:highlight w:val="none"/>
        </w:rPr>
        <w:t>.4.2  未按照响应文件要求密封的；</w:t>
      </w:r>
    </w:p>
    <w:p>
      <w:pPr>
        <w:spacing w:line="360" w:lineRule="auto"/>
        <w:ind w:firstLine="480" w:firstLineChars="200"/>
        <w:textAlignment w:val="baseline"/>
        <w:rPr>
          <w:rFonts w:ascii="仿宋" w:hAnsi="仿宋" w:eastAsia="仿宋" w:cs="宋体"/>
          <w:color w:val="auto"/>
          <w:highlight w:val="none"/>
        </w:rPr>
      </w:pPr>
      <w:r>
        <w:rPr>
          <w:rFonts w:ascii="仿宋" w:hAnsi="仿宋" w:eastAsia="仿宋" w:cs="宋体"/>
          <w:color w:val="auto"/>
          <w:highlight w:val="none"/>
        </w:rPr>
        <w:t>4</w:t>
      </w:r>
      <w:r>
        <w:rPr>
          <w:rFonts w:hint="eastAsia" w:ascii="仿宋" w:hAnsi="仿宋" w:eastAsia="仿宋" w:cs="宋体"/>
          <w:color w:val="auto"/>
          <w:kern w:val="2"/>
          <w:highlight w:val="none"/>
        </w:rPr>
        <w:t>.4.3  未按照比选邀请要求获取比选文件的。</w:t>
      </w:r>
    </w:p>
    <w:p>
      <w:pPr>
        <w:pStyle w:val="4"/>
        <w:jc w:val="left"/>
        <w:rPr>
          <w:rFonts w:ascii="仿宋" w:hAnsi="仿宋" w:eastAsia="仿宋" w:cs="仿宋"/>
          <w:color w:val="auto"/>
          <w:sz w:val="24"/>
          <w:szCs w:val="24"/>
          <w:highlight w:val="none"/>
        </w:rPr>
      </w:pPr>
      <w:bookmarkStart w:id="10" w:name="_Toc14271"/>
      <w:bookmarkStart w:id="11" w:name="_Toc874"/>
      <w:r>
        <w:rPr>
          <w:rFonts w:hint="eastAsia" w:ascii="仿宋" w:hAnsi="仿宋" w:eastAsia="仿宋" w:cs="仿宋"/>
          <w:color w:val="auto"/>
          <w:sz w:val="24"/>
          <w:szCs w:val="24"/>
          <w:highlight w:val="none"/>
        </w:rPr>
        <w:t>五、发布公告的媒介</w:t>
      </w:r>
      <w:bookmarkEnd w:id="10"/>
      <w:bookmarkEnd w:id="11"/>
    </w:p>
    <w:p>
      <w:pPr>
        <w:spacing w:line="360" w:lineRule="auto"/>
        <w:ind w:firstLine="480" w:firstLineChars="200"/>
        <w:textAlignment w:val="baseline"/>
        <w:rPr>
          <w:rFonts w:ascii="仿宋" w:hAnsi="仿宋" w:eastAsia="仿宋" w:cs="仿宋"/>
          <w:color w:val="auto"/>
          <w:highlight w:val="none"/>
        </w:rPr>
      </w:pPr>
      <w:r>
        <w:rPr>
          <w:rFonts w:hint="eastAsia" w:ascii="仿宋" w:hAnsi="仿宋" w:eastAsia="仿宋" w:cs="仿宋"/>
          <w:color w:val="auto"/>
          <w:highlight w:val="none"/>
        </w:rPr>
        <w:t>本项目比选公告同时在</w:t>
      </w:r>
      <w:r>
        <w:rPr>
          <w:rFonts w:hint="eastAsia" w:ascii="仿宋" w:hAnsi="仿宋" w:eastAsia="仿宋" w:cs="宋体"/>
          <w:color w:val="auto"/>
          <w:highlight w:val="none"/>
          <w:u w:val="single"/>
        </w:rPr>
        <w:t>“人保e采”外网门户（https://ec.picc.com/）、金采网www.cfcpn.com</w:t>
      </w:r>
      <w:r>
        <w:rPr>
          <w:rFonts w:hint="eastAsia" w:ascii="仿宋" w:hAnsi="仿宋" w:eastAsia="仿宋" w:cs="仿宋"/>
          <w:color w:val="auto"/>
          <w:highlight w:val="none"/>
        </w:rPr>
        <w:t>上发布，</w:t>
      </w:r>
      <w:r>
        <w:rPr>
          <w:rFonts w:hint="eastAsia" w:ascii="仿宋" w:hAnsi="仿宋" w:eastAsia="仿宋" w:cs="宋体"/>
          <w:color w:val="auto"/>
          <w:highlight w:val="none"/>
        </w:rPr>
        <w:t>除上述外，采购人不在其他任何网站、论坛等媒介上发布任何采购信息，其他任何媒介上转载的、以采购人为采购主体的采购信息均为非法转载，均为无效</w:t>
      </w:r>
      <w:r>
        <w:rPr>
          <w:rFonts w:hint="eastAsia" w:ascii="仿宋" w:hAnsi="仿宋" w:eastAsia="仿宋" w:cs="仿宋"/>
          <w:color w:val="auto"/>
          <w:highlight w:val="none"/>
        </w:rPr>
        <w:t>。对于非法转载、篡改采购公告信息的组织或个人，采购人保留追究其法律责任的权利。</w:t>
      </w:r>
    </w:p>
    <w:p>
      <w:pPr>
        <w:pStyle w:val="4"/>
        <w:jc w:val="left"/>
        <w:rPr>
          <w:rFonts w:ascii="仿宋" w:hAnsi="仿宋" w:eastAsia="仿宋" w:cs="仿宋"/>
          <w:color w:val="auto"/>
          <w:sz w:val="24"/>
          <w:szCs w:val="24"/>
          <w:highlight w:val="none"/>
        </w:rPr>
      </w:pPr>
      <w:bookmarkStart w:id="12" w:name="_Toc2894"/>
      <w:bookmarkStart w:id="13" w:name="_Toc30596"/>
      <w:r>
        <w:rPr>
          <w:rFonts w:hint="eastAsia" w:ascii="仿宋" w:hAnsi="仿宋" w:eastAsia="仿宋" w:cs="仿宋"/>
          <w:color w:val="auto"/>
          <w:sz w:val="24"/>
          <w:szCs w:val="24"/>
          <w:highlight w:val="none"/>
        </w:rPr>
        <w:t>六、联系方式</w:t>
      </w:r>
      <w:bookmarkEnd w:id="12"/>
      <w:bookmarkEnd w:id="13"/>
    </w:p>
    <w:p>
      <w:pPr>
        <w:tabs>
          <w:tab w:val="left" w:pos="-105"/>
          <w:tab w:val="left" w:pos="420"/>
          <w:tab w:val="left" w:pos="630"/>
          <w:tab w:val="left" w:pos="1155"/>
          <w:tab w:val="left" w:pos="1890"/>
          <w:tab w:val="left" w:pos="3150"/>
          <w:tab w:val="left" w:pos="3780"/>
        </w:tabs>
        <w:spacing w:line="360" w:lineRule="auto"/>
        <w:ind w:firstLine="422" w:firstLineChars="175"/>
        <w:rPr>
          <w:rFonts w:ascii="仿宋" w:hAnsi="仿宋" w:eastAsia="仿宋" w:cs="仿宋"/>
          <w:b/>
          <w:bCs/>
          <w:color w:val="auto"/>
          <w:highlight w:val="none"/>
        </w:rPr>
      </w:pPr>
      <w:r>
        <w:rPr>
          <w:rFonts w:hint="eastAsia" w:ascii="仿宋" w:hAnsi="仿宋" w:eastAsia="仿宋" w:cs="仿宋"/>
          <w:b/>
          <w:bCs/>
          <w:color w:val="auto"/>
          <w:highlight w:val="none"/>
        </w:rPr>
        <w:t>采购人：中国人民财产保险股份有限公司</w:t>
      </w:r>
      <w:r>
        <w:rPr>
          <w:rFonts w:hint="eastAsia" w:ascii="仿宋" w:hAnsi="仿宋" w:eastAsia="仿宋" w:cs="仿宋"/>
          <w:b/>
          <w:bCs/>
          <w:color w:val="auto"/>
          <w:highlight w:val="none"/>
          <w:lang w:eastAsia="zh-CN"/>
        </w:rPr>
        <w:t>泸县支公司</w:t>
      </w:r>
    </w:p>
    <w:p>
      <w:pPr>
        <w:spacing w:line="360" w:lineRule="auto"/>
        <w:ind w:firstLine="420" w:firstLineChars="175"/>
        <w:rPr>
          <w:rFonts w:hint="eastAsia" w:ascii="仿宋" w:hAnsi="仿宋" w:eastAsia="仿宋" w:cs="仿宋"/>
          <w:color w:val="auto"/>
          <w:sz w:val="24"/>
          <w:szCs w:val="24"/>
          <w:highlight w:val="none"/>
        </w:rPr>
      </w:pPr>
      <w:r>
        <w:rPr>
          <w:rFonts w:hint="eastAsia" w:ascii="仿宋" w:hAnsi="仿宋" w:eastAsia="仿宋" w:cs="宋体"/>
          <w:color w:val="auto"/>
          <w:highlight w:val="none"/>
        </w:rPr>
        <w:t>地址：</w:t>
      </w:r>
      <w:r>
        <w:rPr>
          <w:rFonts w:hint="eastAsia" w:ascii="仿宋" w:hAnsi="仿宋" w:eastAsia="仿宋" w:cs="仿宋"/>
          <w:color w:val="auto"/>
          <w:sz w:val="24"/>
          <w:szCs w:val="24"/>
          <w:highlight w:val="none"/>
          <w:lang w:eastAsia="zh-CN"/>
        </w:rPr>
        <w:t>泸县玉蟾街道玉蟾大道</w:t>
      </w:r>
      <w:r>
        <w:rPr>
          <w:rFonts w:hint="eastAsia" w:ascii="仿宋" w:hAnsi="仿宋" w:eastAsia="仿宋" w:cs="仿宋"/>
          <w:color w:val="auto"/>
          <w:sz w:val="24"/>
          <w:szCs w:val="24"/>
          <w:highlight w:val="none"/>
          <w:lang w:val="en-US" w:eastAsia="zh-CN"/>
        </w:rPr>
        <w:t>238号</w:t>
      </w:r>
      <w:r>
        <w:rPr>
          <w:rFonts w:hint="eastAsia" w:ascii="仿宋" w:hAnsi="仿宋" w:eastAsia="仿宋" w:cs="仿宋"/>
          <w:color w:val="auto"/>
          <w:sz w:val="24"/>
          <w:szCs w:val="24"/>
          <w:highlight w:val="none"/>
          <w:lang w:eastAsia="zh-CN"/>
        </w:rPr>
        <w:t>人保财险</w:t>
      </w:r>
      <w:r>
        <w:rPr>
          <w:rFonts w:hint="eastAsia" w:ascii="仿宋" w:hAnsi="仿宋" w:eastAsia="仿宋" w:cs="宋体"/>
          <w:color w:val="auto"/>
          <w:sz w:val="24"/>
          <w:szCs w:val="24"/>
          <w:highlight w:val="none"/>
          <w:lang w:eastAsia="zh-CN"/>
        </w:rPr>
        <w:t>泸县支公司</w:t>
      </w:r>
      <w:r>
        <w:rPr>
          <w:rFonts w:hint="eastAsia" w:ascii="仿宋" w:hAnsi="仿宋" w:eastAsia="仿宋" w:cs="宋体"/>
          <w:color w:val="auto"/>
          <w:sz w:val="24"/>
          <w:szCs w:val="24"/>
          <w:highlight w:val="none"/>
          <w:lang w:val="en-US" w:eastAsia="zh-CN"/>
        </w:rPr>
        <w:t>综合部</w:t>
      </w:r>
    </w:p>
    <w:p>
      <w:pPr>
        <w:spacing w:line="360" w:lineRule="auto"/>
        <w:ind w:firstLine="420" w:firstLineChars="175"/>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联系人：</w:t>
      </w:r>
      <w:r>
        <w:rPr>
          <w:rFonts w:hint="eastAsia" w:ascii="仿宋" w:hAnsi="仿宋" w:eastAsia="仿宋" w:cs="仿宋"/>
          <w:color w:val="auto"/>
          <w:sz w:val="24"/>
          <w:szCs w:val="24"/>
          <w:highlight w:val="none"/>
          <w:lang w:eastAsia="zh-CN"/>
        </w:rPr>
        <w:t>聂秀</w:t>
      </w:r>
    </w:p>
    <w:p>
      <w:pPr>
        <w:spacing w:line="360" w:lineRule="auto"/>
        <w:ind w:firstLine="420" w:firstLineChars="175"/>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电话：0830-</w:t>
      </w:r>
      <w:r>
        <w:rPr>
          <w:rFonts w:hint="eastAsia" w:ascii="仿宋" w:hAnsi="仿宋" w:eastAsia="仿宋" w:cs="仿宋"/>
          <w:color w:val="auto"/>
          <w:sz w:val="24"/>
          <w:szCs w:val="24"/>
          <w:highlight w:val="none"/>
          <w:lang w:val="en-US" w:eastAsia="zh-CN"/>
        </w:rPr>
        <w:t>8182390</w:t>
      </w:r>
      <w:r>
        <w:rPr>
          <w:rFonts w:hint="eastAsia" w:ascii="仿宋" w:hAnsi="仿宋" w:eastAsia="仿宋" w:cs="仿宋"/>
          <w:color w:val="auto"/>
          <w:sz w:val="24"/>
          <w:szCs w:val="24"/>
          <w:highlight w:val="none"/>
        </w:rPr>
        <w:t xml:space="preserve">   </w:t>
      </w:r>
      <w:r>
        <w:rPr>
          <w:rFonts w:hint="eastAsia" w:ascii="仿宋" w:hAnsi="仿宋" w:eastAsia="仿宋" w:cs="仿宋"/>
          <w:color w:val="auto"/>
          <w:sz w:val="24"/>
          <w:szCs w:val="24"/>
          <w:highlight w:val="none"/>
          <w:lang w:val="en-US" w:eastAsia="zh-CN"/>
        </w:rPr>
        <w:t>15283052107</w:t>
      </w:r>
    </w:p>
    <w:p>
      <w:pPr>
        <w:spacing w:line="360" w:lineRule="auto"/>
        <w:ind w:firstLine="420" w:firstLineChars="175"/>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电子邮件：niexiu@sic.picc.com.cn</w:t>
      </w:r>
    </w:p>
    <w:p>
      <w:pPr>
        <w:spacing w:line="360" w:lineRule="auto"/>
        <w:ind w:firstLine="480" w:firstLineChars="200"/>
        <w:jc w:val="right"/>
        <w:textAlignment w:val="baseline"/>
        <w:rPr>
          <w:rFonts w:ascii="仿宋" w:hAnsi="仿宋" w:eastAsia="仿宋" w:cs="宋体"/>
          <w:color w:val="auto"/>
          <w:highlight w:val="none"/>
        </w:rPr>
      </w:pPr>
    </w:p>
    <w:p>
      <w:pPr>
        <w:spacing w:line="360" w:lineRule="auto"/>
        <w:ind w:firstLine="480" w:firstLineChars="200"/>
        <w:jc w:val="right"/>
        <w:textAlignment w:val="baseline"/>
        <w:rPr>
          <w:rFonts w:hint="eastAsia" w:ascii="仿宋" w:hAnsi="仿宋" w:eastAsia="仿宋" w:cs="宋体"/>
          <w:color w:val="auto"/>
          <w:sz w:val="24"/>
          <w:szCs w:val="24"/>
          <w:highlight w:val="none"/>
          <w:lang w:eastAsia="zh-CN"/>
        </w:rPr>
      </w:pPr>
      <w:r>
        <w:rPr>
          <w:rFonts w:hint="eastAsia" w:ascii="仿宋" w:hAnsi="仿宋" w:eastAsia="仿宋" w:cs="宋体"/>
          <w:color w:val="auto"/>
          <w:highlight w:val="none"/>
        </w:rPr>
        <w:t>采购人：</w:t>
      </w:r>
      <w:r>
        <w:rPr>
          <w:rFonts w:hint="eastAsia" w:ascii="仿宋" w:hAnsi="仿宋" w:eastAsia="仿宋" w:cs="仿宋"/>
          <w:b/>
          <w:bCs/>
          <w:color w:val="auto"/>
          <w:sz w:val="24"/>
          <w:szCs w:val="24"/>
          <w:highlight w:val="none"/>
        </w:rPr>
        <w:t>中国人民财产保险股份有限公司</w:t>
      </w:r>
      <w:r>
        <w:rPr>
          <w:rFonts w:hint="eastAsia" w:ascii="仿宋" w:hAnsi="仿宋" w:eastAsia="仿宋" w:cs="仿宋"/>
          <w:b/>
          <w:bCs/>
          <w:color w:val="auto"/>
          <w:sz w:val="24"/>
          <w:szCs w:val="24"/>
          <w:highlight w:val="none"/>
          <w:lang w:eastAsia="zh-CN"/>
        </w:rPr>
        <w:t>泸县支公司</w:t>
      </w:r>
    </w:p>
    <w:p>
      <w:pPr>
        <w:spacing w:line="360" w:lineRule="auto"/>
        <w:jc w:val="right"/>
        <w:rPr>
          <w:rFonts w:ascii="楷体" w:hAnsi="楷体" w:eastAsia="楷体" w:cs="仿宋_GB2312"/>
          <w:i/>
          <w:color w:val="auto"/>
          <w:sz w:val="24"/>
          <w:szCs w:val="24"/>
          <w:highlight w:val="none"/>
        </w:rPr>
      </w:pPr>
      <w:r>
        <w:rPr>
          <w:rFonts w:hint="eastAsia" w:ascii="仿宋" w:hAnsi="仿宋" w:eastAsia="仿宋" w:cs="宋体"/>
          <w:color w:val="auto"/>
          <w:sz w:val="24"/>
          <w:szCs w:val="24"/>
          <w:highlight w:val="none"/>
        </w:rPr>
        <w:t>202</w:t>
      </w:r>
      <w:r>
        <w:rPr>
          <w:rFonts w:hint="eastAsia" w:ascii="仿宋" w:hAnsi="仿宋" w:eastAsia="仿宋" w:cs="宋体"/>
          <w:color w:val="auto"/>
          <w:sz w:val="24"/>
          <w:szCs w:val="24"/>
          <w:highlight w:val="none"/>
          <w:lang w:val="en-US" w:eastAsia="zh-CN"/>
        </w:rPr>
        <w:t>6</w:t>
      </w:r>
      <w:r>
        <w:rPr>
          <w:rFonts w:hint="eastAsia" w:ascii="仿宋" w:hAnsi="仿宋" w:eastAsia="仿宋" w:cs="宋体"/>
          <w:color w:val="auto"/>
          <w:sz w:val="24"/>
          <w:szCs w:val="24"/>
          <w:highlight w:val="none"/>
        </w:rPr>
        <w:t>年</w:t>
      </w:r>
      <w:r>
        <w:rPr>
          <w:rFonts w:hint="eastAsia" w:ascii="仿宋" w:hAnsi="仿宋" w:eastAsia="仿宋" w:cs="宋体"/>
          <w:color w:val="auto"/>
          <w:sz w:val="24"/>
          <w:szCs w:val="24"/>
          <w:highlight w:val="none"/>
          <w:lang w:val="en-US" w:eastAsia="zh-CN"/>
        </w:rPr>
        <w:t>2</w:t>
      </w:r>
      <w:r>
        <w:rPr>
          <w:rFonts w:hint="eastAsia" w:ascii="仿宋" w:hAnsi="仿宋" w:eastAsia="仿宋" w:cs="宋体"/>
          <w:color w:val="auto"/>
          <w:sz w:val="24"/>
          <w:szCs w:val="24"/>
          <w:highlight w:val="none"/>
        </w:rPr>
        <w:t>月</w:t>
      </w:r>
      <w:r>
        <w:rPr>
          <w:rFonts w:hint="eastAsia" w:ascii="仿宋" w:hAnsi="仿宋" w:eastAsia="仿宋" w:cs="宋体"/>
          <w:color w:val="auto"/>
          <w:sz w:val="24"/>
          <w:szCs w:val="24"/>
          <w:highlight w:val="none"/>
          <w:lang w:val="en-US" w:eastAsia="zh-CN"/>
        </w:rPr>
        <w:t>14</w:t>
      </w:r>
      <w:r>
        <w:rPr>
          <w:rFonts w:hint="eastAsia" w:ascii="仿宋" w:hAnsi="仿宋" w:eastAsia="仿宋" w:cs="宋体"/>
          <w:color w:val="auto"/>
          <w:sz w:val="24"/>
          <w:szCs w:val="24"/>
          <w:highlight w:val="none"/>
        </w:rPr>
        <w:t>日</w:t>
      </w:r>
    </w:p>
    <w:p>
      <w:pPr>
        <w:spacing w:line="360" w:lineRule="auto"/>
        <w:jc w:val="right"/>
        <w:rPr>
          <w:rFonts w:ascii="楷体" w:hAnsi="楷体" w:eastAsia="楷体" w:cs="仿宋_GB2312"/>
          <w:i/>
          <w:color w:val="auto"/>
          <w:szCs w:val="32"/>
          <w:highlight w:val="none"/>
        </w:rPr>
      </w:pPr>
    </w:p>
    <w:p>
      <w:pPr>
        <w:pStyle w:val="3"/>
        <w:ind w:left="0" w:firstLine="0"/>
        <w:rPr>
          <w:rFonts w:ascii="仿宋_GB2312" w:hAnsi="宋体" w:eastAsia="仿宋_GB2312"/>
          <w:color w:val="auto"/>
          <w:sz w:val="28"/>
          <w:szCs w:val="28"/>
          <w:highlight w:val="none"/>
        </w:rPr>
      </w:pPr>
      <w:r>
        <w:rPr>
          <w:rFonts w:hint="eastAsia" w:ascii="仿宋_GB2312" w:hAnsi="宋体" w:eastAsia="仿宋_GB2312"/>
          <w:color w:val="auto"/>
          <w:highlight w:val="none"/>
        </w:rPr>
        <w:br w:type="page"/>
      </w:r>
      <w:bookmarkStart w:id="14" w:name="_Toc19422"/>
      <w:bookmarkStart w:id="15" w:name="_Toc16027"/>
      <w:r>
        <w:rPr>
          <w:rFonts w:hint="eastAsia" w:ascii="仿宋_GB2312" w:hAnsi="宋体" w:eastAsia="仿宋_GB2312"/>
          <w:color w:val="auto"/>
          <w:sz w:val="28"/>
          <w:szCs w:val="28"/>
          <w:highlight w:val="none"/>
        </w:rPr>
        <w:t>第二章 供应商须知</w:t>
      </w:r>
      <w:bookmarkEnd w:id="14"/>
      <w:bookmarkEnd w:id="15"/>
    </w:p>
    <w:p>
      <w:pPr>
        <w:pStyle w:val="4"/>
        <w:adjustRightInd w:val="0"/>
        <w:snapToGrid w:val="0"/>
        <w:spacing w:before="0" w:after="0"/>
        <w:rPr>
          <w:color w:val="auto"/>
          <w:sz w:val="24"/>
          <w:szCs w:val="24"/>
          <w:highlight w:val="none"/>
        </w:rPr>
      </w:pPr>
      <w:bookmarkStart w:id="16" w:name="_Toc10537"/>
      <w:r>
        <w:rPr>
          <w:rFonts w:hint="eastAsia" w:ascii="仿宋" w:hAnsi="仿宋" w:eastAsia="仿宋" w:cs="仿宋"/>
          <w:color w:val="auto"/>
          <w:sz w:val="24"/>
          <w:szCs w:val="24"/>
          <w:highlight w:val="none"/>
        </w:rPr>
        <w:t>一、供应商须知前附表</w:t>
      </w:r>
      <w:bookmarkEnd w:id="16"/>
    </w:p>
    <w:tbl>
      <w:tblPr>
        <w:tblStyle w:val="29"/>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2"/>
        <w:gridCol w:w="1841"/>
        <w:gridCol w:w="7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vAlign w:val="center"/>
          </w:tcPr>
          <w:p>
            <w:pPr>
              <w:spacing w:line="400" w:lineRule="exact"/>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序号</w:t>
            </w:r>
          </w:p>
        </w:tc>
        <w:tc>
          <w:tcPr>
            <w:tcW w:w="1841" w:type="dxa"/>
            <w:vAlign w:val="center"/>
          </w:tcPr>
          <w:p>
            <w:pPr>
              <w:spacing w:line="400" w:lineRule="exact"/>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项  目</w:t>
            </w:r>
          </w:p>
        </w:tc>
        <w:tc>
          <w:tcPr>
            <w:tcW w:w="7199" w:type="dxa"/>
            <w:vAlign w:val="center"/>
          </w:tcPr>
          <w:p>
            <w:pPr>
              <w:spacing w:line="400" w:lineRule="exact"/>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vAlign w:val="center"/>
          </w:tcPr>
          <w:p>
            <w:pPr>
              <w:spacing w:line="400" w:lineRule="exact"/>
              <w:jc w:val="center"/>
              <w:rPr>
                <w:rFonts w:ascii="仿宋_GB2312" w:hAnsi="宋体" w:eastAsia="仿宋_GB2312"/>
                <w:color w:val="auto"/>
                <w:szCs w:val="21"/>
                <w:highlight w:val="none"/>
              </w:rPr>
            </w:pPr>
            <w:r>
              <w:rPr>
                <w:rFonts w:ascii="仿宋_GB2312" w:hAnsi="宋体" w:eastAsia="仿宋_GB2312"/>
                <w:color w:val="auto"/>
                <w:szCs w:val="21"/>
                <w:highlight w:val="none"/>
              </w:rPr>
              <w:t>2.1.1</w:t>
            </w:r>
          </w:p>
        </w:tc>
        <w:tc>
          <w:tcPr>
            <w:tcW w:w="1841" w:type="dxa"/>
            <w:vAlign w:val="center"/>
          </w:tcPr>
          <w:p>
            <w:pPr>
              <w:spacing w:line="400" w:lineRule="exact"/>
              <w:jc w:val="center"/>
              <w:rPr>
                <w:rFonts w:ascii="仿宋_GB2312" w:hAnsi="宋体" w:eastAsia="仿宋_GB2312"/>
                <w:color w:val="auto"/>
                <w:szCs w:val="21"/>
                <w:highlight w:val="none"/>
              </w:rPr>
            </w:pPr>
            <w:r>
              <w:rPr>
                <w:rFonts w:hint="eastAsia" w:ascii="仿宋" w:hAnsi="仿宋" w:eastAsia="仿宋" w:cs="仿宋"/>
                <w:color w:val="auto"/>
                <w:szCs w:val="21"/>
                <w:highlight w:val="none"/>
              </w:rPr>
              <w:t>采购范围</w:t>
            </w:r>
          </w:p>
        </w:tc>
        <w:tc>
          <w:tcPr>
            <w:tcW w:w="7199" w:type="dxa"/>
            <w:vAlign w:val="center"/>
          </w:tcPr>
          <w:p>
            <w:pPr>
              <w:spacing w:line="400" w:lineRule="exact"/>
              <w:rPr>
                <w:rFonts w:ascii="仿宋_GB2312" w:hAnsi="宋体" w:eastAsia="仿宋_GB2312"/>
                <w:color w:val="auto"/>
                <w:szCs w:val="21"/>
                <w:highlight w:val="none"/>
              </w:rPr>
            </w:pPr>
            <w:r>
              <w:rPr>
                <w:rFonts w:hint="eastAsia" w:ascii="仿宋" w:hAnsi="仿宋" w:eastAsia="仿宋" w:cs="仿宋"/>
                <w:color w:val="auto"/>
                <w:highlight w:val="none"/>
              </w:rPr>
              <w:t>详见</w:t>
            </w:r>
            <w:r>
              <w:rPr>
                <w:rFonts w:hint="eastAsia" w:ascii="仿宋" w:hAnsi="仿宋" w:eastAsia="仿宋" w:cs="仿宋"/>
                <w:color w:val="auto"/>
                <w:highlight w:val="none"/>
                <w:u w:val="single"/>
              </w:rPr>
              <w:t>第一章 比选邀请“一、项目概况与采购范围”</w:t>
            </w:r>
            <w:r>
              <w:rPr>
                <w:rFonts w:hint="eastAsia" w:ascii="仿宋" w:hAnsi="仿宋" w:eastAsia="仿宋" w:cs="仿宋"/>
                <w:color w:val="auto"/>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vAlign w:val="center"/>
          </w:tcPr>
          <w:p>
            <w:pPr>
              <w:spacing w:line="400" w:lineRule="exact"/>
              <w:jc w:val="center"/>
              <w:rPr>
                <w:rFonts w:ascii="仿宋_GB2312" w:hAnsi="宋体" w:eastAsia="仿宋_GB2312"/>
                <w:color w:val="auto"/>
                <w:szCs w:val="21"/>
                <w:highlight w:val="none"/>
              </w:rPr>
            </w:pPr>
            <w:r>
              <w:rPr>
                <w:rFonts w:ascii="仿宋_GB2312" w:hAnsi="宋体" w:eastAsia="仿宋_GB2312"/>
                <w:color w:val="auto"/>
                <w:szCs w:val="21"/>
                <w:highlight w:val="none"/>
              </w:rPr>
              <w:t>2.1.2</w:t>
            </w:r>
          </w:p>
        </w:tc>
        <w:tc>
          <w:tcPr>
            <w:tcW w:w="1841" w:type="dxa"/>
            <w:vAlign w:val="center"/>
          </w:tcPr>
          <w:p>
            <w:pPr>
              <w:spacing w:line="400" w:lineRule="exact"/>
              <w:jc w:val="center"/>
              <w:rPr>
                <w:rFonts w:ascii="仿宋" w:hAnsi="仿宋" w:eastAsia="仿宋" w:cs="仿宋"/>
                <w:color w:val="auto"/>
                <w:szCs w:val="21"/>
                <w:highlight w:val="none"/>
              </w:rPr>
            </w:pPr>
            <w:r>
              <w:rPr>
                <w:rFonts w:hint="eastAsia" w:ascii="仿宋" w:hAnsi="仿宋" w:eastAsia="仿宋" w:cs="仿宋"/>
                <w:color w:val="auto"/>
                <w:szCs w:val="21"/>
                <w:highlight w:val="none"/>
              </w:rPr>
              <w:t>资格审查方式及供应商应具备的资格条件</w:t>
            </w:r>
          </w:p>
        </w:tc>
        <w:tc>
          <w:tcPr>
            <w:tcW w:w="7199" w:type="dxa"/>
            <w:vAlign w:val="center"/>
          </w:tcPr>
          <w:p>
            <w:pPr>
              <w:spacing w:line="400" w:lineRule="exact"/>
              <w:rPr>
                <w:rFonts w:ascii="仿宋" w:hAnsi="仿宋" w:eastAsia="仿宋" w:cs="仿宋"/>
                <w:color w:val="auto"/>
                <w:highlight w:val="none"/>
              </w:rPr>
            </w:pPr>
            <w:r>
              <w:rPr>
                <w:rFonts w:hint="eastAsia" w:ascii="仿宋" w:hAnsi="仿宋" w:eastAsia="仿宋" w:cs="宋体"/>
                <w:color w:val="auto"/>
                <w:highlight w:val="none"/>
              </w:rPr>
              <w:t>资格后审，</w:t>
            </w:r>
            <w:r>
              <w:rPr>
                <w:rFonts w:hint="eastAsia" w:ascii="仿宋" w:hAnsi="仿宋" w:eastAsia="仿宋" w:cs="仿宋"/>
                <w:color w:val="auto"/>
                <w:highlight w:val="none"/>
              </w:rPr>
              <w:t>详见</w:t>
            </w:r>
            <w:r>
              <w:rPr>
                <w:rFonts w:hint="eastAsia" w:ascii="仿宋" w:hAnsi="仿宋" w:eastAsia="仿宋" w:cs="仿宋"/>
                <w:color w:val="auto"/>
                <w:highlight w:val="none"/>
                <w:u w:val="single"/>
              </w:rPr>
              <w:t>“二、供应商资格要求”</w:t>
            </w:r>
            <w:r>
              <w:rPr>
                <w:rFonts w:hint="eastAsia" w:ascii="仿宋" w:hAnsi="仿宋" w:eastAsia="仿宋" w:cs="仿宋"/>
                <w:color w:val="auto"/>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vAlign w:val="center"/>
          </w:tcPr>
          <w:p>
            <w:pPr>
              <w:spacing w:line="400" w:lineRule="exact"/>
              <w:jc w:val="center"/>
              <w:rPr>
                <w:rFonts w:ascii="仿宋_GB2312" w:hAnsi="宋体" w:eastAsia="仿宋_GB2312"/>
                <w:color w:val="auto"/>
                <w:szCs w:val="21"/>
                <w:highlight w:val="none"/>
              </w:rPr>
            </w:pPr>
            <w:r>
              <w:rPr>
                <w:rFonts w:ascii="仿宋_GB2312" w:hAnsi="宋体" w:eastAsia="仿宋_GB2312"/>
                <w:color w:val="auto"/>
                <w:szCs w:val="21"/>
                <w:highlight w:val="none"/>
              </w:rPr>
              <w:t>2.1.3</w:t>
            </w:r>
          </w:p>
        </w:tc>
        <w:tc>
          <w:tcPr>
            <w:tcW w:w="1841" w:type="dxa"/>
            <w:vAlign w:val="center"/>
          </w:tcPr>
          <w:p>
            <w:pPr>
              <w:spacing w:line="400" w:lineRule="exact"/>
              <w:jc w:val="center"/>
              <w:rPr>
                <w:rFonts w:ascii="仿宋" w:hAnsi="仿宋" w:eastAsia="仿宋" w:cs="仿宋"/>
                <w:color w:val="auto"/>
                <w:szCs w:val="21"/>
                <w:highlight w:val="none"/>
              </w:rPr>
            </w:pPr>
            <w:r>
              <w:rPr>
                <w:rFonts w:hint="eastAsia" w:ascii="仿宋" w:hAnsi="仿宋" w:eastAsia="仿宋" w:cs="仿宋"/>
                <w:color w:val="auto"/>
                <w:szCs w:val="21"/>
                <w:highlight w:val="none"/>
              </w:rPr>
              <w:t>★比选文件实质性要求的标识</w:t>
            </w:r>
          </w:p>
        </w:tc>
        <w:tc>
          <w:tcPr>
            <w:tcW w:w="7199" w:type="dxa"/>
            <w:vAlign w:val="center"/>
          </w:tcPr>
          <w:p>
            <w:pPr>
              <w:spacing w:line="400" w:lineRule="exact"/>
              <w:rPr>
                <w:rFonts w:ascii="仿宋" w:hAnsi="仿宋" w:eastAsia="仿宋" w:cs="宋体"/>
                <w:color w:val="auto"/>
                <w:highlight w:val="none"/>
              </w:rPr>
            </w:pPr>
            <w:r>
              <w:rPr>
                <w:rFonts w:hint="eastAsia" w:ascii="仿宋" w:hAnsi="仿宋" w:eastAsia="仿宋" w:cs="Cambria Math"/>
                <w:color w:val="auto"/>
                <w:sz w:val="21"/>
                <w:szCs w:val="21"/>
                <w:highlight w:val="none"/>
                <w:u w:val="single"/>
              </w:rPr>
              <w:t>比选文件中标识“★”条款、注明“比选响应将被否决”、“对其响应做否决处理”</w:t>
            </w:r>
            <w:r>
              <w:rPr>
                <w:rFonts w:hint="eastAsia" w:ascii="仿宋" w:hAnsi="仿宋" w:eastAsia="仿宋" w:cs="宋体"/>
                <w:color w:val="auto"/>
                <w:sz w:val="21"/>
                <w:szCs w:val="21"/>
                <w:highlight w:val="none"/>
                <w:u w:val="single"/>
              </w:rPr>
              <w:t>等</w:t>
            </w:r>
            <w:r>
              <w:rPr>
                <w:rFonts w:hint="eastAsia" w:ascii="仿宋" w:hAnsi="仿宋" w:eastAsia="仿宋" w:cs="Cambria Math"/>
                <w:color w:val="auto"/>
                <w:sz w:val="21"/>
                <w:szCs w:val="21"/>
                <w:highlight w:val="none"/>
                <w:u w:val="single"/>
              </w:rPr>
              <w:t>的条款</w:t>
            </w:r>
            <w:r>
              <w:rPr>
                <w:rFonts w:hint="eastAsia" w:ascii="仿宋" w:hAnsi="仿宋" w:eastAsia="仿宋" w:cs="Cambria Math"/>
                <w:color w:val="auto"/>
                <w:sz w:val="21"/>
                <w:szCs w:val="21"/>
                <w:highlight w:val="none"/>
              </w:rPr>
              <w:t>，均为实质性条款，</w:t>
            </w:r>
            <w:r>
              <w:rPr>
                <w:rFonts w:hint="eastAsia" w:ascii="仿宋" w:hAnsi="仿宋" w:eastAsia="仿宋" w:cs="宋体"/>
                <w:b/>
                <w:color w:val="auto"/>
                <w:sz w:val="21"/>
                <w:szCs w:val="21"/>
                <w:highlight w:val="none"/>
              </w:rPr>
              <w:t>不满足任意一项</w:t>
            </w:r>
            <w:r>
              <w:rPr>
                <w:rFonts w:hint="eastAsia" w:ascii="仿宋" w:hAnsi="仿宋" w:eastAsia="仿宋" w:cs="Cambria Math"/>
                <w:b/>
                <w:color w:val="auto"/>
                <w:sz w:val="21"/>
                <w:szCs w:val="21"/>
                <w:highlight w:val="none"/>
              </w:rPr>
              <w:t>实质性条款的响应将被否决。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1" w:hRule="exact"/>
          <w:jc w:val="center"/>
        </w:trPr>
        <w:tc>
          <w:tcPr>
            <w:tcW w:w="1142" w:type="dxa"/>
            <w:vAlign w:val="center"/>
          </w:tcPr>
          <w:p>
            <w:pPr>
              <w:spacing w:line="400" w:lineRule="exact"/>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2</w:t>
            </w:r>
            <w:r>
              <w:rPr>
                <w:rFonts w:ascii="仿宋_GB2312" w:hAnsi="宋体" w:eastAsia="仿宋_GB2312"/>
                <w:color w:val="auto"/>
                <w:szCs w:val="21"/>
                <w:highlight w:val="none"/>
              </w:rPr>
              <w:t>.1.4</w:t>
            </w:r>
          </w:p>
        </w:tc>
        <w:tc>
          <w:tcPr>
            <w:tcW w:w="1841" w:type="dxa"/>
            <w:vAlign w:val="center"/>
          </w:tcPr>
          <w:p>
            <w:pPr>
              <w:spacing w:line="400" w:lineRule="exact"/>
              <w:jc w:val="center"/>
              <w:rPr>
                <w:rFonts w:ascii="仿宋" w:hAnsi="仿宋" w:eastAsia="仿宋" w:cs="仿宋"/>
                <w:color w:val="auto"/>
                <w:szCs w:val="21"/>
                <w:highlight w:val="none"/>
              </w:rPr>
            </w:pPr>
            <w:r>
              <w:rPr>
                <w:rFonts w:hint="eastAsia" w:ascii="仿宋" w:hAnsi="仿宋" w:eastAsia="仿宋" w:cs="仿宋"/>
                <w:color w:val="auto"/>
                <w:szCs w:val="21"/>
                <w:highlight w:val="none"/>
              </w:rPr>
              <w:t>响应文件的组成</w:t>
            </w:r>
          </w:p>
        </w:tc>
        <w:tc>
          <w:tcPr>
            <w:tcW w:w="7199" w:type="dxa"/>
            <w:vAlign w:val="center"/>
          </w:tcPr>
          <w:p>
            <w:pPr>
              <w:pStyle w:val="66"/>
              <w:spacing w:before="62" w:beforeLines="20" w:after="62" w:afterLines="20"/>
              <w:rPr>
                <w:rFonts w:ascii="仿宋" w:hAnsi="仿宋" w:eastAsia="仿宋" w:cs="仿宋"/>
                <w:b/>
                <w:color w:val="auto"/>
                <w:sz w:val="21"/>
                <w:szCs w:val="21"/>
                <w:highlight w:val="none"/>
              </w:rPr>
            </w:pPr>
            <w:r>
              <w:rPr>
                <w:rFonts w:hint="eastAsia" w:ascii="仿宋" w:hAnsi="仿宋" w:eastAsia="仿宋" w:cs="仿宋"/>
                <w:b/>
                <w:color w:val="auto"/>
                <w:sz w:val="21"/>
                <w:szCs w:val="21"/>
                <w:highlight w:val="none"/>
              </w:rPr>
              <w:t>响应文件按照以下架构顺序编制：</w:t>
            </w:r>
          </w:p>
          <w:p>
            <w:pPr>
              <w:pStyle w:val="61"/>
              <w:spacing w:before="62" w:beforeLines="20" w:after="62" w:afterLines="20"/>
              <w:rPr>
                <w:rFonts w:ascii="仿宋" w:hAnsi="仿宋" w:eastAsia="仿宋" w:cs="仿宋"/>
                <w:b/>
                <w:color w:val="auto"/>
                <w:highlight w:val="none"/>
              </w:rPr>
            </w:pPr>
            <w:r>
              <w:rPr>
                <w:rFonts w:hint="eastAsia" w:ascii="仿宋" w:hAnsi="仿宋" w:eastAsia="仿宋" w:cs="仿宋"/>
                <w:b/>
                <w:color w:val="auto"/>
                <w:highlight w:val="none"/>
              </w:rPr>
              <w:t>一、</w:t>
            </w:r>
            <w:r>
              <w:rPr>
                <w:rFonts w:hint="eastAsia" w:ascii="仿宋" w:hAnsi="仿宋" w:eastAsia="仿宋" w:cs="仿宋"/>
                <w:b/>
                <w:color w:val="auto"/>
                <w:sz w:val="24"/>
                <w:highlight w:val="none"/>
              </w:rPr>
              <w:t>商务文件</w:t>
            </w:r>
          </w:p>
          <w:p>
            <w:pPr>
              <w:autoSpaceDE w:val="0"/>
              <w:autoSpaceDN w:val="0"/>
              <w:rPr>
                <w:rFonts w:ascii="仿宋" w:hAnsi="仿宋" w:eastAsia="仿宋" w:cs="仿宋"/>
                <w:b/>
                <w:color w:val="auto"/>
                <w:szCs w:val="21"/>
                <w:highlight w:val="none"/>
              </w:rPr>
            </w:pPr>
            <w:r>
              <w:rPr>
                <w:rFonts w:hint="eastAsia" w:ascii="仿宋" w:hAnsi="仿宋" w:eastAsia="仿宋" w:cs="仿宋"/>
                <w:b/>
                <w:color w:val="auto"/>
                <w:szCs w:val="21"/>
                <w:highlight w:val="none"/>
              </w:rPr>
              <w:t>初步评审索引表</w:t>
            </w:r>
          </w:p>
          <w:p>
            <w:pPr>
              <w:autoSpaceDE w:val="0"/>
              <w:autoSpaceDN w:val="0"/>
              <w:rPr>
                <w:color w:val="auto"/>
                <w:highlight w:val="none"/>
              </w:rPr>
            </w:pPr>
            <w:r>
              <w:rPr>
                <w:rFonts w:hint="eastAsia" w:ascii="仿宋" w:hAnsi="仿宋" w:eastAsia="仿宋" w:cs="仿宋"/>
                <w:b/>
                <w:color w:val="auto"/>
                <w:szCs w:val="21"/>
                <w:highlight w:val="none"/>
              </w:rPr>
              <w:t>详细评审索引表</w:t>
            </w:r>
          </w:p>
          <w:p>
            <w:pPr>
              <w:pStyle w:val="61"/>
              <w:spacing w:before="62" w:beforeLines="20" w:after="62" w:afterLines="20"/>
              <w:rPr>
                <w:rFonts w:ascii="仿宋" w:hAnsi="仿宋" w:eastAsia="仿宋" w:cs="仿宋"/>
                <w:color w:val="auto"/>
                <w:highlight w:val="none"/>
              </w:rPr>
            </w:pPr>
            <w:r>
              <w:rPr>
                <w:rFonts w:hint="eastAsia" w:ascii="仿宋" w:hAnsi="仿宋" w:eastAsia="仿宋" w:cs="仿宋"/>
                <w:color w:val="auto"/>
                <w:highlight w:val="none"/>
              </w:rPr>
              <w:t>（一）响应函</w:t>
            </w:r>
          </w:p>
          <w:p>
            <w:pPr>
              <w:pStyle w:val="66"/>
              <w:spacing w:before="62" w:beforeLines="20" w:after="62" w:afterLines="20"/>
              <w:rPr>
                <w:rFonts w:ascii="仿宋" w:hAnsi="仿宋" w:eastAsia="仿宋" w:cs="宋体"/>
                <w:color w:val="auto"/>
                <w:sz w:val="21"/>
                <w:szCs w:val="21"/>
                <w:highlight w:val="none"/>
              </w:rPr>
            </w:pPr>
            <w:r>
              <w:rPr>
                <w:rFonts w:hint="eastAsia" w:ascii="仿宋" w:hAnsi="仿宋" w:eastAsia="仿宋" w:cs="宋体"/>
                <w:color w:val="auto"/>
                <w:sz w:val="21"/>
                <w:szCs w:val="21"/>
                <w:highlight w:val="none"/>
              </w:rPr>
              <w:t>（二）法定代表人（负责人）身份证明</w:t>
            </w:r>
          </w:p>
          <w:p>
            <w:pPr>
              <w:pStyle w:val="66"/>
              <w:spacing w:before="62" w:beforeLines="20" w:after="62" w:afterLines="20"/>
              <w:rPr>
                <w:rFonts w:ascii="仿宋" w:hAnsi="仿宋" w:eastAsia="仿宋" w:cs="宋体"/>
                <w:color w:val="auto"/>
                <w:sz w:val="21"/>
                <w:szCs w:val="21"/>
                <w:highlight w:val="none"/>
              </w:rPr>
            </w:pPr>
            <w:r>
              <w:rPr>
                <w:rFonts w:hint="eastAsia" w:ascii="仿宋" w:hAnsi="仿宋" w:eastAsia="仿宋" w:cs="宋体"/>
                <w:color w:val="auto"/>
                <w:sz w:val="21"/>
                <w:szCs w:val="21"/>
                <w:highlight w:val="none"/>
              </w:rPr>
              <w:t>（三）法定代表人（负责人）授权委托书</w:t>
            </w:r>
          </w:p>
          <w:p>
            <w:pPr>
              <w:pStyle w:val="61"/>
              <w:spacing w:before="62" w:beforeLines="20" w:after="62" w:afterLines="20"/>
              <w:rPr>
                <w:rFonts w:ascii="仿宋" w:hAnsi="仿宋" w:eastAsia="仿宋" w:cs="仿宋"/>
                <w:color w:val="auto"/>
                <w:highlight w:val="none"/>
              </w:rPr>
            </w:pPr>
            <w:r>
              <w:rPr>
                <w:rFonts w:hint="eastAsia" w:ascii="仿宋" w:hAnsi="仿宋" w:eastAsia="仿宋" w:cs="仿宋"/>
                <w:color w:val="auto"/>
                <w:highlight w:val="none"/>
              </w:rPr>
              <w:t>（四）资格证明文件</w:t>
            </w:r>
          </w:p>
          <w:p>
            <w:pPr>
              <w:pStyle w:val="66"/>
              <w:spacing w:before="62" w:beforeLines="20" w:after="62" w:afterLines="20"/>
              <w:rPr>
                <w:rFonts w:ascii="仿宋" w:hAnsi="仿宋" w:eastAsia="仿宋" w:cs="仿宋"/>
                <w:color w:val="auto"/>
                <w:highlight w:val="none"/>
              </w:rPr>
            </w:pPr>
            <w:r>
              <w:rPr>
                <w:rFonts w:hint="eastAsia" w:ascii="仿宋" w:hAnsi="仿宋" w:eastAsia="仿宋" w:cs="宋体"/>
                <w:color w:val="auto"/>
                <w:sz w:val="21"/>
                <w:szCs w:val="21"/>
                <w:highlight w:val="none"/>
              </w:rPr>
              <w:t>（五）供应商须知应答偏离表</w:t>
            </w:r>
          </w:p>
          <w:p>
            <w:pPr>
              <w:pStyle w:val="61"/>
              <w:spacing w:before="62" w:beforeLines="20" w:after="62" w:afterLines="20"/>
              <w:rPr>
                <w:rFonts w:ascii="仿宋" w:hAnsi="仿宋" w:eastAsia="仿宋" w:cs="仿宋"/>
                <w:color w:val="auto"/>
                <w:highlight w:val="none"/>
              </w:rPr>
            </w:pPr>
            <w:r>
              <w:rPr>
                <w:rFonts w:hint="eastAsia" w:ascii="仿宋" w:hAnsi="仿宋" w:eastAsia="仿宋" w:cs="仿宋"/>
                <w:color w:val="auto"/>
                <w:highlight w:val="none"/>
              </w:rPr>
              <w:t>（六）合同条款应答偏离表</w:t>
            </w:r>
          </w:p>
          <w:p>
            <w:pPr>
              <w:pStyle w:val="61"/>
              <w:spacing w:before="62" w:beforeLines="20" w:after="62" w:afterLines="20"/>
              <w:rPr>
                <w:rFonts w:ascii="仿宋" w:hAnsi="仿宋" w:eastAsia="仿宋" w:cs="仿宋"/>
                <w:color w:val="auto"/>
                <w:highlight w:val="none"/>
              </w:rPr>
            </w:pPr>
            <w:r>
              <w:rPr>
                <w:rFonts w:hint="eastAsia" w:ascii="仿宋" w:hAnsi="仿宋" w:eastAsia="仿宋" w:cs="仿宋"/>
                <w:color w:val="auto"/>
                <w:highlight w:val="none"/>
              </w:rPr>
              <w:t>（七）供应商行为准则承诺书</w:t>
            </w:r>
          </w:p>
          <w:p>
            <w:pPr>
              <w:pStyle w:val="61"/>
              <w:spacing w:before="62" w:beforeLines="20" w:after="62" w:afterLines="20"/>
              <w:rPr>
                <w:rFonts w:ascii="仿宋" w:hAnsi="仿宋" w:eastAsia="仿宋" w:cs="仿宋"/>
                <w:color w:val="auto"/>
                <w:highlight w:val="none"/>
              </w:rPr>
            </w:pPr>
            <w:r>
              <w:rPr>
                <w:rFonts w:hint="eastAsia" w:ascii="仿宋" w:hAnsi="仿宋" w:eastAsia="仿宋"/>
                <w:color w:val="auto"/>
                <w:highlight w:val="none"/>
              </w:rPr>
              <w:t>（八）供应商廉洁诚信承诺书</w:t>
            </w:r>
          </w:p>
          <w:p>
            <w:pPr>
              <w:pStyle w:val="61"/>
              <w:spacing w:before="62" w:beforeLines="20" w:after="62" w:afterLines="20"/>
              <w:rPr>
                <w:rFonts w:ascii="仿宋" w:hAnsi="仿宋" w:eastAsia="仿宋" w:cs="仿宋"/>
                <w:color w:val="auto"/>
                <w:highlight w:val="none"/>
              </w:rPr>
            </w:pPr>
            <w:r>
              <w:rPr>
                <w:rFonts w:hint="eastAsia" w:ascii="仿宋" w:hAnsi="仿宋" w:eastAsia="仿宋" w:cs="仿宋"/>
                <w:color w:val="auto"/>
                <w:highlight w:val="none"/>
              </w:rPr>
              <w:t>（九）其他材料</w:t>
            </w:r>
            <w:r>
              <w:rPr>
                <w:rFonts w:hint="eastAsia" w:ascii="仿宋" w:hAnsi="仿宋" w:eastAsia="仿宋"/>
                <w:color w:val="auto"/>
                <w:highlight w:val="none"/>
              </w:rPr>
              <w:t>（如有）</w:t>
            </w:r>
          </w:p>
          <w:p>
            <w:pPr>
              <w:autoSpaceDE w:val="0"/>
              <w:autoSpaceDN w:val="0"/>
              <w:rPr>
                <w:rFonts w:ascii="仿宋" w:hAnsi="仿宋" w:eastAsia="仿宋" w:cs="仿宋"/>
                <w:b/>
                <w:color w:val="auto"/>
                <w:szCs w:val="21"/>
                <w:highlight w:val="none"/>
              </w:rPr>
            </w:pPr>
            <w:r>
              <w:rPr>
                <w:rFonts w:hint="eastAsia" w:ascii="仿宋" w:hAnsi="仿宋" w:eastAsia="仿宋" w:cs="仿宋"/>
                <w:b/>
                <w:color w:val="auto"/>
                <w:szCs w:val="21"/>
                <w:highlight w:val="none"/>
              </w:rPr>
              <w:t>二、技术文件</w:t>
            </w:r>
          </w:p>
          <w:p>
            <w:pPr>
              <w:autoSpaceDE w:val="0"/>
              <w:autoSpaceDN w:val="0"/>
              <w:rPr>
                <w:rFonts w:ascii="仿宋" w:hAnsi="仿宋" w:eastAsia="仿宋" w:cs="仿宋"/>
                <w:b/>
                <w:color w:val="auto"/>
                <w:szCs w:val="21"/>
                <w:highlight w:val="none"/>
              </w:rPr>
            </w:pPr>
            <w:r>
              <w:rPr>
                <w:rFonts w:hint="eastAsia" w:ascii="仿宋" w:hAnsi="仿宋" w:eastAsia="仿宋" w:cs="仿宋"/>
                <w:b/>
                <w:color w:val="auto"/>
                <w:szCs w:val="21"/>
                <w:highlight w:val="none"/>
              </w:rPr>
              <w:t>详细评审索引表</w:t>
            </w:r>
          </w:p>
          <w:p>
            <w:pPr>
              <w:autoSpaceDE w:val="0"/>
              <w:autoSpaceDN w:val="0"/>
              <w:rPr>
                <w:rFonts w:ascii="仿宋" w:hAnsi="仿宋" w:eastAsia="仿宋" w:cs="仿宋"/>
                <w:bCs/>
                <w:color w:val="auto"/>
                <w:szCs w:val="21"/>
                <w:highlight w:val="none"/>
              </w:rPr>
            </w:pPr>
            <w:r>
              <w:rPr>
                <w:rFonts w:hint="eastAsia" w:ascii="仿宋" w:hAnsi="仿宋" w:eastAsia="仿宋" w:cs="仿宋"/>
                <w:bCs/>
                <w:color w:val="auto"/>
                <w:szCs w:val="21"/>
                <w:highlight w:val="none"/>
              </w:rPr>
              <w:t>（一）采购需求应答偏离表</w:t>
            </w:r>
          </w:p>
          <w:p>
            <w:pPr>
              <w:pStyle w:val="61"/>
              <w:spacing w:before="62" w:beforeLines="20" w:after="62" w:afterLines="20"/>
              <w:rPr>
                <w:rFonts w:ascii="仿宋" w:hAnsi="仿宋" w:eastAsia="仿宋" w:cs="仿宋"/>
                <w:color w:val="auto"/>
                <w:highlight w:val="none"/>
              </w:rPr>
            </w:pPr>
            <w:r>
              <w:rPr>
                <w:rFonts w:hint="eastAsia" w:ascii="仿宋" w:hAnsi="仿宋" w:eastAsia="仿宋" w:cs="仿宋"/>
                <w:color w:val="auto"/>
                <w:highlight w:val="none"/>
              </w:rPr>
              <w:t>（二）技术方案</w:t>
            </w:r>
          </w:p>
          <w:p>
            <w:pPr>
              <w:pStyle w:val="61"/>
              <w:spacing w:before="62" w:beforeLines="20" w:after="62" w:afterLines="20"/>
              <w:rPr>
                <w:rFonts w:ascii="仿宋" w:hAnsi="仿宋" w:eastAsia="仿宋" w:cs="仿宋"/>
                <w:color w:val="auto"/>
                <w:highlight w:val="none"/>
              </w:rPr>
            </w:pPr>
            <w:r>
              <w:rPr>
                <w:rFonts w:hint="eastAsia" w:ascii="仿宋" w:hAnsi="仿宋" w:eastAsia="仿宋" w:cs="仿宋"/>
                <w:color w:val="auto"/>
                <w:highlight w:val="none"/>
              </w:rPr>
              <w:t>（三）其他材料</w:t>
            </w:r>
            <w:r>
              <w:rPr>
                <w:rFonts w:hint="eastAsia" w:ascii="仿宋" w:hAnsi="仿宋" w:eastAsia="仿宋"/>
                <w:color w:val="auto"/>
                <w:highlight w:val="none"/>
              </w:rPr>
              <w:t>（如有）</w:t>
            </w:r>
          </w:p>
          <w:p>
            <w:pPr>
              <w:autoSpaceDE w:val="0"/>
              <w:autoSpaceDN w:val="0"/>
              <w:rPr>
                <w:rFonts w:ascii="仿宋" w:hAnsi="仿宋" w:eastAsia="仿宋" w:cs="仿宋"/>
                <w:b/>
                <w:color w:val="auto"/>
                <w:szCs w:val="21"/>
                <w:highlight w:val="none"/>
              </w:rPr>
            </w:pPr>
            <w:r>
              <w:rPr>
                <w:rFonts w:hint="eastAsia" w:ascii="仿宋" w:hAnsi="仿宋" w:eastAsia="仿宋" w:cs="仿宋"/>
                <w:b/>
                <w:color w:val="auto"/>
                <w:szCs w:val="21"/>
                <w:highlight w:val="none"/>
              </w:rPr>
              <w:t>三、报价文件</w:t>
            </w:r>
          </w:p>
          <w:p>
            <w:pPr>
              <w:pStyle w:val="61"/>
              <w:spacing w:before="62" w:beforeLines="20" w:after="62" w:afterLines="20"/>
              <w:rPr>
                <w:rFonts w:ascii="仿宋" w:hAnsi="仿宋" w:eastAsia="仿宋" w:cs="仿宋"/>
                <w:color w:val="auto"/>
                <w:highlight w:val="none"/>
              </w:rPr>
            </w:pPr>
            <w:r>
              <w:rPr>
                <w:rFonts w:hint="eastAsia" w:ascii="仿宋" w:hAnsi="仿宋" w:eastAsia="仿宋" w:cs="仿宋"/>
                <w:color w:val="auto"/>
                <w:highlight w:val="none"/>
              </w:rPr>
              <w:t>（一）报价一览表</w:t>
            </w:r>
          </w:p>
          <w:p>
            <w:pPr>
              <w:pStyle w:val="61"/>
              <w:spacing w:before="62" w:beforeLines="20" w:after="62" w:afterLines="20"/>
              <w:rPr>
                <w:rFonts w:ascii="仿宋" w:hAnsi="仿宋" w:eastAsia="仿宋" w:cs="Cambria Math"/>
                <w:color w:val="auto"/>
                <w:highlight w:val="none"/>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exact"/>
          <w:jc w:val="center"/>
        </w:trPr>
        <w:tc>
          <w:tcPr>
            <w:tcW w:w="1142" w:type="dxa"/>
            <w:vAlign w:val="center"/>
          </w:tcPr>
          <w:p>
            <w:pPr>
              <w:spacing w:line="400" w:lineRule="exact"/>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2</w:t>
            </w:r>
            <w:r>
              <w:rPr>
                <w:rFonts w:ascii="仿宋_GB2312" w:hAnsi="宋体" w:eastAsia="仿宋_GB2312"/>
                <w:color w:val="auto"/>
                <w:szCs w:val="21"/>
                <w:highlight w:val="none"/>
              </w:rPr>
              <w:t>.1.5</w:t>
            </w:r>
          </w:p>
        </w:tc>
        <w:tc>
          <w:tcPr>
            <w:tcW w:w="1841" w:type="dxa"/>
            <w:vAlign w:val="center"/>
          </w:tcPr>
          <w:p>
            <w:pPr>
              <w:spacing w:line="400" w:lineRule="exact"/>
              <w:jc w:val="center"/>
              <w:rPr>
                <w:rFonts w:ascii="仿宋" w:hAnsi="仿宋" w:eastAsia="仿宋" w:cs="仿宋"/>
                <w:color w:val="auto"/>
                <w:szCs w:val="21"/>
                <w:highlight w:val="none"/>
              </w:rPr>
            </w:pPr>
            <w:r>
              <w:rPr>
                <w:rFonts w:hint="eastAsia" w:ascii="仿宋" w:hAnsi="仿宋" w:eastAsia="仿宋" w:cs="仿宋"/>
                <w:color w:val="auto"/>
                <w:szCs w:val="21"/>
                <w:highlight w:val="none"/>
              </w:rPr>
              <w:t>响应文件的递交</w:t>
            </w:r>
          </w:p>
        </w:tc>
        <w:tc>
          <w:tcPr>
            <w:tcW w:w="7199" w:type="dxa"/>
            <w:vAlign w:val="center"/>
          </w:tcPr>
          <w:p>
            <w:pPr>
              <w:pStyle w:val="66"/>
              <w:spacing w:before="62" w:beforeLines="20" w:after="62" w:afterLines="20"/>
              <w:rPr>
                <w:rFonts w:ascii="仿宋" w:hAnsi="仿宋" w:eastAsia="仿宋" w:cs="仿宋"/>
                <w:b/>
                <w:color w:val="auto"/>
                <w:sz w:val="21"/>
                <w:szCs w:val="21"/>
                <w:highlight w:val="none"/>
              </w:rPr>
            </w:pPr>
            <w:r>
              <w:rPr>
                <w:rFonts w:hint="eastAsia" w:ascii="仿宋" w:hAnsi="仿宋" w:eastAsia="仿宋" w:cs="仿宋"/>
                <w:color w:val="auto"/>
                <w:highlight w:val="none"/>
              </w:rPr>
              <w:t>详见</w:t>
            </w:r>
            <w:r>
              <w:rPr>
                <w:rFonts w:hint="eastAsia" w:ascii="仿宋" w:hAnsi="仿宋" w:eastAsia="仿宋" w:cs="仿宋"/>
                <w:color w:val="auto"/>
                <w:highlight w:val="none"/>
                <w:u w:val="single"/>
              </w:rPr>
              <w:t>第一章 比选邀请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3" w:hRule="exact"/>
          <w:jc w:val="center"/>
        </w:trPr>
        <w:tc>
          <w:tcPr>
            <w:tcW w:w="1142" w:type="dxa"/>
            <w:vAlign w:val="center"/>
          </w:tcPr>
          <w:p>
            <w:pPr>
              <w:spacing w:line="400" w:lineRule="exact"/>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2</w:t>
            </w:r>
            <w:r>
              <w:rPr>
                <w:rFonts w:ascii="仿宋_GB2312" w:hAnsi="宋体" w:eastAsia="仿宋_GB2312"/>
                <w:color w:val="auto"/>
                <w:szCs w:val="21"/>
                <w:highlight w:val="none"/>
              </w:rPr>
              <w:t>.1.6</w:t>
            </w:r>
          </w:p>
        </w:tc>
        <w:tc>
          <w:tcPr>
            <w:tcW w:w="1841" w:type="dxa"/>
            <w:vAlign w:val="center"/>
          </w:tcPr>
          <w:p>
            <w:pPr>
              <w:spacing w:line="400" w:lineRule="exact"/>
              <w:jc w:val="center"/>
              <w:rPr>
                <w:rFonts w:ascii="仿宋" w:hAnsi="仿宋" w:eastAsia="仿宋" w:cs="仿宋"/>
                <w:color w:val="auto"/>
                <w:szCs w:val="21"/>
                <w:highlight w:val="none"/>
              </w:rPr>
            </w:pPr>
            <w:r>
              <w:rPr>
                <w:rFonts w:hint="eastAsia" w:ascii="仿宋" w:hAnsi="仿宋" w:eastAsia="仿宋" w:cs="Cambria Math"/>
                <w:color w:val="auto"/>
                <w:szCs w:val="21"/>
                <w:highlight w:val="none"/>
              </w:rPr>
              <w:t>★</w:t>
            </w:r>
            <w:r>
              <w:rPr>
                <w:rFonts w:hint="eastAsia" w:ascii="仿宋" w:hAnsi="仿宋" w:eastAsia="仿宋" w:cs="宋体"/>
                <w:color w:val="auto"/>
                <w:szCs w:val="21"/>
                <w:highlight w:val="none"/>
              </w:rPr>
              <w:t>响应文件的盖章或签字要求</w:t>
            </w:r>
          </w:p>
        </w:tc>
        <w:tc>
          <w:tcPr>
            <w:tcW w:w="7199" w:type="dxa"/>
            <w:vAlign w:val="center"/>
          </w:tcPr>
          <w:p>
            <w:pPr>
              <w:pStyle w:val="68"/>
              <w:topLinePunct/>
              <w:spacing w:before="62" w:beforeLines="20" w:after="62" w:afterLines="20"/>
              <w:rPr>
                <w:rFonts w:ascii="仿宋" w:hAnsi="仿宋" w:eastAsia="仿宋" w:cs="宋体"/>
                <w:color w:val="auto"/>
                <w:sz w:val="21"/>
                <w:szCs w:val="21"/>
                <w:highlight w:val="none"/>
              </w:rPr>
            </w:pPr>
            <w:r>
              <w:rPr>
                <w:rFonts w:hint="eastAsia" w:ascii="仿宋" w:hAnsi="仿宋" w:eastAsia="仿宋" w:cs="宋体"/>
                <w:color w:val="auto"/>
                <w:sz w:val="21"/>
                <w:szCs w:val="21"/>
                <w:highlight w:val="none"/>
              </w:rPr>
              <w:t>（1）《法定代表人（负责人）身份证明》的落款处应加盖公章。</w:t>
            </w:r>
          </w:p>
          <w:p>
            <w:pPr>
              <w:pStyle w:val="68"/>
              <w:topLinePunct/>
              <w:spacing w:before="62" w:beforeLines="20" w:after="62" w:afterLines="20"/>
              <w:rPr>
                <w:rFonts w:ascii="仿宋" w:hAnsi="仿宋" w:eastAsia="仿宋" w:cs="宋体"/>
                <w:color w:val="auto"/>
                <w:sz w:val="21"/>
                <w:szCs w:val="21"/>
                <w:highlight w:val="none"/>
              </w:rPr>
            </w:pPr>
            <w:r>
              <w:rPr>
                <w:rFonts w:hint="eastAsia" w:ascii="仿宋" w:hAnsi="仿宋" w:eastAsia="仿宋" w:cs="宋体"/>
                <w:color w:val="auto"/>
                <w:sz w:val="21"/>
                <w:szCs w:val="21"/>
                <w:highlight w:val="none"/>
              </w:rPr>
              <w:t>（2）《法定代表人（负责人）授权委托书》的落款处应加盖公章</w:t>
            </w:r>
            <w:r>
              <w:rPr>
                <w:rFonts w:hint="eastAsia" w:ascii="仿宋" w:hAnsi="仿宋" w:eastAsia="仿宋" w:cs="宋体"/>
                <w:b/>
                <w:color w:val="auto"/>
                <w:sz w:val="21"/>
                <w:szCs w:val="21"/>
                <w:highlight w:val="none"/>
              </w:rPr>
              <w:t>并由</w:t>
            </w:r>
            <w:r>
              <w:rPr>
                <w:rFonts w:hint="eastAsia" w:ascii="仿宋" w:hAnsi="仿宋" w:eastAsia="仿宋" w:cs="宋体"/>
                <w:color w:val="auto"/>
                <w:sz w:val="21"/>
                <w:szCs w:val="21"/>
                <w:highlight w:val="none"/>
              </w:rPr>
              <w:t>法定代表人（负责人）</w:t>
            </w:r>
            <w:r>
              <w:rPr>
                <w:rFonts w:hint="eastAsia" w:ascii="仿宋" w:hAnsi="仿宋" w:eastAsia="仿宋" w:cs="宋体"/>
                <w:b/>
                <w:color w:val="auto"/>
                <w:sz w:val="21"/>
                <w:szCs w:val="21"/>
                <w:highlight w:val="none"/>
              </w:rPr>
              <w:t>和</w:t>
            </w:r>
            <w:r>
              <w:rPr>
                <w:rFonts w:hint="eastAsia" w:ascii="仿宋" w:hAnsi="仿宋" w:eastAsia="仿宋" w:cs="宋体"/>
                <w:color w:val="auto"/>
                <w:sz w:val="21"/>
                <w:szCs w:val="21"/>
                <w:highlight w:val="none"/>
              </w:rPr>
              <w:t>其委托代理人</w:t>
            </w:r>
            <w:r>
              <w:rPr>
                <w:rFonts w:hint="eastAsia" w:ascii="仿宋" w:hAnsi="仿宋" w:eastAsia="仿宋" w:cs="宋体"/>
                <w:b/>
                <w:color w:val="auto"/>
                <w:sz w:val="21"/>
                <w:szCs w:val="21"/>
                <w:highlight w:val="none"/>
              </w:rPr>
              <w:t>双方</w:t>
            </w:r>
            <w:r>
              <w:rPr>
                <w:rFonts w:hint="eastAsia" w:ascii="仿宋" w:hAnsi="仿宋" w:eastAsia="仿宋" w:cs="宋体"/>
                <w:color w:val="auto"/>
                <w:sz w:val="21"/>
                <w:szCs w:val="21"/>
                <w:highlight w:val="none"/>
              </w:rPr>
              <w:t>签字。</w:t>
            </w:r>
          </w:p>
          <w:p>
            <w:pPr>
              <w:pStyle w:val="68"/>
              <w:topLinePunct/>
              <w:spacing w:before="62" w:beforeLines="20" w:after="62" w:afterLines="20"/>
              <w:rPr>
                <w:rFonts w:ascii="仿宋" w:hAnsi="仿宋" w:eastAsia="仿宋" w:cs="宋体"/>
                <w:color w:val="auto"/>
                <w:sz w:val="21"/>
                <w:szCs w:val="21"/>
                <w:highlight w:val="none"/>
              </w:rPr>
            </w:pPr>
            <w:r>
              <w:rPr>
                <w:rFonts w:hint="eastAsia" w:ascii="仿宋" w:hAnsi="仿宋" w:eastAsia="仿宋" w:cs="宋体"/>
                <w:color w:val="auto"/>
                <w:sz w:val="21"/>
                <w:szCs w:val="21"/>
                <w:highlight w:val="none"/>
              </w:rPr>
              <w:t>（3）响应文件格式中其他有落款的文件，</w:t>
            </w:r>
            <w:r>
              <w:rPr>
                <w:rFonts w:hint="eastAsia" w:ascii="仿宋" w:hAnsi="仿宋" w:eastAsia="仿宋" w:cs="宋体"/>
                <w:b/>
                <w:color w:val="auto"/>
                <w:sz w:val="21"/>
                <w:szCs w:val="21"/>
                <w:highlight w:val="none"/>
              </w:rPr>
              <w:t>均需</w:t>
            </w:r>
            <w:r>
              <w:rPr>
                <w:rFonts w:hint="eastAsia" w:ascii="仿宋" w:hAnsi="仿宋" w:eastAsia="仿宋" w:cs="宋体"/>
                <w:color w:val="auto"/>
                <w:sz w:val="21"/>
                <w:szCs w:val="21"/>
                <w:highlight w:val="none"/>
              </w:rPr>
              <w:t>加盖公章。</w:t>
            </w:r>
          </w:p>
          <w:p>
            <w:pPr>
              <w:pStyle w:val="66"/>
              <w:spacing w:before="62" w:beforeLines="20" w:after="62" w:afterLines="20"/>
              <w:rPr>
                <w:rFonts w:ascii="仿宋" w:hAnsi="仿宋" w:eastAsia="仿宋" w:cs="仿宋"/>
                <w:color w:val="auto"/>
                <w:highlight w:val="none"/>
              </w:rPr>
            </w:pPr>
            <w:r>
              <w:rPr>
                <w:rFonts w:hint="eastAsia" w:ascii="仿宋" w:hAnsi="仿宋" w:eastAsia="仿宋" w:cs="宋体"/>
                <w:color w:val="auto"/>
                <w:sz w:val="21"/>
                <w:szCs w:val="21"/>
                <w:highlight w:val="none"/>
              </w:rPr>
              <w:t>（4）响应文件的所有签字处均指手写签字</w:t>
            </w:r>
            <w:r>
              <w:rPr>
                <w:rFonts w:hint="eastAsia" w:ascii="仿宋" w:hAnsi="仿宋" w:eastAsia="仿宋" w:cs="宋体"/>
                <w:b/>
                <w:color w:val="auto"/>
                <w:sz w:val="21"/>
                <w:szCs w:val="21"/>
                <w:highlight w:val="none"/>
              </w:rPr>
              <w:t>或</w:t>
            </w:r>
            <w:r>
              <w:rPr>
                <w:rFonts w:hint="eastAsia" w:ascii="仿宋" w:hAnsi="仿宋" w:eastAsia="仿宋" w:cs="宋体"/>
                <w:color w:val="auto"/>
                <w:sz w:val="21"/>
                <w:szCs w:val="21"/>
                <w:highlight w:val="none"/>
              </w:rPr>
              <w:t>签名章/印章</w:t>
            </w:r>
            <w:r>
              <w:rPr>
                <w:rFonts w:hint="eastAsia" w:ascii="仿宋" w:hAnsi="仿宋" w:eastAsia="仿宋" w:cs="宋体"/>
                <w:b/>
                <w:bCs/>
                <w:color w:val="auto"/>
                <w:sz w:val="21"/>
                <w:szCs w:val="21"/>
                <w:highlight w:val="none"/>
              </w:rPr>
              <w:t>或</w:t>
            </w:r>
            <w:r>
              <w:rPr>
                <w:rFonts w:hint="eastAsia" w:ascii="仿宋" w:hAnsi="仿宋" w:eastAsia="仿宋" w:cs="宋体"/>
                <w:color w:val="auto"/>
                <w:sz w:val="21"/>
                <w:szCs w:val="21"/>
                <w:highlight w:val="none"/>
              </w:rPr>
              <w:t>CA签名章，</w:t>
            </w:r>
            <w:r>
              <w:rPr>
                <w:rFonts w:hint="eastAsia" w:ascii="仿宋" w:hAnsi="仿宋" w:eastAsia="仿宋" w:cs="宋体"/>
                <w:b/>
                <w:color w:val="auto"/>
                <w:sz w:val="21"/>
                <w:szCs w:val="21"/>
                <w:highlight w:val="none"/>
              </w:rPr>
              <w:t>不得</w:t>
            </w:r>
            <w:r>
              <w:rPr>
                <w:rFonts w:hint="eastAsia" w:ascii="仿宋" w:hAnsi="仿宋" w:eastAsia="仿宋" w:cs="宋体"/>
                <w:color w:val="auto"/>
                <w:sz w:val="21"/>
                <w:szCs w:val="21"/>
                <w:highlight w:val="none"/>
              </w:rPr>
              <w:t>以打印体代替。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ascii="仿宋_GB2312" w:eastAsia="仿宋_GB2312"/>
                <w:color w:val="auto"/>
                <w:sz w:val="24"/>
                <w:szCs w:val="24"/>
                <w:highlight w:val="none"/>
                <w:lang w:eastAsia="zh-CN"/>
              </w:rPr>
              <w:t>2.1.7</w:t>
            </w:r>
          </w:p>
        </w:tc>
        <w:tc>
          <w:tcPr>
            <w:tcW w:w="1841" w:type="dxa"/>
            <w:vAlign w:val="center"/>
          </w:tcPr>
          <w:p>
            <w:pPr>
              <w:pStyle w:val="37"/>
              <w:snapToGrid w:val="0"/>
              <w:spacing w:line="300" w:lineRule="auto"/>
              <w:ind w:left="114" w:right="114"/>
              <w:jc w:val="center"/>
              <w:rPr>
                <w:rFonts w:ascii="仿宋_GB2312" w:eastAsia="仿宋_GB2312"/>
                <w:color w:val="auto"/>
                <w:sz w:val="24"/>
                <w:szCs w:val="24"/>
                <w:highlight w:val="none"/>
              </w:rPr>
            </w:pPr>
            <w:r>
              <w:rPr>
                <w:rFonts w:hint="eastAsia" w:ascii="仿宋" w:hAnsi="仿宋" w:eastAsia="仿宋" w:cs="仿宋"/>
                <w:color w:val="auto"/>
                <w:szCs w:val="21"/>
                <w:highlight w:val="none"/>
              </w:rPr>
              <w:t>★比选响应有效期</w:t>
            </w:r>
          </w:p>
        </w:tc>
        <w:tc>
          <w:tcPr>
            <w:tcW w:w="7199" w:type="dxa"/>
            <w:vAlign w:val="center"/>
          </w:tcPr>
          <w:p>
            <w:pPr>
              <w:pStyle w:val="37"/>
              <w:snapToGrid w:val="0"/>
              <w:spacing w:line="300" w:lineRule="auto"/>
              <w:ind w:left="103" w:right="-18"/>
              <w:jc w:val="both"/>
              <w:rPr>
                <w:rFonts w:ascii="仿宋_GB2312" w:eastAsia="仿宋_GB2312"/>
                <w:color w:val="auto"/>
                <w:sz w:val="24"/>
                <w:szCs w:val="24"/>
                <w:highlight w:val="none"/>
                <w:lang w:eastAsia="zh-CN"/>
              </w:rPr>
            </w:pPr>
            <w:r>
              <w:rPr>
                <w:rFonts w:hint="eastAsia" w:ascii="仿宋" w:hAnsi="仿宋" w:eastAsia="仿宋"/>
                <w:color w:val="auto"/>
                <w:highlight w:val="none"/>
                <w:lang w:eastAsia="zh-CN"/>
              </w:rPr>
              <w:t>比选响应有效期：</w:t>
            </w:r>
            <w:r>
              <w:rPr>
                <w:rFonts w:hint="eastAsia" w:ascii="仿宋" w:hAnsi="仿宋" w:eastAsia="仿宋"/>
                <w:color w:val="auto"/>
                <w:highlight w:val="none"/>
                <w:u w:val="single"/>
                <w:lang w:val="en-US" w:eastAsia="zh-CN"/>
              </w:rPr>
              <w:t>180</w:t>
            </w:r>
            <w:r>
              <w:rPr>
                <w:rFonts w:hint="eastAsia" w:ascii="仿宋" w:hAnsi="仿宋" w:eastAsia="仿宋" w:cs="仿宋"/>
                <w:color w:val="auto"/>
                <w:highlight w:val="none"/>
                <w:u w:val="single"/>
                <w:lang w:eastAsia="zh-CN"/>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ascii="仿宋_GB2312" w:eastAsia="仿宋_GB2312"/>
                <w:color w:val="auto"/>
                <w:sz w:val="24"/>
                <w:szCs w:val="24"/>
                <w:highlight w:val="none"/>
                <w:lang w:eastAsia="zh-CN"/>
              </w:rPr>
              <w:t>2.1.8</w:t>
            </w:r>
          </w:p>
        </w:tc>
        <w:tc>
          <w:tcPr>
            <w:tcW w:w="1841" w:type="dxa"/>
            <w:vAlign w:val="center"/>
          </w:tcPr>
          <w:p>
            <w:pPr>
              <w:pStyle w:val="37"/>
              <w:snapToGrid w:val="0"/>
              <w:spacing w:line="300" w:lineRule="auto"/>
              <w:ind w:left="114" w:right="114"/>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响应文件份数</w:t>
            </w:r>
          </w:p>
        </w:tc>
        <w:tc>
          <w:tcPr>
            <w:tcW w:w="7199" w:type="dxa"/>
            <w:vAlign w:val="center"/>
          </w:tcPr>
          <w:p>
            <w:pPr>
              <w:pStyle w:val="37"/>
              <w:snapToGrid w:val="0"/>
              <w:spacing w:line="300" w:lineRule="auto"/>
              <w:ind w:left="103" w:right="-18"/>
              <w:jc w:val="both"/>
              <w:rPr>
                <w:rFonts w:ascii="仿宋_GB2312" w:eastAsia="仿宋_GB2312"/>
                <w:color w:val="auto"/>
                <w:sz w:val="24"/>
                <w:szCs w:val="24"/>
                <w:highlight w:val="none"/>
                <w:lang w:eastAsia="zh-CN"/>
              </w:rPr>
            </w:pPr>
            <w:r>
              <w:rPr>
                <w:rFonts w:hint="eastAsia" w:ascii="仿宋" w:hAnsi="仿宋" w:eastAsia="仿宋"/>
                <w:color w:val="auto"/>
                <w:sz w:val="21"/>
                <w:szCs w:val="21"/>
                <w:highlight w:val="none"/>
                <w:lang w:eastAsia="zh-CN"/>
              </w:rPr>
              <w:t>电子文件</w:t>
            </w:r>
            <w:r>
              <w:rPr>
                <w:rFonts w:hint="eastAsia" w:ascii="仿宋" w:hAnsi="仿宋" w:eastAsia="仿宋"/>
                <w:color w:val="auto"/>
                <w:sz w:val="21"/>
                <w:szCs w:val="21"/>
                <w:highlight w:val="none"/>
                <w:u w:val="single"/>
                <w:lang w:eastAsia="zh-CN"/>
              </w:rPr>
              <w:t>1</w:t>
            </w:r>
            <w:r>
              <w:rPr>
                <w:rFonts w:hint="eastAsia" w:ascii="仿宋" w:hAnsi="仿宋" w:eastAsia="仿宋"/>
                <w:color w:val="auto"/>
                <w:sz w:val="21"/>
                <w:szCs w:val="21"/>
                <w:highlight w:val="none"/>
                <w:lang w:eastAsia="zh-CN"/>
              </w:rPr>
              <w:t>份（具体格式要求）；纸质文件正本</w:t>
            </w:r>
            <w:r>
              <w:rPr>
                <w:rFonts w:hint="eastAsia" w:ascii="仿宋" w:hAnsi="仿宋" w:eastAsia="仿宋"/>
                <w:color w:val="auto"/>
                <w:sz w:val="21"/>
                <w:szCs w:val="21"/>
                <w:highlight w:val="none"/>
                <w:u w:val="single"/>
                <w:lang w:eastAsia="zh-CN"/>
              </w:rPr>
              <w:t xml:space="preserve"> 1 </w:t>
            </w:r>
            <w:r>
              <w:rPr>
                <w:rFonts w:hint="eastAsia" w:ascii="仿宋" w:hAnsi="仿宋" w:eastAsia="仿宋"/>
                <w:color w:val="auto"/>
                <w:sz w:val="21"/>
                <w:szCs w:val="21"/>
                <w:highlight w:val="none"/>
                <w:lang w:eastAsia="zh-CN"/>
              </w:rPr>
              <w:t>份，副本</w:t>
            </w:r>
            <w:r>
              <w:rPr>
                <w:rFonts w:ascii="仿宋" w:hAnsi="仿宋" w:eastAsia="仿宋"/>
                <w:color w:val="auto"/>
                <w:sz w:val="21"/>
                <w:szCs w:val="21"/>
                <w:highlight w:val="none"/>
                <w:u w:val="single"/>
                <w:lang w:eastAsia="zh-CN"/>
              </w:rPr>
              <w:t xml:space="preserve"> </w:t>
            </w:r>
            <w:r>
              <w:rPr>
                <w:rFonts w:hint="eastAsia" w:ascii="仿宋" w:hAnsi="仿宋" w:eastAsia="仿宋"/>
                <w:color w:val="auto"/>
                <w:sz w:val="21"/>
                <w:szCs w:val="21"/>
                <w:highlight w:val="none"/>
                <w:u w:val="single"/>
                <w:lang w:val="en-US" w:eastAsia="zh-CN"/>
              </w:rPr>
              <w:t>2</w:t>
            </w:r>
            <w:r>
              <w:rPr>
                <w:rFonts w:hint="eastAsia" w:ascii="仿宋" w:hAnsi="仿宋" w:eastAsia="仿宋"/>
                <w:color w:val="auto"/>
                <w:sz w:val="21"/>
                <w:szCs w:val="21"/>
                <w:highlight w:val="none"/>
                <w:u w:val="single"/>
                <w:lang w:eastAsia="zh-CN"/>
              </w:rPr>
              <w:t xml:space="preserve"> </w:t>
            </w:r>
            <w:r>
              <w:rPr>
                <w:rFonts w:hint="eastAsia" w:ascii="仿宋" w:hAnsi="仿宋" w:eastAsia="仿宋"/>
                <w:color w:val="auto"/>
                <w:sz w:val="21"/>
                <w:szCs w:val="21"/>
                <w:highlight w:val="none"/>
                <w:lang w:eastAsia="zh-CN"/>
              </w:rPr>
              <w:t>份</w:t>
            </w:r>
            <w:r>
              <w:rPr>
                <w:rFonts w:hint="eastAsia" w:ascii="仿宋_GB2312" w:eastAsia="仿宋_GB2312" w:cs="新宋体"/>
                <w:color w:val="auto"/>
                <w:szCs w:val="21"/>
                <w:highlight w:val="none"/>
                <w:lang w:val="zh-CN" w:eastAsia="zh-CN"/>
              </w:rPr>
              <w:t>、正本与副本内容应一致，若正本和副本有不一致的内容，以正本书面响应文件为准。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7"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ascii="仿宋_GB2312" w:eastAsia="仿宋_GB2312"/>
                <w:color w:val="auto"/>
                <w:sz w:val="24"/>
                <w:szCs w:val="24"/>
                <w:highlight w:val="none"/>
              </w:rPr>
              <w:t>2.1.9</w:t>
            </w:r>
          </w:p>
        </w:tc>
        <w:tc>
          <w:tcPr>
            <w:tcW w:w="1841" w:type="dxa"/>
            <w:vAlign w:val="center"/>
          </w:tcPr>
          <w:p>
            <w:pPr>
              <w:pStyle w:val="37"/>
              <w:snapToGrid w:val="0"/>
              <w:spacing w:line="300" w:lineRule="auto"/>
              <w:ind w:left="114" w:right="114"/>
              <w:jc w:val="center"/>
              <w:rPr>
                <w:rFonts w:ascii="仿宋_GB2312" w:eastAsia="仿宋_GB2312"/>
                <w:color w:val="auto"/>
                <w:sz w:val="24"/>
                <w:szCs w:val="24"/>
                <w:highlight w:val="none"/>
              </w:rPr>
            </w:pPr>
            <w:r>
              <w:rPr>
                <w:rFonts w:hint="eastAsia" w:ascii="仿宋" w:hAnsi="仿宋" w:eastAsia="仿宋" w:cs="仿宋"/>
                <w:color w:val="auto"/>
                <w:szCs w:val="21"/>
                <w:highlight w:val="none"/>
              </w:rPr>
              <w:t>比选响应报价</w:t>
            </w:r>
          </w:p>
        </w:tc>
        <w:tc>
          <w:tcPr>
            <w:tcW w:w="7199" w:type="dxa"/>
            <w:vAlign w:val="center"/>
          </w:tcPr>
          <w:p>
            <w:pPr>
              <w:pStyle w:val="61"/>
              <w:spacing w:before="62" w:beforeLines="20" w:after="62" w:afterLines="20" w:line="360" w:lineRule="auto"/>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1）供应商应结合自身实力与经验、市场价格竞争及合同实施风险等因素进行综合考虑进行报价。</w:t>
            </w:r>
          </w:p>
          <w:p>
            <w:pPr>
              <w:pStyle w:val="37"/>
              <w:snapToGrid w:val="0"/>
              <w:spacing w:line="300" w:lineRule="auto"/>
              <w:ind w:right="-18"/>
              <w:jc w:val="both"/>
              <w:rPr>
                <w:rFonts w:ascii="仿宋_GB2312" w:eastAsia="仿宋_GB2312"/>
                <w:color w:val="auto"/>
                <w:sz w:val="24"/>
                <w:szCs w:val="24"/>
                <w:highlight w:val="none"/>
                <w:lang w:eastAsia="zh-CN"/>
              </w:rPr>
            </w:pPr>
            <w:r>
              <w:rPr>
                <w:rFonts w:hint="eastAsia" w:ascii="仿宋" w:hAnsi="仿宋" w:eastAsia="仿宋" w:cs="仿宋"/>
                <w:color w:val="auto"/>
                <w:highlight w:val="none"/>
                <w:lang w:eastAsia="zh-CN"/>
              </w:rPr>
              <w:t>2）比选小组将视比选情况决定是否进行多轮次报价，供应商</w:t>
            </w:r>
            <w:r>
              <w:rPr>
                <w:rFonts w:hint="eastAsia" w:ascii="仿宋" w:hAnsi="仿宋" w:eastAsia="仿宋" w:cs="仿宋"/>
                <w:color w:val="auto"/>
                <w:highlight w:val="none"/>
                <w:u w:val="single"/>
                <w:lang w:eastAsia="zh-CN"/>
              </w:rPr>
              <w:t>最后一轮比选提交的报价</w:t>
            </w:r>
            <w:r>
              <w:rPr>
                <w:rFonts w:hint="eastAsia" w:ascii="仿宋" w:hAnsi="仿宋" w:eastAsia="仿宋" w:cs="仿宋"/>
                <w:color w:val="auto"/>
                <w:highlight w:val="none"/>
                <w:lang w:eastAsia="zh-CN"/>
              </w:rPr>
              <w:t>将作为该供应商的</w:t>
            </w:r>
            <w:r>
              <w:rPr>
                <w:rFonts w:hint="eastAsia" w:ascii="仿宋" w:hAnsi="仿宋" w:eastAsia="仿宋" w:cs="仿宋"/>
                <w:b/>
                <w:bCs/>
                <w:color w:val="auto"/>
                <w:highlight w:val="none"/>
                <w:lang w:eastAsia="zh-CN"/>
              </w:rPr>
              <w:t>最终报价</w:t>
            </w:r>
            <w:r>
              <w:rPr>
                <w:rFonts w:hint="eastAsia" w:ascii="仿宋" w:hAnsi="仿宋" w:eastAsia="仿宋" w:cs="仿宋"/>
                <w:color w:val="auto"/>
                <w:highlight w:val="none"/>
                <w:lang w:eastAsia="zh-CN"/>
              </w:rPr>
              <w:t>进行评审。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1"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2</w:t>
            </w:r>
            <w:r>
              <w:rPr>
                <w:rFonts w:ascii="仿宋_GB2312" w:eastAsia="仿宋_GB2312"/>
                <w:color w:val="auto"/>
                <w:sz w:val="24"/>
                <w:szCs w:val="24"/>
                <w:highlight w:val="none"/>
                <w:lang w:eastAsia="zh-CN"/>
              </w:rPr>
              <w:t>.1.10</w:t>
            </w:r>
          </w:p>
        </w:tc>
        <w:tc>
          <w:tcPr>
            <w:tcW w:w="1841" w:type="dxa"/>
            <w:vAlign w:val="center"/>
          </w:tcPr>
          <w:p>
            <w:pPr>
              <w:pStyle w:val="37"/>
              <w:snapToGrid w:val="0"/>
              <w:spacing w:line="300" w:lineRule="auto"/>
              <w:ind w:left="114" w:right="114"/>
              <w:jc w:val="center"/>
              <w:rPr>
                <w:rFonts w:ascii="仿宋_GB2312" w:eastAsia="仿宋_GB2312"/>
                <w:color w:val="auto"/>
                <w:sz w:val="24"/>
                <w:szCs w:val="24"/>
                <w:highlight w:val="none"/>
                <w:lang w:eastAsia="zh-CN"/>
              </w:rPr>
            </w:pPr>
            <w:r>
              <w:rPr>
                <w:rFonts w:hint="eastAsia" w:ascii="仿宋" w:hAnsi="仿宋" w:eastAsia="仿宋"/>
                <w:color w:val="auto"/>
                <w:szCs w:val="21"/>
                <w:highlight w:val="none"/>
                <w:lang w:eastAsia="zh-CN"/>
              </w:rPr>
              <w:t>纸质</w:t>
            </w:r>
            <w:r>
              <w:rPr>
                <w:rFonts w:hint="eastAsia" w:ascii="仿宋" w:hAnsi="仿宋" w:eastAsia="仿宋" w:cs="仿宋"/>
                <w:color w:val="auto"/>
                <w:szCs w:val="21"/>
                <w:highlight w:val="none"/>
                <w:lang w:eastAsia="zh-CN"/>
              </w:rPr>
              <w:t>响应文件的装订、密封和标记</w:t>
            </w:r>
          </w:p>
        </w:tc>
        <w:tc>
          <w:tcPr>
            <w:tcW w:w="7199" w:type="dxa"/>
            <w:vAlign w:val="center"/>
          </w:tcPr>
          <w:p>
            <w:pPr>
              <w:spacing w:line="360" w:lineRule="auto"/>
              <w:rPr>
                <w:rFonts w:ascii="仿宋" w:hAnsi="仿宋" w:eastAsia="仿宋" w:cs="Cambria Math"/>
                <w:color w:val="auto"/>
                <w:sz w:val="22"/>
                <w:szCs w:val="21"/>
                <w:highlight w:val="none"/>
              </w:rPr>
            </w:pPr>
            <w:r>
              <w:rPr>
                <w:rFonts w:hint="eastAsia" w:ascii="仿宋" w:hAnsi="仿宋" w:eastAsia="仿宋" w:cs="Cambria Math"/>
                <w:color w:val="auto"/>
                <w:sz w:val="22"/>
                <w:szCs w:val="21"/>
                <w:highlight w:val="none"/>
              </w:rPr>
              <w:t>（1）采用A4纸胶装，双面打印，密封粘接缝隙加盖供应商公章或由法定代表人（负责人）或其委托代理人签字，并分别在右上角标明“正本”和“副本”字样。</w:t>
            </w:r>
          </w:p>
          <w:p>
            <w:pPr>
              <w:spacing w:line="360" w:lineRule="auto"/>
              <w:rPr>
                <w:rFonts w:ascii="仿宋" w:hAnsi="仿宋" w:eastAsia="仿宋" w:cs="Cambria Math"/>
                <w:color w:val="auto"/>
                <w:sz w:val="22"/>
                <w:szCs w:val="21"/>
                <w:highlight w:val="none"/>
              </w:rPr>
            </w:pPr>
            <w:r>
              <w:rPr>
                <w:rFonts w:hint="eastAsia" w:ascii="仿宋" w:hAnsi="仿宋" w:eastAsia="仿宋" w:cs="Cambria Math"/>
                <w:color w:val="auto"/>
                <w:sz w:val="22"/>
                <w:szCs w:val="21"/>
                <w:highlight w:val="none"/>
              </w:rPr>
              <w:t>响应文件需加盖骑缝章。未按要求密封的</w:t>
            </w:r>
            <w:r>
              <w:rPr>
                <w:rFonts w:hint="eastAsia" w:ascii="仿宋" w:hAnsi="仿宋" w:eastAsia="仿宋" w:cs="Cambria Math"/>
                <w:color w:val="auto"/>
                <w:sz w:val="22"/>
                <w:szCs w:val="21"/>
                <w:highlight w:val="none"/>
                <w:lang w:eastAsia="zh-Hans"/>
              </w:rPr>
              <w:t>纸质</w:t>
            </w:r>
            <w:r>
              <w:rPr>
                <w:rFonts w:hint="eastAsia" w:ascii="仿宋" w:hAnsi="仿宋" w:eastAsia="仿宋" w:cs="Cambria Math"/>
                <w:color w:val="auto"/>
                <w:sz w:val="22"/>
                <w:szCs w:val="21"/>
                <w:highlight w:val="none"/>
              </w:rPr>
              <w:t>响应文件不予接收。</w:t>
            </w:r>
          </w:p>
          <w:p>
            <w:pPr>
              <w:rPr>
                <w:rFonts w:ascii="仿宋" w:hAnsi="仿宋" w:eastAsia="仿宋"/>
                <w:color w:val="auto"/>
                <w:sz w:val="22"/>
                <w:highlight w:val="none"/>
              </w:rPr>
            </w:pPr>
            <w:r>
              <w:rPr>
                <w:rFonts w:hint="eastAsia" w:ascii="仿宋" w:hAnsi="仿宋" w:eastAsia="仿宋" w:cs="Cambria Math"/>
                <w:color w:val="auto"/>
                <w:sz w:val="22"/>
                <w:szCs w:val="21"/>
                <w:highlight w:val="none"/>
              </w:rPr>
              <w:t>（2）外层包封具体样式如下：</w:t>
            </w:r>
          </w:p>
          <w:p>
            <w:pPr>
              <w:pStyle w:val="37"/>
              <w:snapToGrid w:val="0"/>
              <w:spacing w:line="300" w:lineRule="auto"/>
              <w:ind w:left="103" w:right="2739"/>
              <w:jc w:val="both"/>
              <w:rPr>
                <w:rFonts w:ascii="仿宋_GB2312" w:eastAsia="仿宋_GB2312"/>
                <w:color w:val="auto"/>
                <w:sz w:val="24"/>
                <w:szCs w:val="24"/>
                <w:highlight w:val="none"/>
                <w:lang w:eastAsia="zh-CN"/>
              </w:rPr>
            </w:pPr>
            <w:r>
              <w:rPr>
                <w:rFonts w:hint="eastAsia" w:ascii="仿宋" w:hAnsi="仿宋" w:eastAsia="仿宋" w:cs="仿宋"/>
                <w:color w:val="auto"/>
                <w:highlight w:val="none"/>
                <w:lang w:eastAsia="zh-CN"/>
              </w:rPr>
              <mc:AlternateContent>
                <mc:Choice Requires="wps">
                  <w:drawing>
                    <wp:inline distT="0" distB="0" distL="114300" distR="114300">
                      <wp:extent cx="4320540" cy="2775585"/>
                      <wp:effectExtent l="4445" t="4445" r="5715" b="13970"/>
                      <wp:docPr id="1" name="文本框 3"/>
                      <wp:cNvGraphicFramePr/>
                      <a:graphic xmlns:a="http://schemas.openxmlformats.org/drawingml/2006/main">
                        <a:graphicData uri="http://schemas.microsoft.com/office/word/2010/wordprocessingShape">
                          <wps:wsp>
                            <wps:cNvSpPr txBox="1">
                              <a:spLocks noRot="1"/>
                            </wps:cNvSpPr>
                            <wps:spPr>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u w:val="single"/>
                                    </w:rPr>
                                    <w:t>XX</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wps:txbx>
                            <wps:bodyPr wrap="square" upright="1">
                              <a:spAutoFit/>
                            </wps:bodyPr>
                          </wps:wsp>
                        </a:graphicData>
                      </a:graphic>
                    </wp:inline>
                  </w:drawing>
                </mc:Choice>
                <mc:Fallback>
                  <w:pict>
                    <v:shape id="文本框 3" o:spid="_x0000_s1026" o:spt="202" type="#_x0000_t202" style="height:218.55pt;width:340.2pt;" fillcolor="#FFFFFF" filled="t" stroked="t" coordsize="21600,21600" o:gfxdata="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4MlGvWAAAABQEAAA8AAAAAAAAAAQAgAAAAIgAAAGRycy9kb3ducmV2LnhtbFBL&#10;AQIUABQAAAAIAIdO4kC8OVY3MQIAAIIEAAAOAAAAAAAAAAEAIAAAACUBAABkcnMvZTJvRG9jLnht&#10;bFBLBQYAAAAABgAGAFkBAADIBQAAAAA=&#10;">
                      <v:fill on="t" focussize="0,0"/>
                      <v:stroke color="#000000" joinstyle="miter"/>
                      <v:imagedata o:title=""/>
                      <o:lock v:ext="edit" rotation="t" aspectratio="f"/>
                      <v:textbox style="mso-fit-shape-to-text:t;">
                        <w:txbxContent>
                          <w:p>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u w:val="single"/>
                              </w:rPr>
                              <w:t>XX</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v:textbox>
                      <w10:wrap type="none"/>
                      <w10:anchorlock/>
                    </v:shape>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ascii="仿宋_GB2312" w:eastAsia="仿宋_GB2312"/>
                <w:color w:val="auto"/>
                <w:sz w:val="24"/>
                <w:szCs w:val="24"/>
                <w:highlight w:val="none"/>
                <w:lang w:eastAsia="zh-CN"/>
              </w:rPr>
              <w:t>2.1.11</w:t>
            </w:r>
          </w:p>
        </w:tc>
        <w:tc>
          <w:tcPr>
            <w:tcW w:w="1841" w:type="dxa"/>
            <w:vAlign w:val="center"/>
          </w:tcPr>
          <w:p>
            <w:pPr>
              <w:spacing w:line="400" w:lineRule="exact"/>
              <w:ind w:left="77" w:leftChars="32" w:right="132" w:rightChars="55" w:firstLine="67" w:firstLineChars="28"/>
              <w:jc w:val="center"/>
              <w:rPr>
                <w:rFonts w:ascii="仿宋_GB2312" w:hAnsi="宋体" w:eastAsia="仿宋_GB2312"/>
                <w:color w:val="auto"/>
                <w:szCs w:val="21"/>
                <w:highlight w:val="none"/>
              </w:rPr>
            </w:pPr>
            <w:r>
              <w:rPr>
                <w:rFonts w:hint="eastAsia" w:ascii="仿宋" w:hAnsi="仿宋" w:eastAsia="仿宋" w:cs="仿宋"/>
                <w:color w:val="auto"/>
                <w:szCs w:val="21"/>
                <w:highlight w:val="none"/>
              </w:rPr>
              <w:t>组建比选小组</w:t>
            </w:r>
          </w:p>
        </w:tc>
        <w:tc>
          <w:tcPr>
            <w:tcW w:w="7199" w:type="dxa"/>
            <w:vAlign w:val="center"/>
          </w:tcPr>
          <w:p>
            <w:pPr>
              <w:autoSpaceDE w:val="0"/>
              <w:autoSpaceDN w:val="0"/>
              <w:adjustRightInd w:val="0"/>
              <w:spacing w:line="400" w:lineRule="exact"/>
              <w:ind w:left="146" w:leftChars="61" w:firstLine="2"/>
              <w:rPr>
                <w:rFonts w:ascii="仿宋_GB2312" w:hAnsi="宋体" w:eastAsia="仿宋_GB2312" w:cs="新宋体"/>
                <w:color w:val="auto"/>
                <w:szCs w:val="21"/>
                <w:highlight w:val="none"/>
                <w:lang w:val="zh-CN"/>
              </w:rPr>
            </w:pPr>
            <w:r>
              <w:rPr>
                <w:rFonts w:hint="eastAsia" w:ascii="仿宋" w:hAnsi="仿宋" w:eastAsia="仿宋" w:cs="仿宋"/>
                <w:color w:val="auto"/>
                <w:sz w:val="22"/>
                <w:highlight w:val="none"/>
              </w:rPr>
              <w:t>本项目比选小组成员人数为</w:t>
            </w:r>
            <w:r>
              <w:rPr>
                <w:rFonts w:hint="eastAsia" w:ascii="仿宋" w:hAnsi="仿宋" w:eastAsia="仿宋" w:cs="仿宋"/>
                <w:color w:val="auto"/>
                <w:sz w:val="22"/>
                <w:highlight w:val="none"/>
                <w:u w:val="single"/>
                <w:lang w:val="en-US" w:eastAsia="zh-CN"/>
              </w:rPr>
              <w:t>5</w:t>
            </w:r>
            <w:r>
              <w:rPr>
                <w:rFonts w:hint="eastAsia" w:ascii="仿宋" w:hAnsi="仿宋" w:eastAsia="仿宋" w:cs="仿宋"/>
                <w:color w:val="auto"/>
                <w:sz w:val="22"/>
                <w:highlight w:val="none"/>
                <w:u w:val="single"/>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5"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2</w:t>
            </w:r>
            <w:r>
              <w:rPr>
                <w:rFonts w:ascii="仿宋_GB2312" w:eastAsia="仿宋_GB2312"/>
                <w:color w:val="auto"/>
                <w:sz w:val="24"/>
                <w:szCs w:val="24"/>
                <w:highlight w:val="none"/>
                <w:lang w:eastAsia="zh-CN"/>
              </w:rPr>
              <w:t>.1.12</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auto"/>
                <w:szCs w:val="21"/>
                <w:highlight w:val="none"/>
              </w:rPr>
            </w:pPr>
            <w:r>
              <w:rPr>
                <w:rFonts w:hint="eastAsia" w:ascii="仿宋" w:hAnsi="仿宋" w:eastAsia="仿宋" w:cs="仿宋"/>
                <w:color w:val="auto"/>
                <w:szCs w:val="21"/>
                <w:highlight w:val="none"/>
              </w:rPr>
              <w:t>比选程序及方式</w:t>
            </w:r>
          </w:p>
        </w:tc>
        <w:tc>
          <w:tcPr>
            <w:tcW w:w="7199" w:type="dxa"/>
            <w:vAlign w:val="center"/>
          </w:tcPr>
          <w:p>
            <w:pPr>
              <w:pStyle w:val="61"/>
              <w:spacing w:before="62" w:beforeLines="20" w:after="62" w:afterLines="20" w:line="360" w:lineRule="auto"/>
              <w:rPr>
                <w:rFonts w:ascii="仿宋" w:hAnsi="仿宋" w:eastAsia="仿宋" w:cs="仿宋"/>
                <w:color w:val="auto"/>
                <w:sz w:val="22"/>
                <w:szCs w:val="22"/>
                <w:highlight w:val="none"/>
              </w:rPr>
            </w:pPr>
            <w:r>
              <w:rPr>
                <w:rFonts w:hint="eastAsia" w:ascii="仿宋" w:hAnsi="仿宋" w:eastAsia="仿宋" w:cs="仿宋"/>
                <w:color w:val="auto"/>
                <w:sz w:val="22"/>
                <w:szCs w:val="22"/>
                <w:highlight w:val="none"/>
              </w:rPr>
              <w:t>（1）比选小组将与通过初步评审的有效供应商按照</w:t>
            </w:r>
            <w:r>
              <w:rPr>
                <w:rFonts w:hint="eastAsia" w:ascii="仿宋" w:hAnsi="仿宋" w:eastAsia="仿宋" w:cs="仿宋"/>
                <w:color w:val="auto"/>
                <w:sz w:val="22"/>
                <w:szCs w:val="22"/>
                <w:highlight w:val="none"/>
                <w:u w:val="single"/>
              </w:rPr>
              <w:t>响应文件递交顺序</w:t>
            </w:r>
            <w:r>
              <w:rPr>
                <w:rFonts w:hint="eastAsia" w:ascii="仿宋" w:hAnsi="仿宋" w:eastAsia="仿宋" w:cs="仿宋"/>
                <w:color w:val="auto"/>
                <w:sz w:val="22"/>
                <w:szCs w:val="22"/>
                <w:highlight w:val="none"/>
              </w:rPr>
              <w:t>逐一进行比选，供应商至少应派法定代表人或其授权委托人准时参会。</w:t>
            </w:r>
          </w:p>
          <w:p>
            <w:pPr>
              <w:autoSpaceDE w:val="0"/>
              <w:autoSpaceDN w:val="0"/>
              <w:adjustRightInd w:val="0"/>
              <w:spacing w:line="400" w:lineRule="exact"/>
              <w:rPr>
                <w:rFonts w:ascii="仿宋" w:hAnsi="仿宋" w:eastAsia="仿宋" w:cs="仿宋"/>
                <w:color w:val="auto"/>
                <w:highlight w:val="none"/>
              </w:rPr>
            </w:pPr>
            <w:r>
              <w:rPr>
                <w:rFonts w:hint="eastAsia" w:ascii="仿宋" w:hAnsi="仿宋" w:eastAsia="仿宋" w:cs="仿宋"/>
                <w:color w:val="auto"/>
                <w:sz w:val="22"/>
                <w:szCs w:val="22"/>
                <w:highlight w:val="none"/>
              </w:rPr>
              <w:t>（2）比选小组有权要求供应商对响应文件中含义不明确、同类问题表述不一致或者有明显文字和计算错误的内容等进行澄清、说明或更正。第一轮比选结束后，供应商提交第一轮报价及比选小组要求提供的其他文件，比选小组将视具体情况决定是否进行多轮比选及报价。最后一轮比选结束后，供应商提交最终报价并签署相关承诺性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2</w:t>
            </w:r>
            <w:r>
              <w:rPr>
                <w:rFonts w:ascii="仿宋_GB2312" w:eastAsia="仿宋_GB2312"/>
                <w:color w:val="auto"/>
                <w:sz w:val="24"/>
                <w:szCs w:val="24"/>
                <w:highlight w:val="none"/>
                <w:lang w:eastAsia="zh-CN"/>
              </w:rPr>
              <w:t>.1.13</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auto"/>
                <w:szCs w:val="21"/>
                <w:highlight w:val="none"/>
              </w:rPr>
            </w:pPr>
            <w:r>
              <w:rPr>
                <w:rFonts w:hint="eastAsia" w:ascii="仿宋" w:hAnsi="仿宋" w:eastAsia="仿宋" w:cs="仿宋"/>
                <w:color w:val="auto"/>
                <w:szCs w:val="21"/>
                <w:highlight w:val="none"/>
              </w:rPr>
              <w:t>比选内容</w:t>
            </w:r>
          </w:p>
        </w:tc>
        <w:tc>
          <w:tcPr>
            <w:tcW w:w="7199" w:type="dxa"/>
            <w:vAlign w:val="center"/>
          </w:tcPr>
          <w:p>
            <w:pPr>
              <w:autoSpaceDE w:val="0"/>
              <w:autoSpaceDN w:val="0"/>
              <w:adjustRightInd w:val="0"/>
              <w:spacing w:line="400" w:lineRule="exact"/>
              <w:ind w:left="146" w:leftChars="61" w:firstLine="2"/>
              <w:rPr>
                <w:rFonts w:ascii="仿宋" w:hAnsi="仿宋" w:eastAsia="仿宋" w:cs="仿宋"/>
                <w:color w:val="auto"/>
                <w:highlight w:val="none"/>
              </w:rPr>
            </w:pPr>
            <w:r>
              <w:rPr>
                <w:rFonts w:hint="eastAsia" w:ascii="仿宋" w:hAnsi="仿宋" w:eastAsia="仿宋" w:cs="仿宋"/>
                <w:color w:val="auto"/>
                <w:sz w:val="22"/>
                <w:highlight w:val="none"/>
              </w:rPr>
              <w:t>包含但不仅限于</w:t>
            </w:r>
            <w:r>
              <w:rPr>
                <w:rFonts w:hint="eastAsia" w:ascii="仿宋" w:hAnsi="仿宋" w:eastAsia="仿宋" w:cs="仿宋"/>
                <w:color w:val="auto"/>
                <w:sz w:val="22"/>
                <w:highlight w:val="none"/>
                <w:u w:val="single"/>
              </w:rPr>
              <w:t>报价、对采购需求的理解、实施方案、人员配置、服务承诺、商务条款</w:t>
            </w:r>
            <w:r>
              <w:rPr>
                <w:rFonts w:hint="eastAsia" w:ascii="仿宋" w:hAnsi="仿宋" w:eastAsia="仿宋" w:cs="仿宋"/>
                <w:color w:val="auto"/>
                <w:sz w:val="22"/>
                <w:highlight w:val="none"/>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2"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2</w:t>
            </w:r>
            <w:r>
              <w:rPr>
                <w:rFonts w:ascii="仿宋_GB2312" w:eastAsia="仿宋_GB2312"/>
                <w:color w:val="auto"/>
                <w:sz w:val="24"/>
                <w:szCs w:val="24"/>
                <w:highlight w:val="none"/>
                <w:lang w:eastAsia="zh-CN"/>
              </w:rPr>
              <w:t>.1.14</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auto"/>
                <w:szCs w:val="21"/>
                <w:highlight w:val="none"/>
              </w:rPr>
            </w:pPr>
            <w:r>
              <w:rPr>
                <w:rFonts w:hint="eastAsia" w:ascii="仿宋" w:hAnsi="仿宋" w:eastAsia="仿宋" w:cs="仿宋"/>
                <w:color w:val="auto"/>
                <w:highlight w:val="none"/>
              </w:rPr>
              <w:t>成交候选人推荐原则</w:t>
            </w:r>
          </w:p>
        </w:tc>
        <w:tc>
          <w:tcPr>
            <w:tcW w:w="7199" w:type="dxa"/>
            <w:vAlign w:val="center"/>
          </w:tcPr>
          <w:p>
            <w:pPr>
              <w:autoSpaceDE w:val="0"/>
              <w:autoSpaceDN w:val="0"/>
              <w:adjustRightInd w:val="0"/>
              <w:spacing w:line="400" w:lineRule="exact"/>
              <w:ind w:left="146" w:leftChars="61" w:firstLine="2"/>
              <w:rPr>
                <w:rFonts w:ascii="仿宋" w:hAnsi="仿宋" w:eastAsia="仿宋" w:cs="仿宋"/>
                <w:color w:val="auto"/>
                <w:highlight w:val="none"/>
              </w:rPr>
            </w:pPr>
            <w:r>
              <w:rPr>
                <w:rFonts w:hint="eastAsia" w:ascii="仿宋" w:hAnsi="仿宋" w:eastAsia="仿宋" w:cs="仿宋"/>
                <w:color w:val="auto"/>
                <w:sz w:val="22"/>
                <w:highlight w:val="none"/>
              </w:rPr>
              <w:t>比选小组根据有效供应商</w:t>
            </w:r>
            <w:r>
              <w:rPr>
                <w:rFonts w:hint="eastAsia" w:ascii="仿宋" w:hAnsi="仿宋" w:eastAsia="仿宋" w:cs="宋体"/>
                <w:color w:val="auto"/>
                <w:sz w:val="22"/>
                <w:highlight w:val="none"/>
              </w:rPr>
              <w:t>综合得分由高至低排出的名次，顺序推荐</w:t>
            </w:r>
            <w:r>
              <w:rPr>
                <w:rFonts w:hint="eastAsia" w:ascii="仿宋" w:hAnsi="仿宋" w:eastAsia="仿宋" w:cs="宋体"/>
                <w:color w:val="auto"/>
                <w:sz w:val="22"/>
                <w:highlight w:val="none"/>
                <w:u w:val="single"/>
              </w:rPr>
              <w:t>综合得分前</w:t>
            </w:r>
            <w:r>
              <w:rPr>
                <w:rFonts w:hint="eastAsia" w:ascii="仿宋" w:hAnsi="仿宋" w:eastAsia="仿宋" w:cs="仿宋"/>
                <w:color w:val="auto"/>
                <w:sz w:val="22"/>
                <w:szCs w:val="22"/>
                <w:highlight w:val="none"/>
                <w:u w:val="single"/>
              </w:rPr>
              <w:t>1名</w:t>
            </w:r>
            <w:r>
              <w:rPr>
                <w:rFonts w:hint="eastAsia" w:ascii="仿宋" w:hAnsi="仿宋" w:eastAsia="仿宋" w:cs="宋体"/>
                <w:color w:val="auto"/>
                <w:sz w:val="22"/>
                <w:highlight w:val="none"/>
              </w:rPr>
              <w:t>为成交候选人。</w:t>
            </w:r>
            <w:r>
              <w:rPr>
                <w:rFonts w:hint="eastAsia" w:ascii="仿宋" w:hAnsi="仿宋" w:eastAsia="仿宋" w:cs="仿宋"/>
                <w:color w:val="auto"/>
                <w:sz w:val="22"/>
                <w:highlight w:val="none"/>
              </w:rPr>
              <w:t>综合得分相同时，价格得分高者排名</w:t>
            </w:r>
            <w:r>
              <w:rPr>
                <w:rFonts w:hint="eastAsia" w:ascii="仿宋" w:hAnsi="仿宋" w:eastAsia="仿宋" w:cs="仿宋"/>
                <w:color w:val="auto"/>
                <w:highlight w:val="none"/>
              </w:rPr>
              <w:t>优先；价格得分也相同时，</w:t>
            </w:r>
            <w:r>
              <w:rPr>
                <w:rFonts w:hint="eastAsia" w:ascii="仿宋" w:hAnsi="仿宋" w:eastAsia="仿宋" w:cs="仿宋"/>
                <w:color w:val="auto"/>
                <w:highlight w:val="none"/>
                <w:u w:val="single"/>
              </w:rPr>
              <w:t>技术/商务</w:t>
            </w:r>
            <w:r>
              <w:rPr>
                <w:rFonts w:hint="eastAsia" w:ascii="仿宋" w:hAnsi="仿宋" w:eastAsia="仿宋" w:cs="仿宋"/>
                <w:color w:val="auto"/>
                <w:highlight w:val="none"/>
              </w:rPr>
              <w:t>得分高者排名优先。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5"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2</w:t>
            </w:r>
            <w:r>
              <w:rPr>
                <w:rFonts w:ascii="仿宋_GB2312" w:eastAsia="仿宋_GB2312"/>
                <w:color w:val="auto"/>
                <w:sz w:val="24"/>
                <w:szCs w:val="24"/>
                <w:highlight w:val="none"/>
                <w:lang w:eastAsia="zh-CN"/>
              </w:rPr>
              <w:t>.1.15</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auto"/>
                <w:szCs w:val="21"/>
                <w:highlight w:val="none"/>
              </w:rPr>
            </w:pPr>
            <w:r>
              <w:rPr>
                <w:rFonts w:hint="eastAsia" w:ascii="仿宋" w:hAnsi="仿宋" w:eastAsia="仿宋" w:cs="仿宋"/>
                <w:color w:val="auto"/>
                <w:highlight w:val="none"/>
              </w:rPr>
              <w:t>成交人数量</w:t>
            </w:r>
          </w:p>
        </w:tc>
        <w:tc>
          <w:tcPr>
            <w:tcW w:w="7199" w:type="dxa"/>
            <w:vAlign w:val="center"/>
          </w:tcPr>
          <w:p>
            <w:pPr>
              <w:pStyle w:val="61"/>
              <w:spacing w:before="62" w:beforeLines="20" w:after="62" w:afterLines="20"/>
              <w:rPr>
                <w:rFonts w:ascii="仿宋" w:hAnsi="仿宋" w:eastAsia="仿宋" w:cs="仿宋"/>
                <w:color w:val="auto"/>
                <w:sz w:val="22"/>
                <w:szCs w:val="22"/>
                <w:highlight w:val="none"/>
                <w:u w:val="single"/>
              </w:rPr>
            </w:pPr>
            <w:r>
              <w:rPr>
                <w:rFonts w:hint="eastAsia" w:ascii="仿宋" w:hAnsi="仿宋" w:eastAsia="仿宋" w:cs="仿宋"/>
                <w:color w:val="auto"/>
                <w:sz w:val="22"/>
                <w:szCs w:val="22"/>
                <w:highlight w:val="none"/>
              </w:rPr>
              <w:t>成交人数量：</w:t>
            </w:r>
            <w:r>
              <w:rPr>
                <w:rFonts w:hint="eastAsia" w:ascii="仿宋" w:hAnsi="仿宋" w:eastAsia="仿宋" w:cs="仿宋"/>
                <w:color w:val="auto"/>
                <w:sz w:val="22"/>
                <w:szCs w:val="22"/>
                <w:highlight w:val="none"/>
                <w:u w:val="single"/>
              </w:rPr>
              <w:t>1家</w:t>
            </w:r>
          </w:p>
          <w:p>
            <w:pPr>
              <w:autoSpaceDE w:val="0"/>
              <w:autoSpaceDN w:val="0"/>
              <w:adjustRightInd w:val="0"/>
              <w:spacing w:line="400" w:lineRule="exact"/>
              <w:rPr>
                <w:rFonts w:ascii="仿宋" w:hAnsi="仿宋" w:eastAsia="仿宋" w:cs="仿宋"/>
                <w:color w:val="auto"/>
                <w:highlight w:val="none"/>
              </w:rPr>
            </w:pPr>
            <w:r>
              <w:rPr>
                <w:rFonts w:hint="eastAsia" w:ascii="仿宋" w:hAnsi="仿宋" w:eastAsia="仿宋" w:cs="宋体"/>
                <w:color w:val="auto"/>
                <w:sz w:val="22"/>
                <w:szCs w:val="22"/>
                <w:highlight w:val="none"/>
                <w:u w:val="single"/>
              </w:rPr>
              <w:t>综合排名第一</w:t>
            </w:r>
            <w:r>
              <w:rPr>
                <w:rFonts w:hint="eastAsia" w:ascii="仿宋" w:hAnsi="仿宋" w:eastAsia="仿宋" w:cs="仿宋"/>
                <w:color w:val="auto"/>
                <w:sz w:val="22"/>
                <w:szCs w:val="22"/>
                <w:highlight w:val="none"/>
              </w:rPr>
              <w:t>成交候选人放弃成交、因不可抗力不能履行合同、</w:t>
            </w:r>
            <w:r>
              <w:rPr>
                <w:rFonts w:hint="eastAsia" w:ascii="仿宋" w:hAnsi="仿宋" w:eastAsia="仿宋" w:cs="宋体"/>
                <w:color w:val="auto"/>
                <w:sz w:val="22"/>
                <w:szCs w:val="22"/>
                <w:highlight w:val="none"/>
              </w:rPr>
              <w:t>不按照比选文件要求提交履约保证金</w:t>
            </w:r>
            <w:r>
              <w:rPr>
                <w:rFonts w:hint="eastAsia" w:ascii="仿宋" w:hAnsi="仿宋" w:eastAsia="仿宋" w:cs="仿宋"/>
                <w:color w:val="auto"/>
                <w:sz w:val="22"/>
                <w:szCs w:val="22"/>
                <w:highlight w:val="none"/>
              </w:rPr>
              <w:t>、存在重大经营或法律风险、被查实存在影响采购结果的违法行为等情形，采购人按照比选小组提出的成交候选人名单排序依次确定其他成交候选人为成交人，或者重新采购。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hint="eastAsia" w:ascii="仿宋_GB2312" w:eastAsia="仿宋_GB2312"/>
                <w:color w:val="auto"/>
                <w:sz w:val="24"/>
                <w:szCs w:val="24"/>
                <w:highlight w:val="none"/>
                <w:lang w:eastAsia="zh-CN"/>
              </w:rPr>
              <w:t>2</w:t>
            </w:r>
            <w:r>
              <w:rPr>
                <w:rFonts w:ascii="仿宋_GB2312" w:eastAsia="仿宋_GB2312"/>
                <w:color w:val="auto"/>
                <w:sz w:val="24"/>
                <w:szCs w:val="24"/>
                <w:highlight w:val="none"/>
                <w:lang w:eastAsia="zh-CN"/>
              </w:rPr>
              <w:t>.1.16</w:t>
            </w:r>
          </w:p>
        </w:tc>
        <w:tc>
          <w:tcPr>
            <w:tcW w:w="1841" w:type="dxa"/>
            <w:vAlign w:val="center"/>
          </w:tcPr>
          <w:p>
            <w:pPr>
              <w:spacing w:line="400" w:lineRule="exact"/>
              <w:ind w:left="77" w:leftChars="32" w:right="132" w:rightChars="55" w:firstLine="67" w:firstLineChars="28"/>
              <w:jc w:val="center"/>
              <w:rPr>
                <w:rFonts w:ascii="仿宋" w:hAnsi="仿宋" w:eastAsia="仿宋" w:cs="仿宋"/>
                <w:color w:val="auto"/>
                <w:highlight w:val="none"/>
              </w:rPr>
            </w:pPr>
            <w:r>
              <w:rPr>
                <w:rFonts w:hint="eastAsia" w:ascii="仿宋" w:hAnsi="仿宋" w:eastAsia="仿宋" w:cs="仿宋"/>
                <w:color w:val="auto"/>
                <w:szCs w:val="21"/>
                <w:highlight w:val="none"/>
              </w:rPr>
              <w:t>履约保证金</w:t>
            </w:r>
          </w:p>
        </w:tc>
        <w:tc>
          <w:tcPr>
            <w:tcW w:w="7199" w:type="dxa"/>
            <w:vAlign w:val="center"/>
          </w:tcPr>
          <w:p>
            <w:pPr>
              <w:pStyle w:val="61"/>
              <w:spacing w:before="62" w:beforeLines="20" w:after="62" w:afterLines="20"/>
              <w:rPr>
                <w:rFonts w:ascii="仿宋" w:hAnsi="仿宋" w:eastAsia="仿宋"/>
                <w:color w:val="auto"/>
                <w:highlight w:val="none"/>
              </w:rPr>
            </w:pPr>
            <w:r>
              <w:rPr>
                <w:rFonts w:hint="eastAsia" w:ascii="仿宋" w:hAnsi="仿宋" w:eastAsia="仿宋"/>
                <w:color w:val="auto"/>
                <w:highlight w:val="none"/>
              </w:rPr>
              <w:t>□收取，形式及比例：</w:t>
            </w:r>
          </w:p>
          <w:p>
            <w:pPr>
              <w:pStyle w:val="61"/>
              <w:spacing w:before="62" w:beforeLines="20" w:after="62" w:afterLines="20"/>
              <w:rPr>
                <w:rFonts w:ascii="仿宋" w:hAnsi="仿宋" w:eastAsia="仿宋" w:cs="仿宋"/>
                <w:color w:val="auto"/>
                <w:highlight w:val="none"/>
              </w:rPr>
            </w:pPr>
            <w:r>
              <w:rPr>
                <w:rFonts w:hint="eastAsia" w:ascii="仿宋" w:hAnsi="仿宋" w:eastAsia="仿宋"/>
                <w:color w:val="auto"/>
                <w:highlight w:val="none"/>
              </w:rPr>
              <w:sym w:font="Wingdings 2" w:char="0052"/>
            </w:r>
            <w:r>
              <w:rPr>
                <w:rFonts w:hint="eastAsia" w:ascii="仿宋" w:hAnsi="仿宋" w:eastAsia="仿宋"/>
                <w:color w:val="auto"/>
                <w:highlight w:val="none"/>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vAlign w:val="center"/>
          </w:tcPr>
          <w:p>
            <w:pPr>
              <w:pStyle w:val="37"/>
              <w:snapToGrid w:val="0"/>
              <w:spacing w:line="300" w:lineRule="auto"/>
              <w:ind w:left="111" w:right="113"/>
              <w:jc w:val="center"/>
              <w:rPr>
                <w:rFonts w:ascii="仿宋_GB2312" w:eastAsia="仿宋_GB2312"/>
                <w:color w:val="auto"/>
                <w:sz w:val="24"/>
                <w:szCs w:val="24"/>
                <w:highlight w:val="none"/>
                <w:lang w:eastAsia="zh-CN"/>
              </w:rPr>
            </w:pPr>
            <w:r>
              <w:rPr>
                <w:rFonts w:ascii="仿宋_GB2312" w:eastAsia="仿宋_GB2312"/>
                <w:color w:val="auto"/>
                <w:sz w:val="24"/>
                <w:szCs w:val="24"/>
                <w:highlight w:val="none"/>
                <w:lang w:eastAsia="zh-CN"/>
              </w:rPr>
              <w:t>2.1.17</w:t>
            </w:r>
          </w:p>
        </w:tc>
        <w:tc>
          <w:tcPr>
            <w:tcW w:w="1841" w:type="dxa"/>
            <w:vAlign w:val="center"/>
          </w:tcPr>
          <w:p>
            <w:pPr>
              <w:spacing w:line="400" w:lineRule="exact"/>
              <w:ind w:left="77" w:leftChars="32" w:right="132" w:rightChars="55" w:firstLine="67" w:firstLineChars="28"/>
              <w:jc w:val="center"/>
              <w:rPr>
                <w:rFonts w:ascii="仿宋_GB2312" w:hAnsi="宋体" w:eastAsia="仿宋_GB2312"/>
                <w:color w:val="auto"/>
                <w:szCs w:val="21"/>
                <w:highlight w:val="none"/>
              </w:rPr>
            </w:pPr>
            <w:r>
              <w:rPr>
                <w:rFonts w:hint="eastAsia" w:ascii="仿宋_GB2312" w:hAnsi="宋体" w:eastAsia="仿宋_GB2312"/>
                <w:color w:val="auto"/>
                <w:szCs w:val="21"/>
                <w:highlight w:val="none"/>
              </w:rPr>
              <w:t>合同签署</w:t>
            </w:r>
          </w:p>
        </w:tc>
        <w:tc>
          <w:tcPr>
            <w:tcW w:w="7199" w:type="dxa"/>
            <w:vAlign w:val="center"/>
          </w:tcPr>
          <w:p>
            <w:pPr>
              <w:autoSpaceDE w:val="0"/>
              <w:autoSpaceDN w:val="0"/>
              <w:adjustRightInd w:val="0"/>
              <w:spacing w:line="400" w:lineRule="exact"/>
              <w:ind w:left="146" w:leftChars="61" w:firstLine="2"/>
              <w:rPr>
                <w:rFonts w:ascii="仿宋_GB2312" w:hAnsi="宋体" w:eastAsia="仿宋_GB2312" w:cs="新宋体"/>
                <w:color w:val="auto"/>
                <w:szCs w:val="21"/>
                <w:highlight w:val="none"/>
                <w:lang w:val="zh-CN"/>
              </w:rPr>
            </w:pPr>
            <w:r>
              <w:rPr>
                <w:rFonts w:hint="eastAsia" w:ascii="仿宋" w:hAnsi="仿宋" w:eastAsia="仿宋" w:cs="仿宋"/>
                <w:color w:val="auto"/>
                <w:sz w:val="22"/>
                <w:highlight w:val="none"/>
              </w:rPr>
              <w:t>项目采购人为中国人民财产保险股份有限公司</w:t>
            </w:r>
            <w:r>
              <w:rPr>
                <w:rFonts w:hint="eastAsia" w:ascii="仿宋" w:hAnsi="仿宋" w:eastAsia="仿宋" w:cs="仿宋"/>
                <w:color w:val="auto"/>
                <w:sz w:val="22"/>
                <w:highlight w:val="none"/>
                <w:lang w:eastAsia="zh-CN"/>
              </w:rPr>
              <w:t>泸县支公司</w:t>
            </w:r>
            <w:r>
              <w:rPr>
                <w:rFonts w:hint="eastAsia" w:ascii="仿宋" w:hAnsi="仿宋" w:eastAsia="仿宋" w:cs="仿宋"/>
                <w:color w:val="auto"/>
                <w:sz w:val="22"/>
                <w:highlight w:val="none"/>
              </w:rPr>
              <w:t>，</w:t>
            </w:r>
            <w:r>
              <w:rPr>
                <w:rFonts w:ascii="仿宋" w:hAnsi="仿宋" w:eastAsia="仿宋" w:cs="仿宋"/>
                <w:color w:val="auto"/>
                <w:sz w:val="22"/>
                <w:highlight w:val="none"/>
              </w:rPr>
              <w:t>实际合同签署人为采购人</w:t>
            </w:r>
            <w:r>
              <w:rPr>
                <w:rFonts w:hint="eastAsia" w:ascii="仿宋" w:hAnsi="仿宋" w:eastAsia="仿宋" w:cs="仿宋"/>
                <w:color w:val="auto"/>
                <w:sz w:val="22"/>
                <w:highlight w:val="none"/>
              </w:rPr>
              <w:t>上级</w:t>
            </w:r>
            <w:r>
              <w:rPr>
                <w:rFonts w:ascii="仿宋" w:hAnsi="仿宋" w:eastAsia="仿宋" w:cs="仿宋"/>
                <w:color w:val="auto"/>
                <w:sz w:val="22"/>
                <w:highlight w:val="none"/>
              </w:rPr>
              <w:t>分公司</w:t>
            </w:r>
            <w:r>
              <w:rPr>
                <w:rFonts w:hint="eastAsia" w:ascii="仿宋" w:hAnsi="仿宋" w:eastAsia="仿宋" w:cs="仿宋"/>
                <w:color w:val="auto"/>
                <w:sz w:val="22"/>
                <w:highlight w:val="none"/>
              </w:rPr>
              <w:t>中国人民财产保险股份有限公司泸州市分公司。</w:t>
            </w:r>
          </w:p>
        </w:tc>
      </w:tr>
    </w:tbl>
    <w:p>
      <w:pPr>
        <w:pStyle w:val="2"/>
        <w:rPr>
          <w:rFonts w:ascii="仿宋_GB2312" w:eastAsia="仿宋_GB2312"/>
          <w:color w:val="auto"/>
          <w:highlight w:val="none"/>
        </w:rPr>
      </w:pPr>
    </w:p>
    <w:p>
      <w:pPr>
        <w:pStyle w:val="2"/>
        <w:rPr>
          <w:rFonts w:ascii="仿宋_GB2312" w:eastAsia="仿宋_GB2312"/>
          <w:color w:val="auto"/>
          <w:highlight w:val="none"/>
        </w:rPr>
      </w:pPr>
    </w:p>
    <w:p>
      <w:pPr>
        <w:pStyle w:val="2"/>
        <w:rPr>
          <w:rFonts w:ascii="仿宋_GB2312" w:eastAsia="仿宋_GB2312"/>
          <w:color w:val="auto"/>
          <w:highlight w:val="none"/>
        </w:rPr>
      </w:pPr>
    </w:p>
    <w:p>
      <w:pPr>
        <w:pStyle w:val="2"/>
        <w:rPr>
          <w:rFonts w:ascii="仿宋_GB2312" w:eastAsia="仿宋_GB2312"/>
          <w:color w:val="auto"/>
          <w:highlight w:val="none"/>
        </w:rPr>
      </w:pPr>
    </w:p>
    <w:p>
      <w:pPr>
        <w:pStyle w:val="2"/>
        <w:rPr>
          <w:rFonts w:ascii="仿宋_GB2312" w:eastAsia="仿宋_GB2312"/>
          <w:color w:val="auto"/>
          <w:highlight w:val="none"/>
        </w:rPr>
      </w:pPr>
    </w:p>
    <w:p>
      <w:pPr>
        <w:pStyle w:val="2"/>
        <w:rPr>
          <w:rFonts w:ascii="仿宋_GB2312" w:eastAsia="仿宋_GB2312"/>
          <w:color w:val="auto"/>
          <w:highlight w:val="none"/>
        </w:rPr>
      </w:pPr>
    </w:p>
    <w:p>
      <w:pPr>
        <w:pStyle w:val="4"/>
        <w:jc w:val="left"/>
        <w:rPr>
          <w:rFonts w:ascii="仿宋" w:hAnsi="仿宋" w:eastAsia="仿宋" w:cs="仿宋"/>
          <w:color w:val="auto"/>
          <w:sz w:val="24"/>
          <w:szCs w:val="24"/>
          <w:highlight w:val="none"/>
        </w:rPr>
      </w:pPr>
      <w:bookmarkStart w:id="17" w:name="_Toc19783313"/>
      <w:bookmarkStart w:id="18" w:name="_Toc444891336"/>
      <w:bookmarkStart w:id="19" w:name="_Toc11071"/>
      <w:bookmarkStart w:id="20" w:name="_Toc6047"/>
      <w:bookmarkStart w:id="21" w:name="_Toc287600118"/>
      <w:bookmarkStart w:id="22" w:name="_Toc517281816"/>
      <w:bookmarkStart w:id="23" w:name="_Toc20514"/>
      <w:bookmarkStart w:id="24" w:name="_Toc27232"/>
      <w:bookmarkStart w:id="25" w:name="_Toc582"/>
      <w:bookmarkStart w:id="26" w:name="_Toc27220"/>
      <w:r>
        <w:rPr>
          <w:rFonts w:hint="eastAsia" w:ascii="仿宋" w:hAnsi="仿宋" w:eastAsia="仿宋" w:cs="仿宋"/>
          <w:color w:val="auto"/>
          <w:sz w:val="24"/>
          <w:szCs w:val="24"/>
          <w:highlight w:val="none"/>
        </w:rPr>
        <w:t>二、供应商须知</w:t>
      </w:r>
      <w:bookmarkEnd w:id="17"/>
      <w:bookmarkEnd w:id="18"/>
      <w:bookmarkEnd w:id="19"/>
      <w:bookmarkEnd w:id="20"/>
      <w:bookmarkEnd w:id="21"/>
      <w:bookmarkEnd w:id="22"/>
      <w:bookmarkEnd w:id="23"/>
      <w:bookmarkEnd w:id="24"/>
      <w:r>
        <w:rPr>
          <w:rFonts w:hint="eastAsia" w:ascii="仿宋" w:hAnsi="仿宋" w:eastAsia="仿宋" w:cs="仿宋"/>
          <w:color w:val="auto"/>
          <w:sz w:val="24"/>
          <w:szCs w:val="24"/>
          <w:highlight w:val="none"/>
        </w:rPr>
        <w:t>正文</w:t>
      </w:r>
      <w:bookmarkEnd w:id="25"/>
      <w:bookmarkEnd w:id="26"/>
    </w:p>
    <w:p>
      <w:pPr>
        <w:pStyle w:val="5"/>
        <w:spacing w:before="0" w:after="0" w:line="360" w:lineRule="auto"/>
        <w:ind w:firstLine="482"/>
        <w:rPr>
          <w:rFonts w:ascii="仿宋" w:hAnsi="仿宋" w:eastAsia="仿宋" w:cs="仿宋"/>
          <w:color w:val="auto"/>
          <w:sz w:val="24"/>
          <w:szCs w:val="24"/>
          <w:highlight w:val="none"/>
        </w:rPr>
      </w:pPr>
      <w:bookmarkStart w:id="27" w:name="_Toc431"/>
      <w:bookmarkStart w:id="28" w:name="_Toc287600119"/>
      <w:bookmarkStart w:id="29" w:name="_Toc444891337"/>
      <w:bookmarkStart w:id="30" w:name="_Toc16441"/>
      <w:bookmarkStart w:id="31" w:name="_Toc22969"/>
      <w:bookmarkStart w:id="32" w:name="_Toc11851"/>
      <w:bookmarkStart w:id="33" w:name="_Toc19783314"/>
      <w:bookmarkStart w:id="34" w:name="_Toc6681"/>
      <w:bookmarkStart w:id="35" w:name="_Toc517281817"/>
      <w:bookmarkStart w:id="36" w:name="_Toc3678"/>
      <w:bookmarkStart w:id="37" w:name="_Toc31265"/>
      <w:r>
        <w:rPr>
          <w:rFonts w:hint="eastAsia" w:ascii="仿宋" w:hAnsi="仿宋" w:eastAsia="仿宋" w:cs="仿宋"/>
          <w:color w:val="auto"/>
          <w:sz w:val="24"/>
          <w:szCs w:val="24"/>
          <w:highlight w:val="none"/>
        </w:rPr>
        <w:t>（一）总 则</w:t>
      </w:r>
      <w:bookmarkEnd w:id="27"/>
      <w:bookmarkEnd w:id="28"/>
      <w:bookmarkEnd w:id="29"/>
      <w:bookmarkEnd w:id="30"/>
      <w:bookmarkEnd w:id="31"/>
      <w:bookmarkEnd w:id="32"/>
      <w:bookmarkEnd w:id="33"/>
      <w:bookmarkEnd w:id="34"/>
      <w:bookmarkEnd w:id="35"/>
      <w:bookmarkEnd w:id="36"/>
      <w:bookmarkEnd w:id="37"/>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1.项目说明</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本项目按照中华人民共和国有关法律、行政法规和部门规章以及采购人的采购管理制度，通过比选方式确定签约供应商。</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2.采购范围</w:t>
      </w:r>
    </w:p>
    <w:p>
      <w:pPr>
        <w:tabs>
          <w:tab w:val="left" w:pos="3150"/>
          <w:tab w:val="left" w:pos="3780"/>
        </w:tabs>
        <w:spacing w:line="360" w:lineRule="auto"/>
        <w:rPr>
          <w:rFonts w:ascii="仿宋" w:hAnsi="仿宋" w:eastAsia="仿宋" w:cs="仿宋"/>
          <w:bCs/>
          <w:color w:val="auto"/>
          <w:highlight w:val="none"/>
        </w:rPr>
      </w:pPr>
      <w:r>
        <w:rPr>
          <w:rFonts w:hint="eastAsia" w:ascii="仿宋" w:hAnsi="仿宋" w:eastAsia="仿宋" w:cs="仿宋"/>
          <w:color w:val="auto"/>
          <w:highlight w:val="none"/>
          <w:u w:val="single"/>
        </w:rPr>
        <w:t>详见本须知前附表</w:t>
      </w:r>
      <w:r>
        <w:rPr>
          <w:rFonts w:hint="eastAsia" w:ascii="仿宋" w:hAnsi="仿宋" w:eastAsia="仿宋" w:cs="仿宋"/>
          <w:color w:val="auto"/>
          <w:highlight w:val="none"/>
        </w:rPr>
        <w:t>，</w:t>
      </w:r>
      <w:r>
        <w:rPr>
          <w:rFonts w:hint="eastAsia" w:ascii="仿宋" w:hAnsi="仿宋" w:eastAsia="仿宋" w:cs="仿宋"/>
          <w:bCs/>
          <w:color w:val="auto"/>
          <w:highlight w:val="none"/>
        </w:rPr>
        <w:t>详细内容详见第五章采购需求。</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3.资金来源</w:t>
      </w:r>
    </w:p>
    <w:p>
      <w:pPr>
        <w:tabs>
          <w:tab w:val="left" w:pos="3150"/>
          <w:tab w:val="left" w:pos="3780"/>
        </w:tabs>
        <w:spacing w:line="360" w:lineRule="auto"/>
        <w:rPr>
          <w:rFonts w:ascii="仿宋" w:hAnsi="仿宋" w:eastAsia="仿宋" w:cs="仿宋"/>
          <w:color w:val="auto"/>
          <w:highlight w:val="none"/>
        </w:rPr>
      </w:pPr>
      <w:r>
        <w:rPr>
          <w:rFonts w:hint="eastAsia" w:ascii="仿宋" w:hAnsi="仿宋" w:eastAsia="仿宋" w:cs="仿宋"/>
          <w:color w:val="auto"/>
          <w:highlight w:val="none"/>
        </w:rPr>
        <w:t>资金来源于采购人或其子公司（含分支机构）自筹（比例100%），且资金已落实。</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4.资格审查</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资格后审：是指在首次响应文件递交截止时间后由比选小组根据比选文件的规定对供应商进行的资格审查。采购人应当在比选文件中详细规定资格审查标准和方法，资格后审一般包括资格要求、其他业绩要求、审查标准和方法。本项目资格审查方式、供应商应具备的资格条件</w:t>
      </w:r>
      <w:r>
        <w:rPr>
          <w:rFonts w:hint="eastAsia" w:ascii="仿宋" w:hAnsi="仿宋" w:eastAsia="仿宋" w:cs="宋体"/>
          <w:color w:val="auto"/>
          <w:highlight w:val="none"/>
          <w:u w:val="single"/>
        </w:rPr>
        <w:t>详见本须知前附表。</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5.比选响应费用</w:t>
      </w:r>
    </w:p>
    <w:p>
      <w:pPr>
        <w:spacing w:line="360" w:lineRule="auto"/>
        <w:textAlignment w:val="baseline"/>
        <w:rPr>
          <w:rFonts w:ascii="仿宋" w:hAnsi="仿宋" w:eastAsia="仿宋" w:cs="宋体"/>
          <w:color w:val="auto"/>
          <w:highlight w:val="none"/>
        </w:rPr>
      </w:pPr>
      <w:r>
        <w:rPr>
          <w:rFonts w:hint="eastAsia" w:ascii="仿宋" w:hAnsi="仿宋" w:eastAsia="仿宋" w:cs="宋体"/>
          <w:color w:val="auto"/>
          <w:highlight w:val="none"/>
        </w:rPr>
        <w:t>不论结果如何，</w:t>
      </w:r>
      <w:r>
        <w:rPr>
          <w:rFonts w:hint="eastAsia" w:ascii="仿宋" w:hAnsi="仿宋" w:eastAsia="仿宋" w:cs="仿宋"/>
          <w:color w:val="auto"/>
          <w:highlight w:val="none"/>
        </w:rPr>
        <w:t>供应商</w:t>
      </w:r>
      <w:r>
        <w:rPr>
          <w:rFonts w:hint="eastAsia" w:ascii="仿宋" w:hAnsi="仿宋" w:eastAsia="仿宋" w:cs="宋体"/>
          <w:color w:val="auto"/>
          <w:highlight w:val="none"/>
        </w:rPr>
        <w:t>自行承担所有准备和参与本次比选响应的有关费用。</w:t>
      </w:r>
    </w:p>
    <w:p>
      <w:pPr>
        <w:pStyle w:val="5"/>
        <w:spacing w:after="0" w:line="360" w:lineRule="auto"/>
        <w:ind w:firstLine="482"/>
        <w:rPr>
          <w:rFonts w:ascii="仿宋" w:hAnsi="仿宋" w:eastAsia="仿宋" w:cs="仿宋"/>
          <w:color w:val="auto"/>
          <w:sz w:val="24"/>
          <w:szCs w:val="24"/>
          <w:highlight w:val="none"/>
        </w:rPr>
      </w:pPr>
      <w:bookmarkStart w:id="38" w:name="_Toc19783315"/>
      <w:bookmarkStart w:id="39" w:name="_Toc287600120"/>
      <w:bookmarkStart w:id="40" w:name="_Toc14164"/>
      <w:bookmarkStart w:id="41" w:name="_Toc5255"/>
      <w:bookmarkStart w:id="42" w:name="_Toc444891338"/>
      <w:bookmarkStart w:id="43" w:name="_Toc24246"/>
      <w:bookmarkStart w:id="44" w:name="_Toc10975"/>
      <w:bookmarkStart w:id="45" w:name="_Toc517281818"/>
      <w:bookmarkStart w:id="46" w:name="_Toc3016"/>
      <w:bookmarkStart w:id="47" w:name="_Toc25513"/>
      <w:bookmarkStart w:id="48" w:name="_Toc18030"/>
      <w:r>
        <w:rPr>
          <w:rFonts w:hint="eastAsia" w:ascii="仿宋" w:hAnsi="仿宋" w:eastAsia="仿宋" w:cs="仿宋"/>
          <w:color w:val="auto"/>
          <w:sz w:val="24"/>
          <w:szCs w:val="24"/>
          <w:highlight w:val="none"/>
        </w:rPr>
        <w:t>（二）比选文件</w:t>
      </w:r>
      <w:bookmarkEnd w:id="38"/>
      <w:bookmarkEnd w:id="39"/>
      <w:bookmarkEnd w:id="40"/>
      <w:bookmarkEnd w:id="41"/>
      <w:bookmarkEnd w:id="42"/>
      <w:bookmarkEnd w:id="43"/>
      <w:bookmarkEnd w:id="44"/>
      <w:bookmarkEnd w:id="45"/>
      <w:bookmarkEnd w:id="46"/>
      <w:bookmarkEnd w:id="47"/>
      <w:bookmarkEnd w:id="48"/>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6.比选文件的组成</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6.1比选文件包括下列内容：</w:t>
      </w:r>
    </w:p>
    <w:p>
      <w:pPr>
        <w:pStyle w:val="16"/>
        <w:widowControl/>
        <w:spacing w:line="360" w:lineRule="auto"/>
        <w:ind w:left="0" w:leftChars="0"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第一章 竞争性谈判邀请</w:t>
      </w:r>
    </w:p>
    <w:p>
      <w:pPr>
        <w:pStyle w:val="16"/>
        <w:widowControl/>
        <w:spacing w:line="360" w:lineRule="auto"/>
        <w:ind w:left="0" w:leftChars="0"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第二章 供应商须知</w:t>
      </w:r>
    </w:p>
    <w:p>
      <w:pPr>
        <w:pStyle w:val="16"/>
        <w:widowControl/>
        <w:spacing w:line="360" w:lineRule="auto"/>
        <w:ind w:left="0" w:leftChars="0"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第三章 评审办法</w:t>
      </w:r>
    </w:p>
    <w:p>
      <w:pPr>
        <w:pStyle w:val="16"/>
        <w:widowControl/>
        <w:spacing w:line="360" w:lineRule="auto"/>
        <w:ind w:left="0" w:leftChars="0" w:firstLine="480" w:firstLineChars="200"/>
        <w:jc w:val="left"/>
        <w:rPr>
          <w:rFonts w:ascii="仿宋" w:hAnsi="仿宋" w:eastAsia="仿宋" w:cs="仿宋"/>
          <w:color w:val="auto"/>
          <w:sz w:val="24"/>
          <w:highlight w:val="none"/>
        </w:rPr>
      </w:pPr>
      <w:r>
        <w:rPr>
          <w:rFonts w:hint="eastAsia" w:ascii="仿宋" w:hAnsi="仿宋" w:eastAsia="仿宋" w:cs="仿宋"/>
          <w:color w:val="auto"/>
          <w:sz w:val="24"/>
          <w:highlight w:val="none"/>
        </w:rPr>
        <w:t>第四章 合同格式</w:t>
      </w:r>
    </w:p>
    <w:p>
      <w:pPr>
        <w:tabs>
          <w:tab w:val="left" w:pos="540"/>
          <w:tab w:val="left" w:pos="720"/>
        </w:tabs>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第五章 采购需求</w:t>
      </w:r>
    </w:p>
    <w:p>
      <w:pPr>
        <w:tabs>
          <w:tab w:val="left" w:pos="540"/>
          <w:tab w:val="left" w:pos="720"/>
        </w:tabs>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第六章 响应文件格式</w:t>
      </w:r>
    </w:p>
    <w:p>
      <w:pPr>
        <w:topLinePunct/>
        <w:spacing w:line="360" w:lineRule="auto"/>
        <w:rPr>
          <w:rFonts w:ascii="仿宋" w:hAnsi="仿宋" w:eastAsia="仿宋" w:cs="仿宋"/>
          <w:color w:val="auto"/>
          <w:highlight w:val="none"/>
        </w:rPr>
      </w:pPr>
      <w:r>
        <w:rPr>
          <w:rFonts w:hint="eastAsia" w:ascii="仿宋" w:hAnsi="仿宋" w:eastAsia="仿宋" w:cs="仿宋"/>
          <w:color w:val="auto"/>
          <w:highlight w:val="none"/>
        </w:rPr>
        <w:t>6.</w:t>
      </w:r>
      <w:r>
        <w:rPr>
          <w:rFonts w:ascii="仿宋" w:hAnsi="仿宋" w:eastAsia="仿宋" w:cs="仿宋"/>
          <w:color w:val="auto"/>
          <w:highlight w:val="none"/>
        </w:rPr>
        <w:t>2</w:t>
      </w:r>
      <w:r>
        <w:rPr>
          <w:rFonts w:hint="eastAsia" w:ascii="仿宋" w:hAnsi="仿宋" w:eastAsia="仿宋" w:cs="仿宋"/>
          <w:color w:val="auto"/>
          <w:highlight w:val="none"/>
        </w:rPr>
        <w:t>采购人在比选文件中以显著的方式标明实质性要求、条件以及不满足实质性要求和条件的响应文件将被否决的提示。实质性标识方式和具体要求</w:t>
      </w:r>
      <w:r>
        <w:rPr>
          <w:rFonts w:hint="eastAsia" w:ascii="仿宋" w:hAnsi="仿宋" w:eastAsia="仿宋" w:cs="仿宋"/>
          <w:color w:val="auto"/>
          <w:highlight w:val="none"/>
          <w:u w:val="single"/>
        </w:rPr>
        <w:t>见本须知前附表</w:t>
      </w:r>
      <w:r>
        <w:rPr>
          <w:rFonts w:hint="eastAsia" w:ascii="仿宋" w:hAnsi="仿宋" w:eastAsia="仿宋" w:cs="仿宋"/>
          <w:color w:val="auto"/>
          <w:highlight w:val="none"/>
        </w:rPr>
        <w:t>。</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7.比选文件的修改</w:t>
      </w:r>
    </w:p>
    <w:p>
      <w:pPr>
        <w:topLinePunct/>
        <w:spacing w:line="360" w:lineRule="auto"/>
        <w:rPr>
          <w:rFonts w:ascii="仿宋_GB2312" w:hAnsi="宋体" w:eastAsia="仿宋_GB2312"/>
          <w:color w:val="auto"/>
          <w:highlight w:val="none"/>
        </w:rPr>
      </w:pPr>
      <w:r>
        <w:rPr>
          <w:rFonts w:hint="eastAsia" w:ascii="仿宋" w:hAnsi="仿宋" w:eastAsia="仿宋" w:cs="仿宋"/>
          <w:color w:val="auto"/>
          <w:highlight w:val="none"/>
        </w:rPr>
        <w:t>7.1</w:t>
      </w:r>
      <w:r>
        <w:rPr>
          <w:rFonts w:hint="eastAsia" w:ascii="仿宋_GB2312" w:hAnsi="宋体" w:eastAsia="仿宋_GB2312"/>
          <w:color w:val="auto"/>
          <w:highlight w:val="none"/>
        </w:rPr>
        <w:t>在响应文件递交截止时间前，无论出于何种原因，采购人可主动地或在解答供应商要求澄清的问题时对比选文件进行修改。</w:t>
      </w:r>
    </w:p>
    <w:p>
      <w:pPr>
        <w:topLinePunct/>
        <w:spacing w:line="360" w:lineRule="auto"/>
        <w:rPr>
          <w:rFonts w:ascii="仿宋" w:hAnsi="仿宋" w:eastAsia="仿宋" w:cs="宋体"/>
          <w:color w:val="auto"/>
          <w:highlight w:val="none"/>
        </w:rPr>
      </w:pPr>
      <w:r>
        <w:rPr>
          <w:rFonts w:hint="eastAsia" w:ascii="仿宋_GB2312" w:hAnsi="宋体" w:eastAsia="仿宋_GB2312"/>
          <w:color w:val="auto"/>
          <w:highlight w:val="none"/>
        </w:rPr>
        <w:t>7</w:t>
      </w:r>
      <w:r>
        <w:rPr>
          <w:rFonts w:ascii="仿宋_GB2312" w:hAnsi="宋体" w:eastAsia="仿宋_GB2312"/>
          <w:color w:val="auto"/>
          <w:highlight w:val="none"/>
        </w:rPr>
        <w:t>.2</w:t>
      </w:r>
      <w:r>
        <w:rPr>
          <w:rFonts w:hint="eastAsia" w:ascii="仿宋_GB2312" w:hAnsi="宋体" w:eastAsia="仿宋_GB2312"/>
          <w:color w:val="auto"/>
          <w:highlight w:val="none"/>
        </w:rPr>
        <w:t>供应商有权要求采购人对比选文件中的有关问题进行答疑、澄清。</w:t>
      </w:r>
    </w:p>
    <w:p>
      <w:pPr>
        <w:pStyle w:val="2"/>
        <w:snapToGrid w:val="0"/>
        <w:spacing w:after="0" w:line="360" w:lineRule="auto"/>
        <w:ind w:right="-57"/>
        <w:jc w:val="both"/>
        <w:rPr>
          <w:rFonts w:ascii="仿宋_GB2312" w:hAnsi="宋体" w:eastAsia="仿宋_GB2312"/>
          <w:color w:val="auto"/>
          <w:highlight w:val="none"/>
        </w:rPr>
      </w:pPr>
      <w:r>
        <w:rPr>
          <w:rFonts w:ascii="仿宋_GB2312" w:hAnsi="宋体" w:eastAsia="仿宋_GB2312"/>
          <w:color w:val="auto"/>
          <w:highlight w:val="none"/>
        </w:rPr>
        <w:t>7.3</w:t>
      </w:r>
      <w:r>
        <w:rPr>
          <w:rFonts w:hint="eastAsia" w:ascii="仿宋_GB2312" w:hAnsi="宋体" w:eastAsia="仿宋_GB2312"/>
          <w:color w:val="auto"/>
          <w:highlight w:val="none"/>
        </w:rPr>
        <w:t>供应商对比选文件如有疑问,应在首次响应文件递交截止时间前按比选文件</w:t>
      </w:r>
      <w:r>
        <w:rPr>
          <w:rFonts w:hint="eastAsia" w:ascii="仿宋_GB2312" w:hAnsi="宋体" w:eastAsia="仿宋_GB2312"/>
          <w:color w:val="auto"/>
          <w:spacing w:val="-3"/>
          <w:highlight w:val="none"/>
        </w:rPr>
        <w:t>中的联系方式，通知采购人。采购人将视情况采用适当方式予</w:t>
      </w:r>
      <w:r>
        <w:rPr>
          <w:rFonts w:hint="eastAsia" w:ascii="仿宋_GB2312" w:hAnsi="宋体" w:eastAsia="仿宋_GB2312"/>
          <w:color w:val="auto"/>
          <w:highlight w:val="none"/>
        </w:rPr>
        <w:t>以澄清或以书面形式予以答复。</w:t>
      </w:r>
      <w:r>
        <w:rPr>
          <w:rFonts w:hint="eastAsia" w:ascii="仿宋_GB2312" w:hAnsi="宋体" w:eastAsia="仿宋_GB2312"/>
          <w:color w:val="auto"/>
          <w:spacing w:val="-3"/>
          <w:highlight w:val="none"/>
        </w:rPr>
        <w:t>供应商在收到上述通知后，应立即向采购人回复确认。供</w:t>
      </w:r>
      <w:r>
        <w:rPr>
          <w:rFonts w:hint="eastAsia" w:ascii="仿宋_GB2312" w:hAnsi="宋体" w:eastAsia="仿宋_GB2312"/>
          <w:color w:val="auto"/>
          <w:highlight w:val="none"/>
        </w:rPr>
        <w:t>应商将被视为编制响应文件时已考虑了上述修改。</w:t>
      </w:r>
    </w:p>
    <w:p>
      <w:pPr>
        <w:pStyle w:val="2"/>
        <w:snapToGrid w:val="0"/>
        <w:spacing w:after="0" w:line="360" w:lineRule="auto"/>
        <w:ind w:right="-57"/>
        <w:jc w:val="both"/>
        <w:rPr>
          <w:rFonts w:ascii="仿宋_GB2312" w:hAnsi="宋体" w:eastAsia="仿宋_GB2312"/>
          <w:color w:val="auto"/>
          <w:highlight w:val="none"/>
        </w:rPr>
      </w:pPr>
      <w:r>
        <w:rPr>
          <w:rFonts w:ascii="仿宋_GB2312" w:hAnsi="宋体" w:eastAsia="仿宋_GB2312"/>
          <w:color w:val="auto"/>
          <w:highlight w:val="none"/>
        </w:rPr>
        <w:t>7.4</w:t>
      </w:r>
      <w:r>
        <w:rPr>
          <w:rFonts w:hint="eastAsia" w:ascii="仿宋_GB2312" w:hAnsi="宋体" w:eastAsia="仿宋_GB2312"/>
          <w:color w:val="auto"/>
          <w:highlight w:val="none"/>
        </w:rPr>
        <w:t>对于比选文件的修改，如影响供应商响应文件编制的，</w:t>
      </w:r>
      <w:r>
        <w:rPr>
          <w:rFonts w:hint="eastAsia" w:ascii="仿宋_GB2312" w:hAnsi="宋体" w:eastAsia="仿宋_GB2312"/>
          <w:color w:val="auto"/>
          <w:spacing w:val="-3"/>
          <w:highlight w:val="none"/>
        </w:rPr>
        <w:t>采购人应推迟响应文件递交截止日期，并以书面或邮件形式通知所有已获取比选文件</w:t>
      </w:r>
      <w:r>
        <w:rPr>
          <w:rFonts w:hint="eastAsia" w:ascii="仿宋_GB2312" w:hAnsi="宋体" w:eastAsia="仿宋_GB2312"/>
          <w:color w:val="auto"/>
          <w:highlight w:val="none"/>
        </w:rPr>
        <w:t>的供应商。</w:t>
      </w:r>
    </w:p>
    <w:p>
      <w:pPr>
        <w:pStyle w:val="2"/>
        <w:snapToGrid w:val="0"/>
        <w:spacing w:after="0" w:line="360" w:lineRule="auto"/>
        <w:ind w:right="-57"/>
        <w:jc w:val="both"/>
        <w:rPr>
          <w:rFonts w:ascii="仿宋_GB2312" w:hAnsi="宋体" w:eastAsia="仿宋_GB2312"/>
          <w:color w:val="auto"/>
          <w:highlight w:val="none"/>
        </w:rPr>
      </w:pPr>
      <w:r>
        <w:rPr>
          <w:rFonts w:ascii="仿宋_GB2312" w:hAnsi="宋体" w:eastAsia="仿宋_GB2312"/>
          <w:color w:val="auto"/>
          <w:highlight w:val="none"/>
        </w:rPr>
        <w:t>7.5</w:t>
      </w:r>
      <w:r>
        <w:rPr>
          <w:rFonts w:hint="eastAsia" w:ascii="仿宋_GB2312" w:hAnsi="宋体" w:eastAsia="仿宋_GB2312"/>
          <w:color w:val="auto"/>
          <w:highlight w:val="none"/>
        </w:rPr>
        <w:t>任何对比选文件的澄清均为比选文件的组成部分，并具有同等的法律效力。如比选文件的澄清与比选文件有矛盾，以日期后的为准。</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8.比选响应预备会</w:t>
      </w:r>
    </w:p>
    <w:p>
      <w:pPr>
        <w:spacing w:line="360" w:lineRule="auto"/>
        <w:textAlignment w:val="baseline"/>
        <w:rPr>
          <w:rFonts w:ascii="仿宋" w:hAnsi="仿宋" w:eastAsia="仿宋" w:cs="宋体"/>
          <w:color w:val="auto"/>
          <w:highlight w:val="none"/>
          <w:u w:val="single"/>
        </w:rPr>
      </w:pPr>
      <w:r>
        <w:rPr>
          <w:rFonts w:hint="eastAsia" w:ascii="仿宋" w:hAnsi="仿宋" w:eastAsia="仿宋" w:cs="宋体"/>
          <w:color w:val="auto"/>
          <w:highlight w:val="none"/>
        </w:rPr>
        <w:t>采购人认为必要时，将召开比选响应预备会(答疑会)，公开解答潜在供应商对比选文件提出的疑问。</w:t>
      </w:r>
    </w:p>
    <w:p>
      <w:pPr>
        <w:pStyle w:val="5"/>
        <w:spacing w:after="0" w:line="360" w:lineRule="auto"/>
        <w:jc w:val="center"/>
        <w:rPr>
          <w:rFonts w:ascii="仿宋" w:hAnsi="仿宋" w:eastAsia="仿宋" w:cs="仿宋"/>
          <w:color w:val="auto"/>
          <w:sz w:val="24"/>
          <w:szCs w:val="24"/>
          <w:highlight w:val="none"/>
        </w:rPr>
      </w:pPr>
      <w:bookmarkStart w:id="49" w:name="_Toc27563"/>
      <w:bookmarkStart w:id="50" w:name="_Toc444891339"/>
      <w:bookmarkStart w:id="51" w:name="_Toc19783316"/>
      <w:bookmarkStart w:id="52" w:name="_Toc16985"/>
      <w:bookmarkStart w:id="53" w:name="_Toc517281819"/>
      <w:bookmarkStart w:id="54" w:name="_Toc31141"/>
      <w:bookmarkStart w:id="55" w:name="_Toc27642"/>
      <w:bookmarkStart w:id="56" w:name="_Toc287600121"/>
      <w:bookmarkStart w:id="57" w:name="_Toc14308"/>
      <w:bookmarkStart w:id="58" w:name="_Toc13691"/>
      <w:bookmarkStart w:id="59" w:name="_Toc19869"/>
      <w:r>
        <w:rPr>
          <w:rFonts w:hint="eastAsia" w:ascii="仿宋" w:hAnsi="仿宋" w:eastAsia="仿宋" w:cs="仿宋"/>
          <w:color w:val="auto"/>
          <w:sz w:val="24"/>
          <w:szCs w:val="24"/>
          <w:highlight w:val="none"/>
        </w:rPr>
        <w:t>（三）响应文件</w:t>
      </w:r>
      <w:bookmarkEnd w:id="49"/>
      <w:bookmarkEnd w:id="50"/>
      <w:bookmarkEnd w:id="51"/>
      <w:bookmarkEnd w:id="52"/>
      <w:bookmarkEnd w:id="53"/>
      <w:bookmarkEnd w:id="54"/>
      <w:bookmarkEnd w:id="55"/>
      <w:bookmarkEnd w:id="56"/>
      <w:bookmarkEnd w:id="57"/>
      <w:bookmarkEnd w:id="58"/>
      <w:bookmarkEnd w:id="59"/>
    </w:p>
    <w:p>
      <w:pPr>
        <w:pStyle w:val="6"/>
        <w:spacing w:before="0" w:after="0" w:line="360" w:lineRule="auto"/>
        <w:rPr>
          <w:rFonts w:ascii="仿宋" w:hAnsi="仿宋" w:eastAsia="仿宋" w:cs="仿宋"/>
          <w:color w:val="auto"/>
          <w:sz w:val="24"/>
          <w:szCs w:val="24"/>
          <w:highlight w:val="none"/>
        </w:rPr>
      </w:pPr>
      <w:r>
        <w:rPr>
          <w:rFonts w:ascii="仿宋" w:hAnsi="仿宋" w:eastAsia="仿宋" w:cs="仿宋"/>
          <w:color w:val="auto"/>
          <w:sz w:val="24"/>
          <w:szCs w:val="24"/>
          <w:highlight w:val="none"/>
        </w:rPr>
        <w:t>9</w:t>
      </w:r>
      <w:r>
        <w:rPr>
          <w:rFonts w:hint="eastAsia" w:ascii="仿宋" w:hAnsi="仿宋" w:eastAsia="仿宋" w:cs="仿宋"/>
          <w:color w:val="auto"/>
          <w:sz w:val="24"/>
          <w:szCs w:val="24"/>
          <w:highlight w:val="none"/>
        </w:rPr>
        <w:t>.响应文件的组成</w:t>
      </w:r>
    </w:p>
    <w:p>
      <w:pPr>
        <w:spacing w:line="360" w:lineRule="auto"/>
        <w:rPr>
          <w:rFonts w:ascii="仿宋" w:hAnsi="仿宋" w:eastAsia="仿宋" w:cs="仿宋"/>
          <w:color w:val="auto"/>
          <w:highlight w:val="none"/>
        </w:rPr>
      </w:pPr>
      <w:r>
        <w:rPr>
          <w:rFonts w:hint="eastAsia" w:ascii="仿宋" w:hAnsi="仿宋" w:eastAsia="仿宋" w:cs="宋体"/>
          <w:color w:val="auto"/>
          <w:highlight w:val="none"/>
        </w:rPr>
        <w:t>供应商应当按照供应商须知前附表的要求制作并提交响应文件，具体组成</w:t>
      </w:r>
      <w:r>
        <w:rPr>
          <w:rFonts w:hint="eastAsia" w:ascii="仿宋" w:hAnsi="仿宋" w:eastAsia="仿宋" w:cs="仿宋"/>
          <w:color w:val="auto"/>
          <w:highlight w:val="none"/>
          <w:u w:val="single"/>
        </w:rPr>
        <w:t>见本须知前附表</w:t>
      </w:r>
      <w:r>
        <w:rPr>
          <w:rFonts w:hint="eastAsia" w:ascii="仿宋" w:hAnsi="仿宋" w:eastAsia="仿宋" w:cs="仿宋"/>
          <w:color w:val="auto"/>
          <w:highlight w:val="none"/>
        </w:rPr>
        <w:t>。</w:t>
      </w:r>
    </w:p>
    <w:p>
      <w:pPr>
        <w:pStyle w:val="6"/>
        <w:spacing w:before="0" w:after="0" w:line="360" w:lineRule="auto"/>
        <w:rPr>
          <w:rFonts w:ascii="仿宋" w:hAnsi="仿宋" w:eastAsia="仿宋" w:cs="仿宋"/>
          <w:color w:val="auto"/>
          <w:sz w:val="24"/>
          <w:szCs w:val="24"/>
          <w:highlight w:val="none"/>
        </w:rPr>
      </w:pPr>
      <w:r>
        <w:rPr>
          <w:rFonts w:ascii="仿宋" w:hAnsi="仿宋" w:eastAsia="仿宋" w:cs="仿宋"/>
          <w:color w:val="auto"/>
          <w:sz w:val="24"/>
          <w:szCs w:val="24"/>
          <w:highlight w:val="none"/>
        </w:rPr>
        <w:t>10</w:t>
      </w:r>
      <w:r>
        <w:rPr>
          <w:rFonts w:hint="eastAsia" w:ascii="仿宋" w:hAnsi="仿宋" w:eastAsia="仿宋" w:cs="仿宋"/>
          <w:color w:val="auto"/>
          <w:sz w:val="24"/>
          <w:szCs w:val="24"/>
          <w:highlight w:val="none"/>
        </w:rPr>
        <w:t>.响应文件的编制</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10</w:t>
      </w:r>
      <w:r>
        <w:rPr>
          <w:rFonts w:hint="eastAsia" w:ascii="仿宋" w:hAnsi="仿宋" w:eastAsia="仿宋" w:cs="宋体"/>
          <w:color w:val="auto"/>
          <w:highlight w:val="none"/>
        </w:rPr>
        <w:t xml:space="preserve">.1 供应商应当按照比选文件的要求编制响应文件，并对其提交的响应文件的真实性、合法性承担法律责任。响应文件应当对比选文件提出的实质性要求和条件作出响应。 </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10</w:t>
      </w:r>
      <w:r>
        <w:rPr>
          <w:rFonts w:hint="eastAsia" w:ascii="仿宋" w:hAnsi="仿宋" w:eastAsia="仿宋" w:cs="宋体"/>
          <w:color w:val="auto"/>
          <w:highlight w:val="none"/>
        </w:rPr>
        <w:t xml:space="preserve">.2 供应商应认真阅读比选文件中所有的事项、格式、条款和技术规范等。供应商没有按照比选文件要求递交全部资料，或者供应商没有对比选文件在各方面都作出实质性响应是供应商的风险，并可能导致其比选响应被否决。 </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 xml:space="preserve">0.3 </w:t>
      </w:r>
      <w:r>
        <w:rPr>
          <w:rFonts w:hint="eastAsia" w:ascii="仿宋" w:hAnsi="仿宋" w:eastAsia="仿宋" w:cs="宋体"/>
          <w:color w:val="auto"/>
          <w:highlight w:val="none"/>
        </w:rPr>
        <w:t>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比选文件中要求进行解释或提出建议的除外）。</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 xml:space="preserve">0.4 </w:t>
      </w:r>
      <w:r>
        <w:rPr>
          <w:rFonts w:hint="eastAsia" w:ascii="仿宋" w:hAnsi="仿宋" w:eastAsia="仿宋" w:cs="宋体"/>
          <w:color w:val="auto"/>
          <w:highlight w:val="none"/>
        </w:rPr>
        <w:t>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比选文件中要求进行解释或提出建议的除外）。</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10</w:t>
      </w:r>
      <w:r>
        <w:rPr>
          <w:rFonts w:hint="eastAsia" w:ascii="仿宋" w:hAnsi="仿宋" w:eastAsia="仿宋" w:cs="宋体"/>
          <w:color w:val="auto"/>
          <w:highlight w:val="none"/>
        </w:rPr>
        <w:t>.</w:t>
      </w:r>
      <w:r>
        <w:rPr>
          <w:rFonts w:ascii="仿宋" w:hAnsi="仿宋" w:eastAsia="仿宋" w:cs="宋体"/>
          <w:color w:val="auto"/>
          <w:highlight w:val="none"/>
        </w:rPr>
        <w:t>5</w:t>
      </w:r>
      <w:r>
        <w:rPr>
          <w:rFonts w:hint="eastAsia" w:ascii="仿宋" w:hAnsi="仿宋" w:eastAsia="仿宋" w:cs="宋体"/>
          <w:color w:val="auto"/>
          <w:highlight w:val="none"/>
        </w:rPr>
        <w:t xml:space="preserve"> 供应商提交的响应文件以及供应商与采购人就有关比选的所有往来函电均应使用中文。供应商提交的证明文件和印刷的文献可以使用另一种语言，但相应内容应当译成中文，在解释响应文件时以中文译本为准。</w:t>
      </w:r>
    </w:p>
    <w:p>
      <w:pPr>
        <w:topLinePunct/>
        <w:spacing w:line="360" w:lineRule="auto"/>
        <w:rPr>
          <w:rFonts w:ascii="仿宋" w:hAnsi="仿宋" w:eastAsia="仿宋" w:cs="宋体"/>
          <w:color w:val="auto"/>
          <w:highlight w:val="none"/>
          <w:u w:val="single"/>
        </w:rPr>
      </w:pPr>
      <w:r>
        <w:rPr>
          <w:rFonts w:ascii="仿宋" w:hAnsi="仿宋" w:eastAsia="仿宋" w:cs="宋体"/>
          <w:color w:val="auto"/>
          <w:highlight w:val="none"/>
        </w:rPr>
        <w:t>10</w:t>
      </w:r>
      <w:r>
        <w:rPr>
          <w:rFonts w:hint="eastAsia" w:ascii="仿宋" w:hAnsi="仿宋" w:eastAsia="仿宋" w:cs="宋体"/>
          <w:color w:val="auto"/>
          <w:highlight w:val="none"/>
        </w:rPr>
        <w:t>.</w:t>
      </w:r>
      <w:r>
        <w:rPr>
          <w:rFonts w:ascii="仿宋" w:hAnsi="仿宋" w:eastAsia="仿宋" w:cs="宋体"/>
          <w:color w:val="auto"/>
          <w:highlight w:val="none"/>
        </w:rPr>
        <w:t>6</w:t>
      </w:r>
      <w:r>
        <w:rPr>
          <w:rFonts w:hint="eastAsia" w:ascii="仿宋" w:hAnsi="仿宋" w:eastAsia="仿宋" w:cs="宋体"/>
          <w:color w:val="auto"/>
          <w:highlight w:val="none"/>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60" w:name="_Hlk173250545"/>
      <w:r>
        <w:rPr>
          <w:rFonts w:hint="eastAsia" w:ascii="仿宋" w:hAnsi="仿宋" w:eastAsia="仿宋" w:cs="宋体"/>
          <w:color w:val="auto"/>
          <w:highlight w:val="none"/>
        </w:rPr>
        <w:t>盖章或者签字另有要求的，</w:t>
      </w:r>
      <w:r>
        <w:rPr>
          <w:rFonts w:hint="eastAsia" w:ascii="仿宋" w:hAnsi="仿宋" w:eastAsia="仿宋" w:cs="宋体"/>
          <w:color w:val="auto"/>
          <w:highlight w:val="none"/>
          <w:u w:val="single"/>
        </w:rPr>
        <w:t>见本须知前附表。</w:t>
      </w:r>
    </w:p>
    <w:bookmarkEnd w:id="60"/>
    <w:p>
      <w:pPr>
        <w:spacing w:line="360" w:lineRule="auto"/>
        <w:rPr>
          <w:rFonts w:ascii="仿宋" w:hAnsi="仿宋" w:eastAsia="仿宋" w:cs="仿宋"/>
          <w:color w:val="auto"/>
          <w:highlight w:val="none"/>
        </w:rPr>
      </w:pPr>
      <w:r>
        <w:rPr>
          <w:rFonts w:hint="eastAsia" w:ascii="仿宋" w:hAnsi="仿宋" w:eastAsia="仿宋" w:cs="仿宋"/>
          <w:color w:val="auto"/>
          <w:highlight w:val="none"/>
        </w:rPr>
        <w:t>1</w:t>
      </w:r>
      <w:r>
        <w:rPr>
          <w:rFonts w:ascii="仿宋" w:hAnsi="仿宋" w:eastAsia="仿宋" w:cs="仿宋"/>
          <w:color w:val="auto"/>
          <w:highlight w:val="none"/>
        </w:rPr>
        <w:t>0.7</w:t>
      </w:r>
      <w:r>
        <w:rPr>
          <w:rFonts w:hint="eastAsia" w:ascii="仿宋" w:hAnsi="仿宋" w:eastAsia="仿宋" w:cs="仿宋"/>
          <w:color w:val="auto"/>
          <w:highlight w:val="none"/>
        </w:rPr>
        <w:t>除工程规范另有规定外，响应文件使用的度量衡单位，均采用中华人民共和国法定计量单位。</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11.比选响应报价</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供应商应当根据比选文件要求进行报价，供应商应当报出符合比选文件要求的拟提供货物或服务的单价、总价、费率、税率等内容，采购人不接受供应商的任何低于成本报价的不正当竞争方式，其他报价要求</w:t>
      </w:r>
      <w:r>
        <w:rPr>
          <w:rFonts w:hint="eastAsia" w:ascii="仿宋" w:hAnsi="仿宋" w:eastAsia="仿宋" w:cs="仿宋"/>
          <w:color w:val="auto"/>
          <w:highlight w:val="none"/>
        </w:rPr>
        <w:t>见</w:t>
      </w:r>
      <w:r>
        <w:rPr>
          <w:rFonts w:hint="eastAsia" w:ascii="仿宋" w:hAnsi="仿宋" w:eastAsia="仿宋" w:cs="仿宋"/>
          <w:color w:val="auto"/>
          <w:highlight w:val="none"/>
          <w:u w:val="single"/>
        </w:rPr>
        <w:t>供应商须知前附表</w:t>
      </w:r>
      <w:r>
        <w:rPr>
          <w:rFonts w:hint="eastAsia" w:ascii="仿宋" w:hAnsi="仿宋" w:eastAsia="仿宋" w:cs="仿宋"/>
          <w:color w:val="auto"/>
          <w:highlight w:val="none"/>
        </w:rPr>
        <w:t>。</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ascii="仿宋" w:hAnsi="仿宋" w:eastAsia="仿宋" w:cs="仿宋"/>
          <w:color w:val="auto"/>
          <w:sz w:val="24"/>
          <w:szCs w:val="24"/>
          <w:highlight w:val="none"/>
        </w:rPr>
        <w:t>2</w:t>
      </w:r>
      <w:r>
        <w:rPr>
          <w:rFonts w:hint="eastAsia" w:ascii="仿宋" w:hAnsi="仿宋" w:eastAsia="仿宋" w:cs="仿宋"/>
          <w:color w:val="auto"/>
          <w:sz w:val="24"/>
          <w:szCs w:val="24"/>
          <w:highlight w:val="none"/>
        </w:rPr>
        <w:t>.比选响应有效期</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12</w:t>
      </w:r>
      <w:r>
        <w:rPr>
          <w:rFonts w:hint="eastAsia" w:ascii="仿宋" w:hAnsi="仿宋" w:eastAsia="仿宋" w:cs="宋体"/>
          <w:color w:val="auto"/>
          <w:highlight w:val="none"/>
        </w:rPr>
        <w:t>.1 比选响应有效期从响应文件递交截止之日起算，具体时间</w:t>
      </w:r>
      <w:r>
        <w:rPr>
          <w:rFonts w:hint="eastAsia" w:ascii="仿宋" w:hAnsi="仿宋" w:eastAsia="仿宋" w:cs="宋体"/>
          <w:color w:val="auto"/>
          <w:highlight w:val="none"/>
          <w:u w:val="single"/>
        </w:rPr>
        <w:t>见本须知前附表</w:t>
      </w:r>
      <w:r>
        <w:rPr>
          <w:rFonts w:hint="eastAsia" w:ascii="仿宋" w:hAnsi="仿宋" w:eastAsia="仿宋" w:cs="宋体"/>
          <w:color w:val="auto"/>
          <w:highlight w:val="none"/>
        </w:rPr>
        <w:t>，在此期间，供应商不得要求撤销或修改其响应文件。供应商承诺的比选响应有效期必须不短于比选文件规定的比选响应有效期，否则将构成对比选文件的非实质性响应，比选响应将被否决。</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12</w:t>
      </w:r>
      <w:r>
        <w:rPr>
          <w:rFonts w:hint="eastAsia" w:ascii="仿宋" w:hAnsi="仿宋" w:eastAsia="仿宋" w:cs="宋体"/>
          <w:color w:val="auto"/>
          <w:highlight w:val="none"/>
        </w:rPr>
        <w:t>.2 在原比选响应有效期结束前，出现特殊情况的，采购人可以书面形式要求所有供应商延长比选响应有效期。供应商同意延长的，不得要求或被允许修改其响应文件的实质性内容。供应商拒绝延长的，其比选响应失效。</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ascii="仿宋" w:hAnsi="仿宋" w:eastAsia="仿宋" w:cs="仿宋"/>
          <w:color w:val="auto"/>
          <w:sz w:val="24"/>
          <w:szCs w:val="24"/>
          <w:highlight w:val="none"/>
        </w:rPr>
        <w:t>3</w:t>
      </w:r>
      <w:r>
        <w:rPr>
          <w:rFonts w:hint="eastAsia" w:ascii="仿宋" w:hAnsi="仿宋" w:eastAsia="仿宋" w:cs="仿宋"/>
          <w:color w:val="auto"/>
          <w:sz w:val="24"/>
          <w:szCs w:val="24"/>
          <w:highlight w:val="none"/>
        </w:rPr>
        <w:t>.响应文件的式样、密封和标记</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13</w:t>
      </w:r>
      <w:r>
        <w:rPr>
          <w:rFonts w:hint="eastAsia" w:ascii="仿宋" w:hAnsi="仿宋" w:eastAsia="仿宋" w:cs="宋体"/>
          <w:color w:val="auto"/>
          <w:highlight w:val="none"/>
        </w:rPr>
        <w:t>.1 供应商应当编制一份响应文件“正本”和</w:t>
      </w:r>
      <w:r>
        <w:rPr>
          <w:rFonts w:hint="eastAsia" w:ascii="仿宋" w:hAnsi="仿宋" w:eastAsia="仿宋" w:cs="宋体"/>
          <w:color w:val="auto"/>
          <w:highlight w:val="none"/>
          <w:u w:val="single"/>
        </w:rPr>
        <w:t>本须知前附表</w:t>
      </w:r>
      <w:r>
        <w:rPr>
          <w:rFonts w:hint="eastAsia" w:ascii="仿宋" w:hAnsi="仿宋" w:eastAsia="仿宋" w:cs="宋体"/>
          <w:color w:val="auto"/>
          <w:highlight w:val="none"/>
        </w:rPr>
        <w:t>所述份数的“副本”和“电子版”，副本为正本复印件。纸质版文件与电子版文件不一致时，以</w:t>
      </w:r>
      <w:r>
        <w:rPr>
          <w:rFonts w:hint="eastAsia" w:ascii="仿宋" w:hAnsi="仿宋" w:eastAsia="仿宋" w:cs="宋体"/>
          <w:b/>
          <w:bCs/>
          <w:color w:val="auto"/>
          <w:highlight w:val="none"/>
          <w:lang w:eastAsia="zh-Hans"/>
        </w:rPr>
        <w:t>纸质版</w:t>
      </w:r>
      <w:r>
        <w:rPr>
          <w:rFonts w:hint="eastAsia" w:ascii="仿宋" w:hAnsi="仿宋" w:eastAsia="仿宋" w:cs="宋体"/>
          <w:color w:val="auto"/>
          <w:highlight w:val="none"/>
        </w:rPr>
        <w:t xml:space="preserve">文件为准，电子招投标项目，按照相关法律法规执行;响应文件正本与副本不一致时，以正本为准。 </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13</w:t>
      </w:r>
      <w:r>
        <w:rPr>
          <w:rFonts w:hint="eastAsia" w:ascii="仿宋" w:hAnsi="仿宋" w:eastAsia="仿宋" w:cs="宋体"/>
          <w:color w:val="auto"/>
          <w:highlight w:val="none"/>
        </w:rPr>
        <w:t>.2 每份纸质文件响应文件的正本、副本应当分别装订，并于封面上明确标明“正本”“副本”字样。具体要求</w:t>
      </w:r>
      <w:r>
        <w:rPr>
          <w:rFonts w:hint="eastAsia" w:ascii="仿宋" w:hAnsi="仿宋" w:eastAsia="仿宋" w:cs="宋体"/>
          <w:color w:val="auto"/>
          <w:highlight w:val="none"/>
          <w:u w:val="single"/>
        </w:rPr>
        <w:t>见本须知前附表</w:t>
      </w:r>
      <w:r>
        <w:rPr>
          <w:rFonts w:hint="eastAsia" w:ascii="仿宋" w:hAnsi="仿宋" w:eastAsia="仿宋" w:cs="宋体"/>
          <w:color w:val="auto"/>
          <w:highlight w:val="none"/>
        </w:rPr>
        <w:t>。</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13</w:t>
      </w:r>
      <w:r>
        <w:rPr>
          <w:rFonts w:hint="eastAsia" w:ascii="仿宋" w:hAnsi="仿宋" w:eastAsia="仿宋" w:cs="宋体"/>
          <w:color w:val="auto"/>
          <w:highlight w:val="none"/>
        </w:rPr>
        <w:t>.</w:t>
      </w:r>
      <w:r>
        <w:rPr>
          <w:rFonts w:ascii="仿宋" w:hAnsi="仿宋" w:eastAsia="仿宋" w:cs="宋体"/>
          <w:color w:val="auto"/>
          <w:highlight w:val="none"/>
        </w:rPr>
        <w:t>3</w:t>
      </w:r>
      <w:r>
        <w:rPr>
          <w:rFonts w:hint="eastAsia" w:ascii="仿宋" w:hAnsi="仿宋" w:eastAsia="仿宋" w:cs="宋体"/>
          <w:color w:val="auto"/>
          <w:highlight w:val="none"/>
        </w:rPr>
        <w:t xml:space="preserve"> 对于比选文件中提及的原件或复印件要求，照片件、扫描件、影印件、截图件等与其具有同等效力（比选文件有特殊要求的除外）。</w:t>
      </w:r>
    </w:p>
    <w:p>
      <w:pPr>
        <w:pStyle w:val="5"/>
        <w:spacing w:after="0" w:line="360" w:lineRule="auto"/>
        <w:ind w:firstLine="482"/>
        <w:rPr>
          <w:rFonts w:ascii="仿宋" w:hAnsi="仿宋" w:eastAsia="仿宋" w:cs="仿宋"/>
          <w:color w:val="auto"/>
          <w:sz w:val="24"/>
          <w:szCs w:val="24"/>
          <w:highlight w:val="none"/>
        </w:rPr>
      </w:pPr>
      <w:bookmarkStart w:id="61" w:name="_Toc18673"/>
      <w:bookmarkStart w:id="62" w:name="_Toc14726"/>
      <w:bookmarkStart w:id="63" w:name="_Toc444891340"/>
      <w:bookmarkStart w:id="64" w:name="_Toc287600122"/>
      <w:bookmarkStart w:id="65" w:name="_Toc4155"/>
      <w:bookmarkStart w:id="66" w:name="_Toc7129"/>
      <w:bookmarkStart w:id="67" w:name="_Toc517281820"/>
      <w:bookmarkStart w:id="68" w:name="_Toc21600"/>
      <w:bookmarkStart w:id="69" w:name="_Toc19783317"/>
      <w:bookmarkStart w:id="70" w:name="_Toc17865"/>
      <w:bookmarkStart w:id="71" w:name="_Toc7358"/>
      <w:r>
        <w:rPr>
          <w:rFonts w:hint="eastAsia" w:ascii="仿宋" w:hAnsi="仿宋" w:eastAsia="仿宋" w:cs="仿宋"/>
          <w:color w:val="auto"/>
          <w:sz w:val="24"/>
          <w:szCs w:val="24"/>
          <w:highlight w:val="none"/>
        </w:rPr>
        <w:t>（四）响应文件的</w:t>
      </w:r>
      <w:bookmarkEnd w:id="61"/>
      <w:bookmarkEnd w:id="62"/>
      <w:bookmarkEnd w:id="63"/>
      <w:bookmarkEnd w:id="64"/>
      <w:bookmarkEnd w:id="65"/>
      <w:bookmarkEnd w:id="66"/>
      <w:bookmarkEnd w:id="67"/>
      <w:bookmarkEnd w:id="68"/>
      <w:bookmarkEnd w:id="69"/>
      <w:r>
        <w:rPr>
          <w:rFonts w:hint="eastAsia" w:ascii="仿宋" w:hAnsi="仿宋" w:eastAsia="仿宋" w:cs="仿宋"/>
          <w:color w:val="auto"/>
          <w:sz w:val="24"/>
          <w:szCs w:val="24"/>
          <w:highlight w:val="none"/>
        </w:rPr>
        <w:t>递交</w:t>
      </w:r>
      <w:bookmarkEnd w:id="70"/>
      <w:bookmarkEnd w:id="71"/>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ascii="仿宋" w:hAnsi="仿宋" w:eastAsia="仿宋" w:cs="仿宋"/>
          <w:color w:val="auto"/>
          <w:sz w:val="24"/>
          <w:szCs w:val="24"/>
          <w:highlight w:val="none"/>
        </w:rPr>
        <w:t>4</w:t>
      </w:r>
      <w:r>
        <w:rPr>
          <w:rFonts w:hint="eastAsia" w:ascii="仿宋" w:hAnsi="仿宋" w:eastAsia="仿宋" w:cs="仿宋"/>
          <w:color w:val="auto"/>
          <w:sz w:val="24"/>
          <w:szCs w:val="24"/>
          <w:highlight w:val="none"/>
        </w:rPr>
        <w:t>.响应文件的递交</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1</w:t>
      </w:r>
      <w:r>
        <w:rPr>
          <w:rFonts w:ascii="仿宋" w:hAnsi="仿宋" w:eastAsia="仿宋" w:cs="仿宋"/>
          <w:color w:val="auto"/>
          <w:highlight w:val="none"/>
        </w:rPr>
        <w:t>4</w:t>
      </w:r>
      <w:r>
        <w:rPr>
          <w:rFonts w:hint="eastAsia" w:ascii="仿宋" w:hAnsi="仿宋" w:eastAsia="仿宋" w:cs="仿宋"/>
          <w:color w:val="auto"/>
          <w:highlight w:val="none"/>
        </w:rPr>
        <w:t>.1供应商应按</w:t>
      </w:r>
      <w:r>
        <w:rPr>
          <w:rFonts w:hint="eastAsia" w:ascii="仿宋" w:hAnsi="仿宋" w:eastAsia="仿宋" w:cs="仿宋"/>
          <w:color w:val="auto"/>
          <w:highlight w:val="none"/>
          <w:u w:val="single"/>
        </w:rPr>
        <w:t>本须知前附表</w:t>
      </w:r>
      <w:r>
        <w:rPr>
          <w:rFonts w:hint="eastAsia" w:ascii="仿宋" w:hAnsi="仿宋" w:eastAsia="仿宋" w:cs="仿宋"/>
          <w:color w:val="auto"/>
          <w:highlight w:val="none"/>
        </w:rPr>
        <w:t>规定的时间、方式递交响应文件。</w:t>
      </w:r>
    </w:p>
    <w:p>
      <w:pPr>
        <w:spacing w:line="360" w:lineRule="auto"/>
        <w:rPr>
          <w:rFonts w:ascii="仿宋" w:hAnsi="仿宋" w:eastAsia="仿宋" w:cs="宋体"/>
          <w:b/>
          <w:bCs/>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4</w:t>
      </w:r>
      <w:r>
        <w:rPr>
          <w:rFonts w:hint="eastAsia" w:ascii="仿宋" w:hAnsi="仿宋" w:eastAsia="仿宋" w:cs="宋体"/>
          <w:color w:val="auto"/>
          <w:highlight w:val="none"/>
        </w:rPr>
        <w:t>.2出现下列情形之一时，</w:t>
      </w:r>
      <w:r>
        <w:rPr>
          <w:rFonts w:hint="eastAsia" w:ascii="仿宋" w:hAnsi="仿宋" w:eastAsia="仿宋" w:cs="宋体"/>
          <w:b/>
          <w:bCs/>
          <w:color w:val="auto"/>
          <w:highlight w:val="none"/>
        </w:rPr>
        <w:t>响应文件不予接收或已经递交的响应文件无效；</w:t>
      </w:r>
    </w:p>
    <w:p>
      <w:pPr>
        <w:spacing w:line="360" w:lineRule="auto"/>
        <w:rPr>
          <w:rFonts w:ascii="仿宋" w:hAnsi="仿宋" w:eastAsia="仿宋" w:cs="宋体"/>
          <w:color w:val="auto"/>
          <w:highlight w:val="none"/>
        </w:rPr>
      </w:pPr>
      <w:r>
        <w:rPr>
          <w:rFonts w:hint="eastAsia" w:ascii="仿宋" w:hAnsi="仿宋" w:eastAsia="仿宋" w:cs="宋体"/>
          <w:color w:val="auto"/>
          <w:highlight w:val="none"/>
        </w:rPr>
        <w:t>（1）电子响应文件逾期递交的；</w:t>
      </w:r>
    </w:p>
    <w:p>
      <w:pPr>
        <w:spacing w:line="360" w:lineRule="auto"/>
        <w:rPr>
          <w:rFonts w:ascii="仿宋" w:hAnsi="仿宋" w:eastAsia="仿宋" w:cs="宋体"/>
          <w:color w:val="auto"/>
          <w:highlight w:val="none"/>
        </w:rPr>
      </w:pPr>
      <w:r>
        <w:rPr>
          <w:rFonts w:hint="eastAsia" w:ascii="仿宋" w:hAnsi="仿宋" w:eastAsia="仿宋" w:cs="宋体"/>
          <w:color w:val="auto"/>
          <w:highlight w:val="none"/>
        </w:rPr>
        <w:t>（2）纸质响应文件逾期递交或者未送达指定地点或者未按照比选文件要求封装的；</w:t>
      </w:r>
    </w:p>
    <w:p>
      <w:pPr>
        <w:spacing w:line="360" w:lineRule="auto"/>
        <w:rPr>
          <w:rFonts w:ascii="仿宋" w:hAnsi="仿宋" w:eastAsia="仿宋" w:cs="宋体"/>
          <w:color w:val="auto"/>
          <w:highlight w:val="none"/>
        </w:rPr>
      </w:pPr>
      <w:r>
        <w:rPr>
          <w:rFonts w:hint="eastAsia" w:ascii="仿宋" w:hAnsi="仿宋" w:eastAsia="仿宋" w:cs="宋体"/>
          <w:color w:val="auto"/>
          <w:highlight w:val="none"/>
        </w:rPr>
        <w:t>（</w:t>
      </w:r>
      <w:r>
        <w:rPr>
          <w:rFonts w:ascii="仿宋" w:hAnsi="仿宋" w:eastAsia="仿宋" w:cs="宋体"/>
          <w:color w:val="auto"/>
          <w:highlight w:val="none"/>
        </w:rPr>
        <w:t>3</w:t>
      </w:r>
      <w:r>
        <w:rPr>
          <w:rFonts w:hint="eastAsia" w:ascii="仿宋" w:hAnsi="仿宋" w:eastAsia="仿宋" w:cs="宋体"/>
          <w:color w:val="auto"/>
          <w:highlight w:val="none"/>
        </w:rPr>
        <w:t>）未按比选公告或者响应公告书要求获得本项目比选文件的。</w:t>
      </w:r>
    </w:p>
    <w:p>
      <w:pPr>
        <w:pStyle w:val="6"/>
        <w:spacing w:before="0" w:after="0" w:line="360" w:lineRule="auto"/>
        <w:rPr>
          <w:rFonts w:ascii="仿宋" w:hAnsi="仿宋" w:eastAsia="仿宋" w:cs="仿宋"/>
          <w:color w:val="auto"/>
          <w:sz w:val="24"/>
          <w:szCs w:val="24"/>
          <w:highlight w:val="none"/>
        </w:rPr>
      </w:pPr>
      <w:r>
        <w:rPr>
          <w:rFonts w:ascii="仿宋" w:hAnsi="仿宋" w:eastAsia="仿宋" w:cs="仿宋"/>
          <w:color w:val="auto"/>
          <w:sz w:val="24"/>
          <w:szCs w:val="24"/>
          <w:highlight w:val="none"/>
        </w:rPr>
        <w:t>15</w:t>
      </w:r>
      <w:r>
        <w:rPr>
          <w:rFonts w:hint="eastAsia" w:ascii="仿宋" w:hAnsi="仿宋" w:eastAsia="仿宋" w:cs="仿宋"/>
          <w:color w:val="auto"/>
          <w:sz w:val="24"/>
          <w:szCs w:val="24"/>
          <w:highlight w:val="none"/>
        </w:rPr>
        <w:t>.响应文件的修改、撤回和撤销</w:t>
      </w:r>
    </w:p>
    <w:p>
      <w:pPr>
        <w:spacing w:line="360" w:lineRule="auto"/>
        <w:rPr>
          <w:rFonts w:ascii="仿宋" w:hAnsi="仿宋" w:eastAsia="仿宋" w:cs="仿宋"/>
          <w:color w:val="auto"/>
          <w:highlight w:val="none"/>
        </w:rPr>
      </w:pPr>
      <w:r>
        <w:rPr>
          <w:rFonts w:ascii="仿宋" w:hAnsi="仿宋" w:eastAsia="仿宋" w:cs="仿宋"/>
          <w:color w:val="auto"/>
          <w:highlight w:val="none"/>
        </w:rPr>
        <w:t>15</w:t>
      </w:r>
      <w:r>
        <w:rPr>
          <w:rFonts w:hint="eastAsia" w:ascii="仿宋" w:hAnsi="仿宋" w:eastAsia="仿宋" w:cs="仿宋"/>
          <w:color w:val="auto"/>
          <w:highlight w:val="none"/>
        </w:rPr>
        <w:t>.1</w:t>
      </w:r>
      <w:r>
        <w:rPr>
          <w:rFonts w:hint="eastAsia" w:ascii="仿宋" w:hAnsi="仿宋" w:eastAsia="仿宋" w:cs="宋体"/>
          <w:color w:val="auto"/>
          <w:spacing w:val="-4"/>
          <w:highlight w:val="none"/>
        </w:rPr>
        <w:t>在</w:t>
      </w:r>
      <w:r>
        <w:rPr>
          <w:rFonts w:hint="eastAsia" w:ascii="仿宋" w:hAnsi="仿宋" w:eastAsia="仿宋" w:cs="宋体"/>
          <w:color w:val="auto"/>
          <w:highlight w:val="none"/>
        </w:rPr>
        <w:t>比选文件</w:t>
      </w:r>
      <w:r>
        <w:rPr>
          <w:rFonts w:hint="eastAsia" w:ascii="仿宋" w:hAnsi="仿宋" w:eastAsia="仿宋" w:cs="宋体"/>
          <w:color w:val="auto"/>
          <w:spacing w:val="-4"/>
          <w:highlight w:val="none"/>
        </w:rPr>
        <w:t>规定的</w:t>
      </w:r>
      <w:r>
        <w:rPr>
          <w:rFonts w:hint="eastAsia" w:ascii="仿宋" w:hAnsi="仿宋" w:eastAsia="仿宋" w:cs="仿宋"/>
          <w:color w:val="auto"/>
          <w:highlight w:val="none"/>
        </w:rPr>
        <w:t>响应文件</w:t>
      </w:r>
      <w:r>
        <w:rPr>
          <w:rFonts w:hint="eastAsia" w:ascii="仿宋" w:hAnsi="仿宋" w:eastAsia="仿宋" w:cs="宋体"/>
          <w:color w:val="auto"/>
          <w:spacing w:val="-4"/>
          <w:highlight w:val="none"/>
        </w:rPr>
        <w:t>递交截止时间前，</w:t>
      </w:r>
      <w:r>
        <w:rPr>
          <w:rFonts w:hint="eastAsia" w:ascii="仿宋" w:hAnsi="仿宋" w:eastAsia="仿宋" w:cs="宋体"/>
          <w:color w:val="auto"/>
          <w:highlight w:val="none"/>
        </w:rPr>
        <w:t>可以补充、修改或撤回已提交的响应文件。</w:t>
      </w:r>
      <w:r>
        <w:rPr>
          <w:rFonts w:ascii="仿宋" w:hAnsi="仿宋" w:eastAsia="仿宋" w:cs="宋体"/>
          <w:color w:val="auto"/>
          <w:highlight w:val="none"/>
        </w:rPr>
        <w:t>补充、修改的内容为</w:t>
      </w:r>
      <w:r>
        <w:rPr>
          <w:rFonts w:hint="eastAsia" w:ascii="仿宋" w:hAnsi="仿宋" w:eastAsia="仿宋" w:cs="宋体"/>
          <w:color w:val="auto"/>
          <w:highlight w:val="none"/>
        </w:rPr>
        <w:t>响应</w:t>
      </w:r>
      <w:r>
        <w:rPr>
          <w:rFonts w:ascii="仿宋" w:hAnsi="仿宋" w:eastAsia="仿宋" w:cs="宋体"/>
          <w:color w:val="auto"/>
          <w:highlight w:val="none"/>
        </w:rPr>
        <w:t>文件的组成部分</w:t>
      </w:r>
      <w:r>
        <w:rPr>
          <w:rFonts w:hint="eastAsia" w:ascii="仿宋" w:hAnsi="仿宋" w:eastAsia="仿宋" w:cs="宋体"/>
          <w:color w:val="auto"/>
          <w:highlight w:val="none"/>
        </w:rPr>
        <w:t>，应当在响应文件递交截止时间前按照比选文件的规定进行递交。</w:t>
      </w:r>
    </w:p>
    <w:p>
      <w:pPr>
        <w:pStyle w:val="2"/>
        <w:spacing w:line="360" w:lineRule="auto"/>
        <w:rPr>
          <w:color w:val="auto"/>
          <w:highlight w:val="none"/>
        </w:rPr>
      </w:pPr>
      <w:bookmarkStart w:id="72" w:name="_Toc332188194"/>
      <w:bookmarkStart w:id="73" w:name="_Toc326223561"/>
      <w:bookmarkStart w:id="74" w:name="_Toc246996945"/>
      <w:bookmarkStart w:id="75" w:name="_Toc152045558"/>
      <w:bookmarkStart w:id="76" w:name="_Toc247085716"/>
      <w:bookmarkStart w:id="77" w:name="_Toc144974526"/>
      <w:bookmarkStart w:id="78" w:name="_Toc152042334"/>
      <w:bookmarkStart w:id="79" w:name="_Toc246996202"/>
      <w:bookmarkStart w:id="80" w:name="_Toc334766948"/>
      <w:bookmarkStart w:id="81" w:name="_Toc179632576"/>
      <w:r>
        <w:rPr>
          <w:rFonts w:ascii="仿宋" w:hAnsi="仿宋" w:eastAsia="仿宋" w:cs="仿宋"/>
          <w:color w:val="auto"/>
          <w:highlight w:val="none"/>
        </w:rPr>
        <w:t>15.2</w:t>
      </w:r>
      <w:bookmarkEnd w:id="72"/>
      <w:bookmarkEnd w:id="73"/>
      <w:bookmarkEnd w:id="74"/>
      <w:bookmarkEnd w:id="75"/>
      <w:bookmarkEnd w:id="76"/>
      <w:bookmarkEnd w:id="77"/>
      <w:bookmarkEnd w:id="78"/>
      <w:bookmarkEnd w:id="79"/>
      <w:bookmarkEnd w:id="80"/>
      <w:bookmarkEnd w:id="81"/>
      <w:r>
        <w:rPr>
          <w:rFonts w:hint="eastAsia" w:ascii="仿宋" w:hAnsi="仿宋" w:eastAsia="仿宋" w:cs="仿宋"/>
          <w:color w:val="auto"/>
          <w:highlight w:val="none"/>
        </w:rPr>
        <w:t xml:space="preserve"> </w:t>
      </w:r>
      <w:r>
        <w:rPr>
          <w:rFonts w:hint="eastAsia" w:ascii="仿宋" w:hAnsi="仿宋" w:eastAsia="仿宋" w:cs="宋体"/>
          <w:color w:val="auto"/>
          <w:highlight w:val="none"/>
        </w:rPr>
        <w:t>响应文件递交截止时间后，供应商在响应有效期内撤销其响应文件，比选保证金不予退还。</w:t>
      </w:r>
    </w:p>
    <w:p>
      <w:pPr>
        <w:pStyle w:val="5"/>
        <w:spacing w:before="0" w:after="0" w:line="360" w:lineRule="auto"/>
        <w:ind w:firstLine="482"/>
        <w:rPr>
          <w:rFonts w:ascii="仿宋" w:hAnsi="仿宋" w:eastAsia="仿宋" w:cs="仿宋"/>
          <w:color w:val="auto"/>
          <w:sz w:val="24"/>
          <w:szCs w:val="24"/>
          <w:highlight w:val="none"/>
        </w:rPr>
      </w:pPr>
      <w:bookmarkStart w:id="82" w:name="_Toc444891341"/>
      <w:bookmarkStart w:id="83" w:name="_Toc11361"/>
      <w:bookmarkStart w:id="84" w:name="_Toc517281821"/>
      <w:bookmarkStart w:id="85" w:name="_Toc287600123"/>
      <w:bookmarkStart w:id="86" w:name="_Toc12797"/>
      <w:bookmarkStart w:id="87" w:name="_Toc20741"/>
      <w:bookmarkStart w:id="88" w:name="_Toc2636"/>
      <w:bookmarkStart w:id="89" w:name="_Toc30466"/>
      <w:bookmarkStart w:id="90" w:name="_Toc2055"/>
      <w:bookmarkStart w:id="91" w:name="_Toc18044"/>
      <w:r>
        <w:rPr>
          <w:rFonts w:hint="eastAsia" w:ascii="仿宋" w:hAnsi="仿宋" w:eastAsia="仿宋" w:cs="仿宋"/>
          <w:color w:val="auto"/>
          <w:sz w:val="24"/>
          <w:szCs w:val="24"/>
          <w:highlight w:val="none"/>
        </w:rPr>
        <w:t>（五）比选和评审</w:t>
      </w:r>
      <w:bookmarkEnd w:id="82"/>
      <w:bookmarkEnd w:id="83"/>
      <w:bookmarkEnd w:id="84"/>
      <w:bookmarkEnd w:id="85"/>
      <w:bookmarkEnd w:id="86"/>
      <w:bookmarkEnd w:id="87"/>
      <w:bookmarkEnd w:id="88"/>
      <w:bookmarkEnd w:id="89"/>
      <w:bookmarkEnd w:id="90"/>
      <w:bookmarkEnd w:id="91"/>
    </w:p>
    <w:p>
      <w:pPr>
        <w:pStyle w:val="6"/>
        <w:spacing w:before="0" w:after="0" w:line="360" w:lineRule="auto"/>
        <w:rPr>
          <w:rFonts w:ascii="仿宋" w:hAnsi="仿宋" w:eastAsia="仿宋" w:cs="仿宋"/>
          <w:color w:val="auto"/>
          <w:sz w:val="24"/>
          <w:szCs w:val="24"/>
          <w:highlight w:val="none"/>
        </w:rPr>
      </w:pPr>
      <w:bookmarkStart w:id="92" w:name="_Toc234223229"/>
      <w:bookmarkStart w:id="93" w:name="_Toc234223227"/>
      <w:r>
        <w:rPr>
          <w:rFonts w:ascii="仿宋" w:hAnsi="仿宋" w:eastAsia="仿宋" w:cs="仿宋"/>
          <w:color w:val="auto"/>
          <w:sz w:val="24"/>
          <w:szCs w:val="24"/>
          <w:highlight w:val="none"/>
        </w:rPr>
        <w:t>16</w:t>
      </w:r>
      <w:r>
        <w:rPr>
          <w:rFonts w:hint="eastAsia" w:ascii="仿宋" w:hAnsi="仿宋" w:eastAsia="仿宋" w:cs="仿宋"/>
          <w:color w:val="auto"/>
          <w:sz w:val="24"/>
          <w:szCs w:val="24"/>
          <w:highlight w:val="none"/>
        </w:rPr>
        <w:t>.组建</w:t>
      </w:r>
      <w:bookmarkEnd w:id="92"/>
      <w:r>
        <w:rPr>
          <w:rFonts w:hint="eastAsia" w:ascii="仿宋" w:hAnsi="仿宋" w:eastAsia="仿宋" w:cs="仿宋"/>
          <w:color w:val="auto"/>
          <w:sz w:val="24"/>
          <w:szCs w:val="24"/>
          <w:highlight w:val="none"/>
        </w:rPr>
        <w:t>比选小组</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6.1</w:t>
      </w:r>
      <w:r>
        <w:rPr>
          <w:rFonts w:hint="eastAsia" w:ascii="仿宋" w:hAnsi="仿宋" w:eastAsia="仿宋" w:cs="宋体"/>
          <w:color w:val="auto"/>
          <w:highlight w:val="none"/>
        </w:rPr>
        <w:t>采购人依照企业采购管理制度的相关规定组建比选小组，具体人数</w:t>
      </w:r>
      <w:r>
        <w:rPr>
          <w:rFonts w:hint="eastAsia" w:ascii="仿宋" w:hAnsi="仿宋" w:eastAsia="仿宋" w:cs="仿宋"/>
          <w:color w:val="auto"/>
          <w:highlight w:val="none"/>
        </w:rPr>
        <w:t>见</w:t>
      </w:r>
      <w:r>
        <w:rPr>
          <w:rFonts w:hint="eastAsia" w:ascii="仿宋" w:hAnsi="仿宋" w:eastAsia="仿宋" w:cs="仿宋"/>
          <w:color w:val="auto"/>
          <w:highlight w:val="none"/>
          <w:u w:val="single"/>
        </w:rPr>
        <w:t>本须知前附表</w:t>
      </w:r>
      <w:r>
        <w:rPr>
          <w:rFonts w:hint="eastAsia" w:ascii="仿宋" w:hAnsi="仿宋" w:eastAsia="仿宋" w:cs="宋体"/>
          <w:color w:val="auto"/>
          <w:highlight w:val="none"/>
        </w:rPr>
        <w:t>，比选小组成员名单在成交结果确定前保密。</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6.2</w:t>
      </w:r>
      <w:r>
        <w:rPr>
          <w:rFonts w:hint="eastAsia" w:ascii="仿宋" w:hAnsi="仿宋" w:eastAsia="仿宋" w:cs="宋体"/>
          <w:color w:val="auto"/>
          <w:highlight w:val="none"/>
        </w:rPr>
        <w:t>比选小组成员应当按照客观、公正、审慎的原则，根据比选文件规定的评审程序、评审方法和评审标准进行独立评审。</w:t>
      </w:r>
    </w:p>
    <w:p>
      <w:pPr>
        <w:pStyle w:val="6"/>
        <w:spacing w:before="0" w:after="0" w:line="360" w:lineRule="auto"/>
        <w:rPr>
          <w:rFonts w:ascii="仿宋" w:hAnsi="仿宋" w:eastAsia="仿宋" w:cs="仿宋"/>
          <w:color w:val="auto"/>
          <w:sz w:val="24"/>
          <w:szCs w:val="24"/>
          <w:highlight w:val="none"/>
        </w:rPr>
      </w:pPr>
      <w:bookmarkStart w:id="94" w:name="_Toc234223228"/>
      <w:r>
        <w:rPr>
          <w:rFonts w:ascii="仿宋" w:hAnsi="仿宋" w:eastAsia="仿宋" w:cs="仿宋"/>
          <w:color w:val="auto"/>
          <w:sz w:val="24"/>
          <w:szCs w:val="24"/>
          <w:highlight w:val="none"/>
        </w:rPr>
        <w:t>17</w:t>
      </w:r>
      <w:r>
        <w:rPr>
          <w:rFonts w:hint="eastAsia" w:ascii="仿宋" w:hAnsi="仿宋" w:eastAsia="仿宋" w:cs="仿宋"/>
          <w:color w:val="auto"/>
          <w:sz w:val="24"/>
          <w:szCs w:val="24"/>
          <w:highlight w:val="none"/>
        </w:rPr>
        <w:t>.初步评审</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7.1</w:t>
      </w:r>
      <w:r>
        <w:rPr>
          <w:rFonts w:hint="eastAsia" w:ascii="仿宋" w:hAnsi="仿宋" w:eastAsia="仿宋" w:cs="宋体"/>
          <w:color w:val="auto"/>
          <w:highlight w:val="none"/>
        </w:rPr>
        <w:t>比选小组按照第三章评审办法中初步评审的内容及要求，对响应文件进行初步评审。未通过初步评审的供应商，其比选响应将被否决，不进入详细评审等后续环节。</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7.2</w:t>
      </w:r>
      <w:r>
        <w:rPr>
          <w:rFonts w:hint="eastAsia" w:ascii="仿宋" w:hAnsi="仿宋" w:eastAsia="仿宋" w:cs="宋体"/>
          <w:color w:val="auto"/>
          <w:highlight w:val="none"/>
        </w:rPr>
        <w:t>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p>
    <w:p>
      <w:pPr>
        <w:topLinePunct/>
        <w:spacing w:line="360" w:lineRule="auto"/>
        <w:rPr>
          <w:rFonts w:ascii="仿宋" w:hAnsi="仿宋" w:eastAsia="仿宋" w:cs="仿宋"/>
          <w:b/>
          <w:bCs/>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7.3</w:t>
      </w:r>
      <w:r>
        <w:rPr>
          <w:rFonts w:hint="eastAsia" w:ascii="仿宋" w:hAnsi="仿宋" w:eastAsia="仿宋" w:cs="宋体"/>
          <w:color w:val="auto"/>
          <w:highlight w:val="none"/>
        </w:rPr>
        <w:t>比选小组对供应商递交的澄清、说明或补正有疑问的，可以要求供应商进一步澄清、说明或者补正，直至满足比选小组的要求。拒不按要求进行澄清、说明或者补正的供应商</w:t>
      </w:r>
      <w:r>
        <w:rPr>
          <w:rFonts w:hint="eastAsia" w:ascii="仿宋" w:hAnsi="仿宋" w:eastAsia="仿宋" w:cs="仿宋"/>
          <w:b/>
          <w:bCs/>
          <w:color w:val="auto"/>
          <w:highlight w:val="none"/>
        </w:rPr>
        <w:t>，比选小组有权对其响应做否决处理。</w:t>
      </w:r>
    </w:p>
    <w:p>
      <w:pPr>
        <w:topLinePunct/>
        <w:spacing w:line="360" w:lineRule="auto"/>
        <w:rPr>
          <w:color w:val="auto"/>
          <w:highlight w:val="none"/>
        </w:rPr>
      </w:pPr>
      <w:r>
        <w:rPr>
          <w:rFonts w:hint="eastAsia" w:ascii="仿宋" w:hAnsi="仿宋" w:eastAsia="仿宋" w:cs="宋体"/>
          <w:color w:val="auto"/>
          <w:highlight w:val="none"/>
        </w:rPr>
        <w:t>1</w:t>
      </w:r>
      <w:r>
        <w:rPr>
          <w:rFonts w:ascii="仿宋" w:hAnsi="仿宋" w:eastAsia="仿宋" w:cs="宋体"/>
          <w:color w:val="auto"/>
          <w:highlight w:val="none"/>
        </w:rPr>
        <w:t>7.4</w:t>
      </w:r>
      <w:r>
        <w:rPr>
          <w:rFonts w:hint="eastAsia" w:ascii="仿宋" w:hAnsi="仿宋" w:eastAsia="仿宋" w:cs="宋体"/>
          <w:color w:val="auto"/>
          <w:highlight w:val="none"/>
        </w:rPr>
        <w:t>比选小组必要时可以要求供应商提交有关证明和证件的原件，以便核验。拒不按要求提供原件的供应商，</w:t>
      </w:r>
      <w:r>
        <w:rPr>
          <w:rFonts w:hint="eastAsia" w:ascii="仿宋" w:hAnsi="仿宋" w:eastAsia="仿宋" w:cs="仿宋"/>
          <w:b/>
          <w:bCs/>
          <w:color w:val="auto"/>
          <w:highlight w:val="none"/>
        </w:rPr>
        <w:t>比选小组有权对其响应做否决处理。</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w:t>
      </w:r>
      <w:r>
        <w:rPr>
          <w:rFonts w:ascii="仿宋" w:hAnsi="仿宋" w:eastAsia="仿宋" w:cs="仿宋"/>
          <w:color w:val="auto"/>
          <w:sz w:val="24"/>
          <w:szCs w:val="24"/>
          <w:highlight w:val="none"/>
        </w:rPr>
        <w:t>8.</w:t>
      </w:r>
      <w:r>
        <w:rPr>
          <w:rFonts w:hint="eastAsia" w:ascii="仿宋" w:hAnsi="仿宋" w:eastAsia="仿宋" w:cs="仿宋"/>
          <w:color w:val="auto"/>
          <w:sz w:val="24"/>
          <w:szCs w:val="24"/>
          <w:highlight w:val="none"/>
        </w:rPr>
        <w:t>比选程序</w:t>
      </w:r>
    </w:p>
    <w:p>
      <w:pPr>
        <w:spacing w:line="360" w:lineRule="auto"/>
        <w:rPr>
          <w:rFonts w:ascii="仿宋" w:hAnsi="仿宋" w:eastAsia="仿宋" w:cs="仿宋"/>
          <w:color w:val="auto"/>
          <w:highlight w:val="none"/>
          <w:u w:val="single"/>
        </w:rPr>
      </w:pPr>
      <w:r>
        <w:rPr>
          <w:rFonts w:ascii="仿宋" w:hAnsi="仿宋" w:eastAsia="仿宋" w:cs="仿宋"/>
          <w:color w:val="auto"/>
          <w:highlight w:val="none"/>
        </w:rPr>
        <w:t>18</w:t>
      </w:r>
      <w:r>
        <w:rPr>
          <w:rFonts w:hint="eastAsia" w:ascii="仿宋" w:hAnsi="仿宋" w:eastAsia="仿宋" w:cs="仿宋"/>
          <w:color w:val="auto"/>
          <w:highlight w:val="none"/>
        </w:rPr>
        <w:t>.1比选小组所有成员应当集中与通过初步评审的单一供应商分别进行比选，并给予所有参加比选的供应商平等的比选机会。供应商比选顺序、比选形式以及其他要求等</w:t>
      </w:r>
      <w:r>
        <w:rPr>
          <w:rFonts w:hint="eastAsia" w:ascii="仿宋" w:hAnsi="仿宋" w:eastAsia="仿宋" w:cs="仿宋"/>
          <w:color w:val="auto"/>
          <w:highlight w:val="none"/>
          <w:u w:val="single"/>
        </w:rPr>
        <w:t>详见本须知前附表。</w:t>
      </w:r>
    </w:p>
    <w:p>
      <w:pPr>
        <w:spacing w:line="360" w:lineRule="auto"/>
        <w:rPr>
          <w:rFonts w:ascii="仿宋" w:hAnsi="仿宋" w:eastAsia="仿宋" w:cs="仿宋"/>
          <w:color w:val="auto"/>
          <w:highlight w:val="none"/>
        </w:rPr>
      </w:pPr>
      <w:r>
        <w:rPr>
          <w:rFonts w:ascii="仿宋" w:hAnsi="仿宋" w:eastAsia="仿宋" w:cs="仿宋"/>
          <w:color w:val="auto"/>
          <w:highlight w:val="none"/>
        </w:rPr>
        <w:t>18.2</w:t>
      </w:r>
      <w:r>
        <w:rPr>
          <w:rFonts w:hint="eastAsia" w:ascii="仿宋" w:hAnsi="仿宋" w:eastAsia="仿宋" w:cs="仿宋"/>
          <w:color w:val="auto"/>
          <w:highlight w:val="none"/>
        </w:rPr>
        <w:t>比选小组与供应商就比选文件中的价格、商务内容、技术内容或有待供应商进一步明确的内容等进行一对一比选，并要求实质性响应的供应商提交最终报价。具体比选内容详见</w:t>
      </w:r>
      <w:r>
        <w:rPr>
          <w:rFonts w:hint="eastAsia" w:ascii="仿宋" w:hAnsi="仿宋" w:eastAsia="仿宋" w:cs="仿宋"/>
          <w:color w:val="auto"/>
          <w:highlight w:val="none"/>
          <w:u w:val="single"/>
        </w:rPr>
        <w:t>本须知前附表</w:t>
      </w:r>
      <w:r>
        <w:rPr>
          <w:rFonts w:hint="eastAsia" w:ascii="仿宋" w:hAnsi="仿宋" w:eastAsia="仿宋" w:cs="仿宋"/>
          <w:color w:val="auto"/>
          <w:highlight w:val="none"/>
        </w:rPr>
        <w:t>。</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1</w:t>
      </w:r>
      <w:r>
        <w:rPr>
          <w:rFonts w:ascii="仿宋" w:hAnsi="仿宋" w:eastAsia="仿宋" w:cs="仿宋"/>
          <w:color w:val="auto"/>
          <w:highlight w:val="none"/>
        </w:rPr>
        <w:t>8</w:t>
      </w:r>
      <w:r>
        <w:rPr>
          <w:rFonts w:hint="eastAsia" w:ascii="仿宋" w:hAnsi="仿宋" w:eastAsia="仿宋" w:cs="仿宋"/>
          <w:color w:val="auto"/>
          <w:highlight w:val="none"/>
          <w:lang w:val="en-US" w:eastAsia="zh-CN"/>
        </w:rPr>
        <w:t>.3</w:t>
      </w:r>
      <w:r>
        <w:rPr>
          <w:rFonts w:hint="eastAsia" w:ascii="仿宋_GB2312" w:hAnsi="宋体" w:eastAsia="仿宋_GB2312"/>
          <w:color w:val="auto"/>
          <w:highlight w:val="none"/>
        </w:rPr>
        <w:t>比选过程中可能实质性变动的内容：供应商报价及服务方案、承诺。采购需求中的商务、服务要求以及合同草案条款等。实质性变动的内容，须经比选小组提出，最终涉及变动事项，供应商应授权代表人进行最终确认，签字或盖章有效。</w:t>
      </w:r>
    </w:p>
    <w:p>
      <w:pPr>
        <w:spacing w:line="360" w:lineRule="auto"/>
        <w:rPr>
          <w:rFonts w:ascii="仿宋" w:hAnsi="仿宋" w:eastAsia="仿宋" w:cs="仿宋"/>
          <w:color w:val="auto"/>
          <w:highlight w:val="none"/>
        </w:rPr>
      </w:pPr>
      <w:r>
        <w:rPr>
          <w:rFonts w:ascii="仿宋" w:hAnsi="仿宋" w:eastAsia="仿宋" w:cs="仿宋"/>
          <w:color w:val="auto"/>
          <w:highlight w:val="none"/>
        </w:rPr>
        <w:t>18.</w:t>
      </w:r>
      <w:r>
        <w:rPr>
          <w:rFonts w:hint="eastAsia" w:ascii="仿宋" w:hAnsi="仿宋" w:eastAsia="仿宋" w:cs="仿宋"/>
          <w:color w:val="auto"/>
          <w:highlight w:val="none"/>
          <w:lang w:val="en-US" w:eastAsia="zh-CN"/>
        </w:rPr>
        <w:t>4</w:t>
      </w:r>
      <w:r>
        <w:rPr>
          <w:rFonts w:hint="eastAsia" w:ascii="仿宋" w:hAnsi="仿宋" w:eastAsia="仿宋" w:cs="仿宋"/>
          <w:color w:val="auto"/>
          <w:highlight w:val="none"/>
        </w:rPr>
        <w:t>比选小组可视情况要求供应商进行多轮比选及报价。比选中，任何一方不得向第三方透露与比选有关的任何信息。</w:t>
      </w:r>
    </w:p>
    <w:bookmarkEnd w:id="94"/>
    <w:p>
      <w:pPr>
        <w:spacing w:line="360" w:lineRule="auto"/>
        <w:rPr>
          <w:rFonts w:ascii="仿宋" w:hAnsi="仿宋" w:eastAsia="仿宋" w:cs="仿宋"/>
          <w:color w:val="auto"/>
          <w:highlight w:val="none"/>
        </w:rPr>
      </w:pPr>
      <w:r>
        <w:rPr>
          <w:rFonts w:hint="eastAsia" w:ascii="仿宋" w:hAnsi="仿宋" w:eastAsia="仿宋" w:cs="仿宋"/>
          <w:color w:val="auto"/>
          <w:highlight w:val="none"/>
        </w:rPr>
        <w:t>1</w:t>
      </w:r>
      <w:r>
        <w:rPr>
          <w:rFonts w:ascii="仿宋" w:hAnsi="仿宋" w:eastAsia="仿宋" w:cs="仿宋"/>
          <w:color w:val="auto"/>
          <w:highlight w:val="none"/>
        </w:rPr>
        <w:t>8</w:t>
      </w: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各轮报价有算术错误的，比选小组按照以下原则对报价进行修正，修正的价格经供应商书面确认后具有约束力。供应商不接受或不确认修正后价格的，比选小组</w:t>
      </w:r>
      <w:r>
        <w:rPr>
          <w:rFonts w:hint="eastAsia" w:ascii="仿宋" w:hAnsi="仿宋" w:eastAsia="仿宋" w:cs="仿宋"/>
          <w:b/>
          <w:bCs/>
          <w:color w:val="auto"/>
          <w:highlight w:val="none"/>
        </w:rPr>
        <w:t>应当否决其响应</w:t>
      </w:r>
      <w:r>
        <w:rPr>
          <w:rFonts w:hint="eastAsia" w:ascii="仿宋" w:hAnsi="仿宋" w:eastAsia="仿宋" w:cs="仿宋"/>
          <w:color w:val="auto"/>
          <w:highlight w:val="none"/>
        </w:rPr>
        <w:t>。</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（1）大写金额与小写金额不一致的，以大写金额为准；</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（2）总价金额与根据单价计算出的结果不一致的，以单价金额为准修正总价，但单价金额小数点有明显错误的除外。</w:t>
      </w:r>
    </w:p>
    <w:bookmarkEnd w:id="93"/>
    <w:p>
      <w:pPr>
        <w:pStyle w:val="6"/>
        <w:spacing w:before="0" w:after="0" w:line="360" w:lineRule="auto"/>
        <w:rPr>
          <w:rFonts w:ascii="仿宋" w:hAnsi="仿宋" w:eastAsia="仿宋" w:cs="仿宋"/>
          <w:color w:val="auto"/>
          <w:sz w:val="24"/>
          <w:szCs w:val="24"/>
          <w:highlight w:val="none"/>
        </w:rPr>
      </w:pPr>
      <w:r>
        <w:rPr>
          <w:rFonts w:ascii="仿宋" w:hAnsi="仿宋" w:eastAsia="仿宋" w:cs="仿宋"/>
          <w:color w:val="auto"/>
          <w:sz w:val="24"/>
          <w:szCs w:val="24"/>
          <w:highlight w:val="none"/>
        </w:rPr>
        <w:t>19</w:t>
      </w:r>
      <w:r>
        <w:rPr>
          <w:rFonts w:hint="eastAsia" w:ascii="仿宋" w:hAnsi="仿宋" w:eastAsia="仿宋" w:cs="仿宋"/>
          <w:color w:val="auto"/>
          <w:sz w:val="24"/>
          <w:szCs w:val="24"/>
          <w:highlight w:val="none"/>
        </w:rPr>
        <w:t>.详细评审</w:t>
      </w:r>
    </w:p>
    <w:p>
      <w:pPr>
        <w:spacing w:line="360" w:lineRule="auto"/>
        <w:rPr>
          <w:rFonts w:ascii="仿宋" w:hAnsi="仿宋" w:eastAsia="仿宋" w:cs="仿宋"/>
          <w:color w:val="auto"/>
          <w:highlight w:val="none"/>
        </w:rPr>
      </w:pPr>
      <w:r>
        <w:rPr>
          <w:rFonts w:ascii="仿宋" w:hAnsi="仿宋" w:eastAsia="仿宋" w:cs="仿宋"/>
          <w:color w:val="auto"/>
          <w:highlight w:val="none"/>
        </w:rPr>
        <w:t>19</w:t>
      </w:r>
      <w:r>
        <w:rPr>
          <w:rFonts w:hint="eastAsia" w:ascii="仿宋" w:hAnsi="仿宋" w:eastAsia="仿宋" w:cs="仿宋"/>
          <w:color w:val="auto"/>
          <w:highlight w:val="none"/>
        </w:rPr>
        <w:t>.1比选小组采用综合评分法对提交最终报价的供应商的响应文件及其最终报价进行综合评分。综合评分法，是指响应文件满足比选文件全部实质性要求且按评审因素的量化指标评审得分最高的供应商为成交候选人的评审方法。比选文件中没有规定的评审标准不得作为评审依据。</w:t>
      </w:r>
    </w:p>
    <w:p>
      <w:pPr>
        <w:spacing w:line="360" w:lineRule="auto"/>
        <w:rPr>
          <w:rFonts w:ascii="仿宋" w:hAnsi="仿宋" w:eastAsia="仿宋" w:cs="仿宋"/>
          <w:color w:val="auto"/>
          <w:highlight w:val="none"/>
        </w:rPr>
      </w:pPr>
      <w:r>
        <w:rPr>
          <w:rFonts w:ascii="仿宋" w:hAnsi="仿宋" w:eastAsia="仿宋" w:cs="仿宋"/>
          <w:color w:val="auto"/>
          <w:highlight w:val="none"/>
        </w:rPr>
        <w:t>19</w:t>
      </w:r>
      <w:r>
        <w:rPr>
          <w:rFonts w:hint="eastAsia" w:ascii="仿宋" w:hAnsi="仿宋" w:eastAsia="仿宋" w:cs="仿宋"/>
          <w:color w:val="auto"/>
          <w:highlight w:val="none"/>
        </w:rPr>
        <w:t>.2发生以下情形之一的，原则上做终止采购处理：</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（1）出现影响采购公正的违法、违规行为的；</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（2）成交候选人报价超过预算金额，采购需求方无法解决的；</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（3）成交人为</w:t>
      </w:r>
      <w:r>
        <w:rPr>
          <w:rFonts w:ascii="仿宋" w:hAnsi="仿宋" w:eastAsia="仿宋" w:cs="仿宋"/>
          <w:color w:val="auto"/>
          <w:highlight w:val="none"/>
        </w:rPr>
        <w:t>1</w:t>
      </w:r>
      <w:r>
        <w:rPr>
          <w:rFonts w:hint="eastAsia" w:ascii="仿宋" w:hAnsi="仿宋" w:eastAsia="仿宋" w:cs="仿宋"/>
          <w:color w:val="auto"/>
          <w:highlight w:val="none"/>
        </w:rPr>
        <w:t>家的项目，有效供应商少于2家（不含本数）；成交人为N家（N＞1）的项目，有效供应商少于N+</w:t>
      </w:r>
      <w:r>
        <w:rPr>
          <w:rFonts w:ascii="仿宋" w:hAnsi="仿宋" w:eastAsia="仿宋" w:cs="仿宋"/>
          <w:color w:val="auto"/>
          <w:highlight w:val="none"/>
        </w:rPr>
        <w:t>2</w:t>
      </w:r>
      <w:r>
        <w:rPr>
          <w:rFonts w:hint="eastAsia" w:ascii="仿宋" w:hAnsi="仿宋" w:eastAsia="仿宋" w:cs="仿宋"/>
          <w:color w:val="auto"/>
          <w:highlight w:val="none"/>
        </w:rPr>
        <w:t xml:space="preserve">家（不含本数）； </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w:t>（4）因重大变故，采购任务取消。</w:t>
      </w:r>
    </w:p>
    <w:p>
      <w:pPr>
        <w:topLinePunct/>
        <w:spacing w:line="360" w:lineRule="auto"/>
        <w:rPr>
          <w:rFonts w:ascii="仿宋" w:hAnsi="仿宋" w:eastAsia="仿宋" w:cs="宋体"/>
          <w:color w:val="auto"/>
          <w:highlight w:val="none"/>
        </w:rPr>
      </w:pPr>
      <w:r>
        <w:rPr>
          <w:rFonts w:ascii="仿宋" w:hAnsi="仿宋" w:eastAsia="仿宋" w:cs="仿宋"/>
          <w:color w:val="auto"/>
          <w:highlight w:val="none"/>
        </w:rPr>
        <w:t>19</w:t>
      </w:r>
      <w:r>
        <w:rPr>
          <w:rFonts w:hint="eastAsia" w:ascii="仿宋" w:hAnsi="仿宋" w:eastAsia="仿宋" w:cs="仿宋"/>
          <w:color w:val="auto"/>
          <w:highlight w:val="none"/>
        </w:rPr>
        <w:t>.</w:t>
      </w:r>
      <w:r>
        <w:rPr>
          <w:rFonts w:ascii="仿宋" w:hAnsi="仿宋" w:eastAsia="仿宋" w:cs="仿宋"/>
          <w:color w:val="auto"/>
          <w:highlight w:val="none"/>
        </w:rPr>
        <w:t>3</w:t>
      </w:r>
      <w:r>
        <w:rPr>
          <w:rFonts w:hint="eastAsia" w:ascii="仿宋" w:hAnsi="仿宋" w:eastAsia="仿宋" w:cs="仿宋"/>
          <w:color w:val="auto"/>
          <w:highlight w:val="none"/>
        </w:rPr>
        <w:t>成交候选人推荐原则</w:t>
      </w:r>
      <w:r>
        <w:rPr>
          <w:rFonts w:hint="eastAsia" w:ascii="仿宋" w:hAnsi="仿宋" w:eastAsia="仿宋" w:cs="仿宋"/>
          <w:color w:val="auto"/>
          <w:highlight w:val="none"/>
          <w:u w:val="single"/>
        </w:rPr>
        <w:t>详见本须知前附表</w:t>
      </w:r>
      <w:r>
        <w:rPr>
          <w:rFonts w:hint="eastAsia" w:ascii="仿宋" w:hAnsi="仿宋" w:eastAsia="仿宋" w:cs="仿宋"/>
          <w:color w:val="auto"/>
          <w:highlight w:val="none"/>
        </w:rPr>
        <w:t>。</w:t>
      </w:r>
      <w:r>
        <w:rPr>
          <w:rFonts w:hint="eastAsia" w:ascii="仿宋" w:hAnsi="仿宋" w:eastAsia="仿宋" w:cs="宋体"/>
          <w:color w:val="auto"/>
          <w:highlight w:val="none"/>
        </w:rPr>
        <w:t>成交候选人的经营、财务状况发生较大变化或者存在违法行为，采购人认为可能影响其履约能力的，应当在发出成交通知书前由原比选小组会按照比选文件规定的标准和方法审查确认。</w:t>
      </w:r>
    </w:p>
    <w:p>
      <w:pPr>
        <w:pStyle w:val="6"/>
        <w:spacing w:before="0" w:after="0" w:line="360" w:lineRule="auto"/>
        <w:rPr>
          <w:rFonts w:ascii="仿宋" w:hAnsi="仿宋" w:eastAsia="仿宋" w:cs="仿宋"/>
          <w:color w:val="auto"/>
          <w:sz w:val="24"/>
          <w:szCs w:val="24"/>
          <w:highlight w:val="none"/>
        </w:rPr>
      </w:pPr>
      <w:r>
        <w:rPr>
          <w:rFonts w:ascii="仿宋" w:hAnsi="仿宋" w:eastAsia="仿宋" w:cs="仿宋"/>
          <w:color w:val="auto"/>
          <w:sz w:val="24"/>
          <w:szCs w:val="24"/>
          <w:highlight w:val="none"/>
        </w:rPr>
        <w:t>20</w:t>
      </w:r>
      <w:r>
        <w:rPr>
          <w:rFonts w:hint="eastAsia" w:ascii="仿宋" w:hAnsi="仿宋" w:eastAsia="仿宋" w:cs="仿宋"/>
          <w:color w:val="auto"/>
          <w:sz w:val="24"/>
          <w:szCs w:val="24"/>
          <w:highlight w:val="none"/>
        </w:rPr>
        <w:t>．特别声明</w:t>
      </w:r>
    </w:p>
    <w:p>
      <w:pPr>
        <w:snapToGrid w:val="0"/>
        <w:spacing w:line="360" w:lineRule="auto"/>
        <w:ind w:right="-57"/>
        <w:rPr>
          <w:rFonts w:ascii="仿宋_GB2312" w:hAnsi="宋体" w:eastAsia="仿宋_GB2312"/>
          <w:color w:val="auto"/>
          <w:highlight w:val="none"/>
        </w:rPr>
      </w:pPr>
      <w:r>
        <w:rPr>
          <w:rFonts w:ascii="仿宋_GB2312" w:hAnsi="宋体" w:eastAsia="仿宋_GB2312"/>
          <w:color w:val="auto"/>
          <w:highlight w:val="none"/>
        </w:rPr>
        <w:t>20.1供应商</w:t>
      </w:r>
      <w:r>
        <w:rPr>
          <w:rFonts w:hint="eastAsia" w:ascii="仿宋_GB2312" w:hAnsi="宋体" w:eastAsia="仿宋_GB2312"/>
          <w:color w:val="auto"/>
          <w:highlight w:val="none"/>
        </w:rPr>
        <w:t>提供虚假材料或文件的，自动丧失参加资格。</w:t>
      </w:r>
    </w:p>
    <w:p>
      <w:pPr>
        <w:snapToGrid w:val="0"/>
        <w:spacing w:line="360" w:lineRule="auto"/>
        <w:ind w:right="-57"/>
        <w:rPr>
          <w:rFonts w:ascii="仿宋_GB2312" w:hAnsi="宋体" w:eastAsia="仿宋_GB2312"/>
          <w:color w:val="auto"/>
          <w:highlight w:val="none"/>
        </w:rPr>
      </w:pPr>
      <w:r>
        <w:rPr>
          <w:rFonts w:ascii="仿宋_GB2312" w:hAnsi="宋体" w:eastAsia="仿宋_GB2312"/>
          <w:color w:val="auto"/>
          <w:highlight w:val="none"/>
        </w:rPr>
        <w:t>20.2供应商</w:t>
      </w:r>
      <w:r>
        <w:rPr>
          <w:rFonts w:hint="eastAsia" w:ascii="仿宋_GB2312" w:hAnsi="宋体" w:eastAsia="仿宋_GB2312"/>
          <w:color w:val="auto"/>
          <w:highlight w:val="none"/>
        </w:rPr>
        <w:t>未在响应文件中提及和承诺，但又未明确书面提出异议的事项，按本比选比选邀请函的有关要求执行。</w:t>
      </w:r>
    </w:p>
    <w:p>
      <w:pPr>
        <w:snapToGrid w:val="0"/>
        <w:spacing w:line="360" w:lineRule="auto"/>
        <w:ind w:right="-57"/>
        <w:rPr>
          <w:rFonts w:ascii="仿宋_GB2312" w:hAnsi="宋体" w:eastAsia="仿宋_GB2312"/>
          <w:color w:val="auto"/>
          <w:highlight w:val="none"/>
        </w:rPr>
      </w:pPr>
      <w:r>
        <w:rPr>
          <w:rFonts w:ascii="仿宋_GB2312" w:hAnsi="宋体" w:eastAsia="仿宋_GB2312"/>
          <w:color w:val="auto"/>
          <w:highlight w:val="none"/>
        </w:rPr>
        <w:t>20.3</w:t>
      </w:r>
      <w:r>
        <w:rPr>
          <w:rFonts w:hint="eastAsia" w:ascii="仿宋_GB2312" w:hAnsi="宋体" w:eastAsia="仿宋_GB2312"/>
          <w:color w:val="auto"/>
          <w:highlight w:val="none"/>
        </w:rPr>
        <w:t>供应商不应将本次采购理解为政府采购与招标。</w:t>
      </w:r>
    </w:p>
    <w:p>
      <w:pPr>
        <w:snapToGrid w:val="0"/>
        <w:spacing w:line="360" w:lineRule="auto"/>
        <w:ind w:right="-57"/>
        <w:rPr>
          <w:rFonts w:ascii="仿宋_GB2312" w:hAnsi="宋体" w:eastAsia="仿宋_GB2312"/>
          <w:color w:val="auto"/>
          <w:highlight w:val="none"/>
        </w:rPr>
      </w:pPr>
      <w:r>
        <w:rPr>
          <w:rFonts w:ascii="仿宋_GB2312" w:hAnsi="宋体" w:eastAsia="仿宋_GB2312"/>
          <w:color w:val="auto"/>
          <w:highlight w:val="none"/>
        </w:rPr>
        <w:t>20.4供应商</w:t>
      </w:r>
      <w:r>
        <w:rPr>
          <w:rFonts w:hint="eastAsia" w:ascii="仿宋_GB2312" w:hAnsi="宋体" w:eastAsia="仿宋_GB2312"/>
          <w:color w:val="auto"/>
          <w:highlight w:val="none"/>
        </w:rPr>
        <w:t>没有按规定时间和内容提供材料的，视为放弃。</w:t>
      </w:r>
    </w:p>
    <w:p>
      <w:pPr>
        <w:snapToGrid w:val="0"/>
        <w:spacing w:line="360" w:lineRule="auto"/>
        <w:ind w:right="-57"/>
        <w:rPr>
          <w:rFonts w:ascii="仿宋_GB2312" w:hAnsi="宋体" w:eastAsia="仿宋_GB2312"/>
          <w:color w:val="auto"/>
          <w:highlight w:val="none"/>
        </w:rPr>
      </w:pPr>
      <w:r>
        <w:rPr>
          <w:rFonts w:ascii="仿宋_GB2312" w:hAnsi="宋体" w:eastAsia="仿宋_GB2312"/>
          <w:color w:val="auto"/>
          <w:highlight w:val="none"/>
        </w:rPr>
        <w:t>20.5</w:t>
      </w:r>
      <w:r>
        <w:rPr>
          <w:rFonts w:hint="eastAsia" w:ascii="仿宋_GB2312" w:hAnsi="宋体" w:eastAsia="仿宋_GB2312"/>
          <w:color w:val="auto"/>
          <w:highlight w:val="none"/>
        </w:rPr>
        <w:t>比选文件及附件之著作权受中国法律保护，所有文件仅限于供应商参加本次采购比选使用，任何用于其他目的之复制或引用均应事先获得采购方书面许可。</w:t>
      </w:r>
    </w:p>
    <w:p>
      <w:pPr>
        <w:pStyle w:val="6"/>
        <w:spacing w:before="0" w:after="0" w:line="360" w:lineRule="auto"/>
        <w:rPr>
          <w:rFonts w:ascii="仿宋" w:hAnsi="仿宋" w:eastAsia="仿宋" w:cs="仿宋"/>
          <w:color w:val="auto"/>
          <w:sz w:val="24"/>
          <w:szCs w:val="24"/>
          <w:highlight w:val="none"/>
        </w:rPr>
      </w:pPr>
      <w:r>
        <w:rPr>
          <w:rFonts w:ascii="仿宋" w:hAnsi="仿宋" w:eastAsia="仿宋" w:cs="仿宋"/>
          <w:color w:val="auto"/>
          <w:sz w:val="24"/>
          <w:szCs w:val="24"/>
          <w:highlight w:val="none"/>
        </w:rPr>
        <w:t>21</w:t>
      </w:r>
      <w:r>
        <w:rPr>
          <w:rFonts w:hint="eastAsia" w:ascii="仿宋" w:hAnsi="仿宋" w:eastAsia="仿宋" w:cs="仿宋"/>
          <w:color w:val="auto"/>
          <w:sz w:val="24"/>
          <w:szCs w:val="24"/>
          <w:highlight w:val="none"/>
        </w:rPr>
        <w:t>．确定成交供应商</w:t>
      </w:r>
    </w:p>
    <w:p>
      <w:pPr>
        <w:pStyle w:val="2"/>
        <w:snapToGrid w:val="0"/>
        <w:spacing w:after="0" w:line="360" w:lineRule="auto"/>
        <w:ind w:right="-57" w:firstLine="480" w:firstLineChars="200"/>
        <w:rPr>
          <w:rFonts w:ascii="仿宋_GB2312" w:hAnsi="宋体" w:eastAsia="仿宋_GB2312"/>
          <w:color w:val="auto"/>
          <w:highlight w:val="none"/>
        </w:rPr>
      </w:pPr>
      <w:r>
        <w:rPr>
          <w:rFonts w:hint="eastAsia" w:ascii="仿宋_GB2312" w:hAnsi="宋体" w:eastAsia="仿宋_GB2312"/>
          <w:color w:val="auto"/>
          <w:highlight w:val="none"/>
        </w:rPr>
        <w:t>采购人确定成交供应商过程中，发现成交候选供应商有下列情形之一的，将取消其成交资格，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（1）成交候选供应商存在违法、违纪行为的；</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（2）成交候选供应商因不可抗力、社会经济形势发生重大变化、破产、重组等原因确定无法履行采购合同的；</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（3）成交候选供应商书面自愿放弃成交，且无其他非法目的的；</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w:t>
      </w:r>
      <w:r>
        <w:rPr>
          <w:rFonts w:ascii="仿宋_GB2312" w:hAnsi="宋体" w:eastAsia="仿宋_GB2312"/>
          <w:color w:val="auto"/>
          <w:highlight w:val="none"/>
        </w:rPr>
        <w:t>4</w:t>
      </w:r>
      <w:r>
        <w:rPr>
          <w:rFonts w:hint="eastAsia" w:ascii="仿宋_GB2312" w:hAnsi="宋体" w:eastAsia="仿宋_GB2312"/>
          <w:color w:val="auto"/>
          <w:highlight w:val="none"/>
        </w:rPr>
        <w:t>）成交候选供应商在提交响应文件截止时间后撤回响应文件的；</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w:t>
      </w:r>
      <w:r>
        <w:rPr>
          <w:rFonts w:ascii="仿宋_GB2312" w:hAnsi="宋体" w:eastAsia="仿宋_GB2312"/>
          <w:color w:val="auto"/>
          <w:highlight w:val="none"/>
        </w:rPr>
        <w:t>5</w:t>
      </w:r>
      <w:r>
        <w:rPr>
          <w:rFonts w:hint="eastAsia" w:ascii="仿宋_GB2312" w:hAnsi="宋体" w:eastAsia="仿宋_GB2312"/>
          <w:color w:val="auto"/>
          <w:highlight w:val="none"/>
        </w:rPr>
        <w:t>）成交候选供应商在响应文件中提供虚假材料的；</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w:t>
      </w:r>
      <w:r>
        <w:rPr>
          <w:rFonts w:ascii="仿宋_GB2312" w:hAnsi="宋体" w:eastAsia="仿宋_GB2312"/>
          <w:color w:val="auto"/>
          <w:highlight w:val="none"/>
        </w:rPr>
        <w:t>6</w:t>
      </w:r>
      <w:r>
        <w:rPr>
          <w:rFonts w:hint="eastAsia" w:ascii="仿宋_GB2312" w:hAnsi="宋体" w:eastAsia="仿宋_GB2312"/>
          <w:color w:val="auto"/>
          <w:highlight w:val="none"/>
        </w:rPr>
        <w:t>）除因不可抗力或比选文件认可的情形以外，成交供应商不与采购人签订合同的；</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w:t>
      </w:r>
      <w:r>
        <w:rPr>
          <w:rFonts w:ascii="仿宋_GB2312" w:hAnsi="宋体" w:eastAsia="仿宋_GB2312"/>
          <w:color w:val="auto"/>
          <w:highlight w:val="none"/>
        </w:rPr>
        <w:t>7</w:t>
      </w:r>
      <w:r>
        <w:rPr>
          <w:rFonts w:hint="eastAsia" w:ascii="仿宋_GB2312" w:hAnsi="宋体" w:eastAsia="仿宋_GB2312"/>
          <w:color w:val="auto"/>
          <w:highlight w:val="none"/>
        </w:rPr>
        <w:t>）成交候选供应商与采购人或者其他供应商恶意串通的；</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w:t>
      </w:r>
      <w:r>
        <w:rPr>
          <w:rFonts w:ascii="仿宋_GB2312" w:hAnsi="宋体" w:eastAsia="仿宋_GB2312"/>
          <w:color w:val="auto"/>
          <w:highlight w:val="none"/>
        </w:rPr>
        <w:t>8</w:t>
      </w:r>
      <w:r>
        <w:rPr>
          <w:rFonts w:hint="eastAsia" w:ascii="仿宋_GB2312" w:hAnsi="宋体" w:eastAsia="仿宋_GB2312"/>
          <w:color w:val="auto"/>
          <w:highlight w:val="none"/>
        </w:rPr>
        <w:t>）成交供应商在签订合同时向采购人提出附加条件或要求变更实质性合同条款的；</w:t>
      </w:r>
    </w:p>
    <w:p>
      <w:pPr>
        <w:pStyle w:val="2"/>
        <w:snapToGrid w:val="0"/>
        <w:spacing w:after="0" w:line="360" w:lineRule="auto"/>
        <w:ind w:right="-57" w:firstLine="424" w:firstLineChars="177"/>
        <w:rPr>
          <w:rFonts w:ascii="仿宋" w:hAnsi="仿宋" w:eastAsia="仿宋" w:cs="仿宋"/>
          <w:color w:val="auto"/>
          <w:highlight w:val="none"/>
          <w:lang w:bidi="ar"/>
        </w:rPr>
      </w:pPr>
      <w:r>
        <w:rPr>
          <w:rFonts w:hint="eastAsia" w:ascii="仿宋_GB2312" w:hAnsi="宋体" w:eastAsia="仿宋_GB2312"/>
          <w:color w:val="auto"/>
          <w:highlight w:val="none"/>
        </w:rPr>
        <w:t>（</w:t>
      </w:r>
      <w:r>
        <w:rPr>
          <w:rFonts w:ascii="仿宋_GB2312" w:hAnsi="宋体" w:eastAsia="仿宋_GB2312"/>
          <w:color w:val="auto"/>
          <w:highlight w:val="none"/>
        </w:rPr>
        <w:t>9</w:t>
      </w:r>
      <w:r>
        <w:rPr>
          <w:rFonts w:hint="eastAsia" w:ascii="仿宋_GB2312" w:hAnsi="宋体" w:eastAsia="仿宋_GB2312"/>
          <w:color w:val="auto"/>
          <w:highlight w:val="none"/>
        </w:rPr>
        <w:t>）</w:t>
      </w:r>
      <w:r>
        <w:rPr>
          <w:rFonts w:hint="eastAsia" w:ascii="仿宋" w:hAnsi="仿宋" w:eastAsia="仿宋" w:cs="仿宋"/>
          <w:color w:val="auto"/>
          <w:highlight w:val="none"/>
          <w:lang w:bidi="ar"/>
        </w:rPr>
        <w:t>供应商有恶意欺诈、弄虚作假、围标串标、哄抬标价、徇私行贿等法律法规中所列违规行为的；</w:t>
      </w:r>
    </w:p>
    <w:p>
      <w:pPr>
        <w:pStyle w:val="2"/>
        <w:snapToGrid w:val="0"/>
        <w:spacing w:after="0" w:line="360" w:lineRule="auto"/>
        <w:ind w:right="-57" w:firstLine="424" w:firstLineChars="177"/>
        <w:rPr>
          <w:rFonts w:ascii="仿宋" w:hAnsi="仿宋" w:eastAsia="仿宋" w:cs="仿宋"/>
          <w:color w:val="auto"/>
          <w:highlight w:val="none"/>
          <w:lang w:bidi="ar"/>
        </w:rPr>
      </w:pPr>
      <w:r>
        <w:rPr>
          <w:rFonts w:hint="eastAsia" w:ascii="仿宋" w:hAnsi="仿宋" w:eastAsia="仿宋" w:cs="仿宋"/>
          <w:color w:val="auto"/>
          <w:highlight w:val="none"/>
          <w:lang w:bidi="ar"/>
        </w:rPr>
        <w:t>（1</w:t>
      </w:r>
      <w:r>
        <w:rPr>
          <w:rFonts w:ascii="仿宋" w:hAnsi="仿宋" w:eastAsia="仿宋" w:cs="仿宋"/>
          <w:color w:val="auto"/>
          <w:highlight w:val="none"/>
          <w:lang w:bidi="ar"/>
        </w:rPr>
        <w:t>0</w:t>
      </w:r>
      <w:r>
        <w:rPr>
          <w:rFonts w:hint="eastAsia" w:ascii="仿宋" w:hAnsi="仿宋" w:eastAsia="仿宋" w:cs="仿宋"/>
          <w:color w:val="auto"/>
          <w:highlight w:val="none"/>
          <w:lang w:bidi="ar"/>
        </w:rPr>
        <w:t>）成交供应商不按照比选文件要求提交履约保证金的；</w:t>
      </w:r>
    </w:p>
    <w:p>
      <w:pPr>
        <w:pStyle w:val="2"/>
        <w:snapToGrid w:val="0"/>
        <w:spacing w:after="0" w:line="360" w:lineRule="auto"/>
        <w:ind w:right="-57" w:firstLine="424" w:firstLineChars="177"/>
        <w:rPr>
          <w:rFonts w:ascii="仿宋_GB2312" w:hAnsi="宋体" w:eastAsia="仿宋_GB2312"/>
          <w:color w:val="auto"/>
          <w:highlight w:val="none"/>
        </w:rPr>
      </w:pPr>
      <w:r>
        <w:rPr>
          <w:rFonts w:hint="eastAsia" w:ascii="仿宋_GB2312" w:hAnsi="宋体" w:eastAsia="仿宋_GB2312"/>
          <w:color w:val="auto"/>
          <w:highlight w:val="none"/>
        </w:rPr>
        <w:t>（</w:t>
      </w:r>
      <w:r>
        <w:rPr>
          <w:rFonts w:ascii="仿宋_GB2312" w:hAnsi="宋体" w:eastAsia="仿宋_GB2312"/>
          <w:color w:val="auto"/>
          <w:highlight w:val="none"/>
        </w:rPr>
        <w:t>11</w:t>
      </w:r>
      <w:r>
        <w:rPr>
          <w:rFonts w:hint="eastAsia" w:ascii="仿宋_GB2312" w:hAnsi="宋体" w:eastAsia="仿宋_GB2312"/>
          <w:color w:val="auto"/>
          <w:highlight w:val="none"/>
        </w:rPr>
        <w:t>）其他不应确定成交供应商的情形。</w:t>
      </w:r>
    </w:p>
    <w:p>
      <w:pPr>
        <w:pStyle w:val="5"/>
        <w:spacing w:before="0" w:after="0" w:line="360" w:lineRule="auto"/>
        <w:ind w:firstLine="482"/>
        <w:rPr>
          <w:rFonts w:ascii="仿宋" w:hAnsi="仿宋" w:eastAsia="仿宋" w:cs="仿宋"/>
          <w:color w:val="auto"/>
          <w:sz w:val="24"/>
          <w:szCs w:val="24"/>
          <w:highlight w:val="none"/>
        </w:rPr>
      </w:pPr>
      <w:bookmarkStart w:id="95" w:name="_Toc13936"/>
      <w:bookmarkStart w:id="96" w:name="_Toc234223231"/>
      <w:bookmarkStart w:id="97" w:name="_Toc19451"/>
      <w:bookmarkStart w:id="98" w:name="_Toc2322"/>
      <w:bookmarkStart w:id="99" w:name="_Toc9911"/>
      <w:bookmarkStart w:id="100" w:name="_Toc444891342"/>
      <w:bookmarkStart w:id="101" w:name="_Toc16781"/>
      <w:bookmarkStart w:id="102" w:name="_Toc287600124"/>
      <w:bookmarkStart w:id="103" w:name="_Toc517281822"/>
      <w:bookmarkStart w:id="104" w:name="_Toc28031"/>
      <w:bookmarkStart w:id="105" w:name="_Toc29775"/>
      <w:r>
        <w:rPr>
          <w:rFonts w:hint="eastAsia" w:ascii="仿宋" w:hAnsi="仿宋" w:eastAsia="仿宋" w:cs="仿宋"/>
          <w:color w:val="auto"/>
          <w:sz w:val="24"/>
          <w:szCs w:val="24"/>
          <w:highlight w:val="none"/>
        </w:rPr>
        <w:t>（六）授予合同</w:t>
      </w:r>
      <w:bookmarkEnd w:id="95"/>
      <w:bookmarkEnd w:id="96"/>
      <w:bookmarkEnd w:id="97"/>
      <w:bookmarkEnd w:id="98"/>
      <w:bookmarkEnd w:id="99"/>
      <w:bookmarkEnd w:id="100"/>
      <w:bookmarkEnd w:id="101"/>
      <w:bookmarkEnd w:id="102"/>
      <w:bookmarkEnd w:id="103"/>
      <w:bookmarkEnd w:id="104"/>
      <w:bookmarkEnd w:id="105"/>
    </w:p>
    <w:p>
      <w:pPr>
        <w:pStyle w:val="6"/>
        <w:spacing w:before="0" w:after="0" w:line="360" w:lineRule="auto"/>
        <w:rPr>
          <w:rFonts w:ascii="仿宋" w:hAnsi="仿宋" w:eastAsia="仿宋" w:cs="仿宋"/>
          <w:color w:val="auto"/>
          <w:sz w:val="24"/>
          <w:szCs w:val="24"/>
          <w:highlight w:val="none"/>
        </w:rPr>
      </w:pPr>
      <w:bookmarkStart w:id="106" w:name="_Toc234223232"/>
      <w:r>
        <w:rPr>
          <w:rFonts w:hint="eastAsia" w:ascii="仿宋" w:hAnsi="仿宋" w:eastAsia="仿宋" w:cs="仿宋"/>
          <w:color w:val="auto"/>
          <w:sz w:val="24"/>
          <w:szCs w:val="24"/>
          <w:highlight w:val="none"/>
        </w:rPr>
        <w:t>2</w:t>
      </w:r>
      <w:r>
        <w:rPr>
          <w:rFonts w:ascii="仿宋" w:hAnsi="仿宋" w:eastAsia="仿宋" w:cs="仿宋"/>
          <w:color w:val="auto"/>
          <w:sz w:val="24"/>
          <w:szCs w:val="24"/>
          <w:highlight w:val="none"/>
        </w:rPr>
        <w:t>2.</w:t>
      </w:r>
      <w:r>
        <w:rPr>
          <w:rFonts w:hint="eastAsia" w:ascii="仿宋" w:hAnsi="仿宋" w:eastAsia="仿宋" w:cs="仿宋"/>
          <w:color w:val="auto"/>
          <w:sz w:val="24"/>
          <w:szCs w:val="24"/>
          <w:highlight w:val="none"/>
        </w:rPr>
        <w:t>确定</w:t>
      </w:r>
      <w:bookmarkEnd w:id="106"/>
      <w:r>
        <w:rPr>
          <w:rFonts w:hint="eastAsia" w:ascii="仿宋" w:hAnsi="仿宋" w:eastAsia="仿宋" w:cs="仿宋"/>
          <w:color w:val="auto"/>
          <w:sz w:val="24"/>
          <w:szCs w:val="24"/>
          <w:highlight w:val="none"/>
        </w:rPr>
        <w:t>成交人</w:t>
      </w:r>
    </w:p>
    <w:p>
      <w:pPr>
        <w:spacing w:line="360" w:lineRule="auto"/>
        <w:rPr>
          <w:rFonts w:ascii="仿宋" w:hAnsi="仿宋" w:eastAsia="仿宋" w:cs="仿宋"/>
          <w:color w:val="auto"/>
          <w:highlight w:val="none"/>
        </w:rPr>
      </w:pPr>
      <w:r>
        <w:rPr>
          <w:rFonts w:ascii="仿宋" w:hAnsi="仿宋" w:eastAsia="仿宋" w:cs="仿宋"/>
          <w:color w:val="auto"/>
          <w:highlight w:val="none"/>
        </w:rPr>
        <w:t>23.1</w:t>
      </w:r>
      <w:r>
        <w:rPr>
          <w:rFonts w:hint="eastAsia" w:ascii="仿宋" w:hAnsi="仿宋" w:eastAsia="仿宋" w:cs="仿宋"/>
          <w:color w:val="auto"/>
          <w:highlight w:val="none"/>
        </w:rPr>
        <w:t>采购人依据比选小组推荐的成交候选人名单确定成交人，成交人数量</w:t>
      </w:r>
      <w:r>
        <w:rPr>
          <w:rFonts w:hint="eastAsia" w:ascii="仿宋" w:hAnsi="仿宋" w:eastAsia="仿宋" w:cs="仿宋"/>
          <w:color w:val="auto"/>
          <w:highlight w:val="none"/>
          <w:u w:val="single"/>
        </w:rPr>
        <w:t>见本须知前附表</w:t>
      </w:r>
      <w:r>
        <w:rPr>
          <w:rFonts w:hint="eastAsia" w:ascii="仿宋" w:hAnsi="仿宋" w:eastAsia="仿宋" w:cs="仿宋"/>
          <w:color w:val="auto"/>
          <w:highlight w:val="none"/>
        </w:rPr>
        <w:t>。</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23.</w:t>
      </w:r>
      <w:r>
        <w:rPr>
          <w:rFonts w:hint="eastAsia" w:ascii="仿宋" w:hAnsi="仿宋" w:eastAsia="仿宋" w:cs="宋体"/>
          <w:color w:val="auto"/>
          <w:highlight w:val="none"/>
        </w:rPr>
        <w:t>2成交人确定后，采购人应当向成交人发出成交通知书。成交通知书对采购人和成交人均具有法律效力。成交人收到成交通知书后放弃成交的，应当承担法律责任。</w:t>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2</w:t>
      </w:r>
      <w:r>
        <w:rPr>
          <w:rFonts w:ascii="仿宋" w:hAnsi="仿宋" w:eastAsia="仿宋" w:cs="仿宋"/>
          <w:color w:val="auto"/>
          <w:sz w:val="24"/>
          <w:szCs w:val="24"/>
          <w:highlight w:val="none"/>
        </w:rPr>
        <w:t>3.</w:t>
      </w:r>
      <w:r>
        <w:rPr>
          <w:rFonts w:hint="eastAsia" w:ascii="仿宋" w:hAnsi="仿宋" w:eastAsia="仿宋" w:cs="仿宋"/>
          <w:color w:val="auto"/>
          <w:sz w:val="24"/>
          <w:szCs w:val="24"/>
          <w:highlight w:val="none"/>
        </w:rPr>
        <w:t>签订合同</w:t>
      </w:r>
    </w:p>
    <w:p>
      <w:pPr>
        <w:topLinePunct/>
        <w:spacing w:line="360" w:lineRule="auto"/>
        <w:rPr>
          <w:rFonts w:ascii="仿宋" w:hAnsi="仿宋" w:eastAsia="仿宋" w:cs="仿宋"/>
          <w:color w:val="auto"/>
          <w:highlight w:val="none"/>
        </w:rPr>
      </w:pPr>
      <w:r>
        <w:rPr>
          <w:rFonts w:hint="eastAsia" w:ascii="仿宋" w:hAnsi="仿宋" w:eastAsia="仿宋" w:cs="仿宋"/>
          <w:color w:val="auto"/>
          <w:highlight w:val="none"/>
        </w:rPr>
        <w:t>2</w:t>
      </w:r>
      <w:r>
        <w:rPr>
          <w:rFonts w:ascii="仿宋" w:hAnsi="仿宋" w:eastAsia="仿宋" w:cs="仿宋"/>
          <w:color w:val="auto"/>
          <w:highlight w:val="none"/>
        </w:rPr>
        <w:t>3.1</w:t>
      </w:r>
      <w:r>
        <w:rPr>
          <w:rFonts w:hint="eastAsia" w:ascii="仿宋" w:hAnsi="仿宋" w:eastAsia="仿宋" w:cs="仿宋"/>
          <w:color w:val="auto"/>
          <w:highlight w:val="none"/>
        </w:rPr>
        <w:t>采购人与成交人按照比选文件和成交人的响应文件</w:t>
      </w:r>
      <w:r>
        <w:rPr>
          <w:rFonts w:hint="eastAsia" w:ascii="仿宋" w:hAnsi="仿宋" w:eastAsia="仿宋" w:cs="宋体"/>
          <w:color w:val="auto"/>
          <w:highlight w:val="none"/>
        </w:rPr>
        <w:t>订立书面合同。合同的标的、价款、质量、履行期限等主要条款应当与</w:t>
      </w:r>
      <w:r>
        <w:rPr>
          <w:rFonts w:hint="eastAsia" w:ascii="仿宋" w:hAnsi="仿宋" w:eastAsia="仿宋" w:cs="仿宋"/>
          <w:color w:val="auto"/>
          <w:highlight w:val="none"/>
        </w:rPr>
        <w:t>比选</w:t>
      </w:r>
      <w:r>
        <w:rPr>
          <w:rFonts w:hint="eastAsia" w:ascii="仿宋" w:hAnsi="仿宋" w:eastAsia="仿宋" w:cs="宋体"/>
          <w:color w:val="auto"/>
          <w:highlight w:val="none"/>
        </w:rPr>
        <w:t>文件和</w:t>
      </w:r>
      <w:r>
        <w:rPr>
          <w:rFonts w:hint="eastAsia" w:ascii="仿宋" w:hAnsi="仿宋" w:eastAsia="仿宋" w:cs="仿宋"/>
          <w:color w:val="auto"/>
          <w:highlight w:val="none"/>
        </w:rPr>
        <w:t>成交</w:t>
      </w:r>
      <w:r>
        <w:rPr>
          <w:rFonts w:hint="eastAsia" w:ascii="仿宋" w:hAnsi="仿宋" w:eastAsia="仿宋" w:cs="宋体"/>
          <w:color w:val="auto"/>
          <w:highlight w:val="none"/>
        </w:rPr>
        <w:t>人的</w:t>
      </w:r>
      <w:r>
        <w:rPr>
          <w:rFonts w:hint="eastAsia" w:ascii="仿宋" w:hAnsi="仿宋" w:eastAsia="仿宋" w:cs="仿宋"/>
          <w:color w:val="auto"/>
          <w:highlight w:val="none"/>
        </w:rPr>
        <w:t>响应</w:t>
      </w:r>
      <w:r>
        <w:rPr>
          <w:rFonts w:hint="eastAsia" w:ascii="仿宋" w:hAnsi="仿宋" w:eastAsia="仿宋" w:cs="宋体"/>
          <w:color w:val="auto"/>
          <w:highlight w:val="none"/>
        </w:rPr>
        <w:t>文件的内容一致。</w:t>
      </w:r>
    </w:p>
    <w:p>
      <w:pPr>
        <w:topLinePunct/>
        <w:spacing w:line="360" w:lineRule="auto"/>
        <w:rPr>
          <w:rFonts w:ascii="仿宋" w:hAnsi="仿宋" w:eastAsia="仿宋" w:cs="宋体"/>
          <w:color w:val="auto"/>
          <w:highlight w:val="none"/>
        </w:rPr>
      </w:pPr>
      <w:r>
        <w:rPr>
          <w:rFonts w:hint="eastAsia" w:ascii="仿宋" w:hAnsi="仿宋" w:eastAsia="仿宋" w:cs="仿宋"/>
          <w:color w:val="auto"/>
          <w:highlight w:val="none"/>
        </w:rPr>
        <w:t>2</w:t>
      </w:r>
      <w:r>
        <w:rPr>
          <w:rFonts w:ascii="仿宋" w:hAnsi="仿宋" w:eastAsia="仿宋" w:cs="仿宋"/>
          <w:color w:val="auto"/>
          <w:highlight w:val="none"/>
        </w:rPr>
        <w:t>3.2</w:t>
      </w:r>
      <w:r>
        <w:rPr>
          <w:rFonts w:hint="eastAsia" w:ascii="仿宋" w:hAnsi="仿宋" w:eastAsia="仿宋" w:cs="仿宋"/>
          <w:color w:val="auto"/>
          <w:highlight w:val="none"/>
        </w:rPr>
        <w:t xml:space="preserve"> </w:t>
      </w:r>
      <w:r>
        <w:rPr>
          <w:rFonts w:hint="eastAsia" w:ascii="仿宋" w:hAnsi="仿宋" w:eastAsia="仿宋" w:cs="宋体"/>
          <w:color w:val="auto"/>
          <w:highlight w:val="none"/>
        </w:rPr>
        <w:t>成交人无正当理由不与采购人订立合同，在签订合同时向采购人提出附加条件，将取消其成交资格。给采购人造成损失的，成交人应当予以赔偿。</w:t>
      </w:r>
    </w:p>
    <w:p>
      <w:pPr>
        <w:topLinePunct/>
        <w:spacing w:line="360" w:lineRule="auto"/>
        <w:rPr>
          <w:rFonts w:ascii="仿宋" w:hAnsi="仿宋" w:eastAsia="仿宋" w:cs="宋体"/>
          <w:color w:val="auto"/>
          <w:highlight w:val="none"/>
        </w:rPr>
      </w:pPr>
      <w:r>
        <w:rPr>
          <w:rFonts w:ascii="仿宋" w:hAnsi="仿宋" w:eastAsia="仿宋" w:cs="宋体"/>
          <w:color w:val="auto"/>
          <w:highlight w:val="none"/>
        </w:rPr>
        <w:t>23.3</w:t>
      </w:r>
      <w:r>
        <w:rPr>
          <w:rFonts w:hint="eastAsia" w:ascii="仿宋" w:hAnsi="仿宋" w:eastAsia="仿宋" w:cs="宋体"/>
          <w:color w:val="auto"/>
          <w:highlight w:val="none"/>
        </w:rPr>
        <w:t>比选文件要求成交人提交履约保证金的，成交人应当按照</w:t>
      </w:r>
      <w:r>
        <w:rPr>
          <w:rFonts w:hint="eastAsia" w:ascii="仿宋" w:hAnsi="仿宋" w:eastAsia="仿宋" w:cs="宋体"/>
          <w:color w:val="auto"/>
          <w:highlight w:val="none"/>
          <w:u w:val="single"/>
        </w:rPr>
        <w:t>本须知前附表</w:t>
      </w:r>
      <w:r>
        <w:rPr>
          <w:rFonts w:hint="eastAsia" w:ascii="仿宋" w:hAnsi="仿宋" w:eastAsia="仿宋" w:cs="宋体"/>
          <w:color w:val="auto"/>
          <w:highlight w:val="none"/>
        </w:rPr>
        <w:t>要求的金额和方式递交。成交人如不按要求提交履约保证金，将取消其成交资格。</w:t>
      </w:r>
    </w:p>
    <w:p>
      <w:pPr>
        <w:topLinePunct/>
        <w:spacing w:line="360" w:lineRule="auto"/>
        <w:rPr>
          <w:rFonts w:ascii="仿宋" w:hAnsi="仿宋" w:eastAsia="仿宋" w:cs="宋体"/>
          <w:color w:val="auto"/>
          <w:highlight w:val="none"/>
        </w:rPr>
      </w:pPr>
      <w:r>
        <w:rPr>
          <w:rFonts w:hint="eastAsia" w:ascii="仿宋" w:hAnsi="仿宋" w:eastAsia="仿宋" w:cs="宋体"/>
          <w:color w:val="auto"/>
          <w:highlight w:val="none"/>
        </w:rPr>
        <w:t>2</w:t>
      </w:r>
      <w:r>
        <w:rPr>
          <w:rFonts w:ascii="仿宋" w:hAnsi="仿宋" w:eastAsia="仿宋" w:cs="宋体"/>
          <w:color w:val="auto"/>
          <w:highlight w:val="none"/>
        </w:rPr>
        <w:t>3</w:t>
      </w:r>
      <w:r>
        <w:rPr>
          <w:rFonts w:hint="eastAsia" w:ascii="仿宋" w:hAnsi="仿宋" w:eastAsia="仿宋" w:cs="宋体"/>
          <w:color w:val="auto"/>
          <w:highlight w:val="none"/>
        </w:rPr>
        <w:t>.4成交供应商</w:t>
      </w:r>
      <w:r>
        <w:rPr>
          <w:rFonts w:ascii="仿宋" w:hAnsi="仿宋" w:eastAsia="仿宋" w:cs="宋体"/>
          <w:color w:val="auto"/>
          <w:highlight w:val="none"/>
        </w:rPr>
        <w:t>不履行与</w:t>
      </w:r>
      <w:r>
        <w:rPr>
          <w:rFonts w:hint="eastAsia" w:ascii="仿宋" w:hAnsi="仿宋" w:eastAsia="仿宋" w:cs="宋体"/>
          <w:color w:val="auto"/>
          <w:highlight w:val="none"/>
        </w:rPr>
        <w:t>采购</w:t>
      </w:r>
      <w:r>
        <w:rPr>
          <w:rFonts w:ascii="仿宋" w:hAnsi="仿宋" w:eastAsia="仿宋" w:cs="宋体"/>
          <w:color w:val="auto"/>
          <w:highlight w:val="none"/>
        </w:rPr>
        <w:t>人订立的合同的，</w:t>
      </w:r>
      <w:r>
        <w:rPr>
          <w:rFonts w:hint="eastAsia" w:ascii="仿宋" w:hAnsi="仿宋" w:eastAsia="仿宋" w:cs="宋体"/>
          <w:color w:val="auto"/>
          <w:highlight w:val="none"/>
        </w:rPr>
        <w:t>履约</w:t>
      </w:r>
      <w:r>
        <w:rPr>
          <w:rFonts w:ascii="仿宋" w:hAnsi="仿宋" w:eastAsia="仿宋" w:cs="宋体"/>
          <w:color w:val="auto"/>
          <w:highlight w:val="none"/>
        </w:rPr>
        <w:t>保证金不予退还，给</w:t>
      </w:r>
      <w:r>
        <w:rPr>
          <w:rFonts w:hint="eastAsia" w:ascii="仿宋" w:hAnsi="仿宋" w:eastAsia="仿宋" w:cs="宋体"/>
          <w:color w:val="auto"/>
          <w:highlight w:val="none"/>
        </w:rPr>
        <w:t>采购</w:t>
      </w:r>
      <w:r>
        <w:rPr>
          <w:rFonts w:ascii="仿宋" w:hAnsi="仿宋" w:eastAsia="仿宋" w:cs="宋体"/>
          <w:color w:val="auto"/>
          <w:highlight w:val="none"/>
        </w:rPr>
        <w:t>人造成的损失超过履约保证金数额的，还应当对超过部分予以赔偿；没有提交履约保证金的，应当对</w:t>
      </w:r>
      <w:r>
        <w:rPr>
          <w:rFonts w:hint="eastAsia" w:ascii="仿宋" w:hAnsi="仿宋" w:eastAsia="仿宋" w:cs="宋体"/>
          <w:color w:val="auto"/>
          <w:highlight w:val="none"/>
        </w:rPr>
        <w:t>采购</w:t>
      </w:r>
      <w:r>
        <w:rPr>
          <w:rFonts w:ascii="仿宋" w:hAnsi="仿宋" w:eastAsia="仿宋" w:cs="宋体"/>
          <w:color w:val="auto"/>
          <w:highlight w:val="none"/>
        </w:rPr>
        <w:t>人的损失承担赔偿责任。</w:t>
      </w:r>
    </w:p>
    <w:p>
      <w:pPr>
        <w:pStyle w:val="2"/>
        <w:rPr>
          <w:color w:val="auto"/>
          <w:highlight w:val="none"/>
        </w:rPr>
      </w:pPr>
    </w:p>
    <w:p>
      <w:pPr>
        <w:pStyle w:val="2"/>
        <w:rPr>
          <w:color w:val="auto"/>
          <w:highlight w:val="none"/>
        </w:rPr>
      </w:pPr>
    </w:p>
    <w:p>
      <w:pPr>
        <w:pStyle w:val="3"/>
        <w:spacing w:before="0" w:after="0"/>
        <w:jc w:val="left"/>
        <w:rPr>
          <w:rFonts w:ascii="仿宋" w:hAnsi="仿宋" w:eastAsia="仿宋" w:cs="仿宋"/>
          <w:color w:val="auto"/>
          <w:sz w:val="28"/>
          <w:szCs w:val="28"/>
          <w:highlight w:val="none"/>
        </w:rPr>
      </w:pPr>
      <w:bookmarkStart w:id="107" w:name="_Toc10670"/>
      <w:bookmarkStart w:id="108" w:name="_Toc22626"/>
      <w:bookmarkStart w:id="109" w:name="_Toc8109"/>
      <w:r>
        <w:rPr>
          <w:rFonts w:hint="eastAsia" w:ascii="仿宋" w:hAnsi="仿宋" w:eastAsia="仿宋" w:cs="仿宋"/>
          <w:color w:val="auto"/>
          <w:sz w:val="28"/>
          <w:szCs w:val="28"/>
          <w:highlight w:val="none"/>
        </w:rPr>
        <w:t>第三章 评审办法</w:t>
      </w:r>
      <w:bookmarkEnd w:id="107"/>
      <w:bookmarkEnd w:id="108"/>
    </w:p>
    <w:p>
      <w:pPr>
        <w:pStyle w:val="4"/>
        <w:jc w:val="left"/>
        <w:rPr>
          <w:rFonts w:ascii="仿宋" w:hAnsi="仿宋" w:eastAsia="仿宋" w:cs="仿宋"/>
          <w:color w:val="auto"/>
          <w:sz w:val="24"/>
          <w:szCs w:val="24"/>
          <w:highlight w:val="none"/>
        </w:rPr>
      </w:pPr>
      <w:bookmarkStart w:id="110" w:name="_Toc444891344"/>
      <w:bookmarkStart w:id="111" w:name="_Toc517281825"/>
      <w:bookmarkStart w:id="112" w:name="_Toc7201"/>
      <w:bookmarkStart w:id="113" w:name="_Toc22389"/>
      <w:bookmarkStart w:id="114" w:name="_Toc226969358"/>
      <w:bookmarkStart w:id="115" w:name="_Toc227057964"/>
      <w:r>
        <w:rPr>
          <w:rFonts w:hint="eastAsia" w:ascii="仿宋" w:hAnsi="仿宋" w:eastAsia="仿宋" w:cs="仿宋"/>
          <w:color w:val="auto"/>
          <w:sz w:val="24"/>
          <w:szCs w:val="24"/>
          <w:highlight w:val="none"/>
        </w:rPr>
        <w:t>一、评审程序</w:t>
      </w:r>
      <w:bookmarkEnd w:id="110"/>
      <w:bookmarkEnd w:id="111"/>
      <w:bookmarkEnd w:id="112"/>
      <w:bookmarkEnd w:id="113"/>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比选小组对响应文件中的相关内容进行评审。评审按照以下程序进行：</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1.熟悉比选文件；</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2.对响应文件进行初步评审，检查响应文件是否满足比选文件的初审要求；初步评审中不符合评审标准的，将做否决比选响应处理；</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3.供应商有以下情形之一的，比选小组应当否决其比选响应：</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（1）按照比选公告要求已经递交电子响应文件，但未按要求递交纸质响应文件；</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（2）响应文件未经供应商盖章和单位负责人签字；</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（3）允许联合体响应的，联合体没有递交共同响应协议；</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（4）不符合国家或者比选文件规定的资格条件；</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（5）同一供应商提交两个以上不同的响应文件或者响应报价，但比选文件要求提交备选文件的除外；</w:t>
      </w:r>
    </w:p>
    <w:p>
      <w:pPr>
        <w:spacing w:line="360" w:lineRule="auto"/>
        <w:ind w:firstLine="420" w:firstLineChars="175"/>
        <w:rPr>
          <w:rFonts w:ascii="仿宋" w:hAnsi="仿宋" w:eastAsia="仿宋" w:cs="宋体"/>
          <w:color w:val="auto"/>
          <w:highlight w:val="none"/>
        </w:rPr>
      </w:pPr>
      <w:r>
        <w:rPr>
          <w:rFonts w:hint="eastAsia" w:ascii="仿宋" w:hAnsi="仿宋" w:eastAsia="仿宋" w:cs="仿宋"/>
          <w:color w:val="auto"/>
          <w:highlight w:val="none"/>
        </w:rPr>
        <w:t>（6）</w:t>
      </w:r>
      <w:r>
        <w:rPr>
          <w:rFonts w:hint="eastAsia" w:ascii="仿宋" w:hAnsi="仿宋" w:eastAsia="仿宋" w:cs="宋体"/>
          <w:color w:val="auto"/>
          <w:highlight w:val="none"/>
        </w:rPr>
        <w:t>最终报价低于成本或者高于比选文件设定的最高投标限价；</w:t>
      </w:r>
    </w:p>
    <w:p>
      <w:pPr>
        <w:spacing w:line="360" w:lineRule="auto"/>
        <w:ind w:firstLine="420" w:firstLineChars="175"/>
        <w:rPr>
          <w:rFonts w:ascii="仿宋" w:hAnsi="仿宋" w:eastAsia="仿宋" w:cs="宋体"/>
          <w:color w:val="auto"/>
          <w:highlight w:val="none"/>
        </w:rPr>
      </w:pPr>
      <w:r>
        <w:rPr>
          <w:rFonts w:hint="eastAsia" w:ascii="仿宋" w:hAnsi="仿宋" w:eastAsia="仿宋" w:cs="宋体"/>
          <w:color w:val="auto"/>
          <w:highlight w:val="none"/>
        </w:rPr>
        <w:t xml:space="preserve">（7）响应文件未对比选文件的实质性要求和条件作出响应； </w:t>
      </w:r>
    </w:p>
    <w:p>
      <w:pPr>
        <w:spacing w:line="360" w:lineRule="auto"/>
        <w:ind w:firstLine="420" w:firstLineChars="175"/>
        <w:rPr>
          <w:rFonts w:ascii="仿宋" w:hAnsi="仿宋" w:eastAsia="仿宋" w:cs="宋体"/>
          <w:color w:val="auto"/>
          <w:highlight w:val="none"/>
        </w:rPr>
      </w:pPr>
      <w:r>
        <w:rPr>
          <w:rFonts w:hint="eastAsia" w:ascii="仿宋" w:hAnsi="仿宋" w:eastAsia="仿宋" w:cs="宋体"/>
          <w:color w:val="auto"/>
          <w:highlight w:val="none"/>
        </w:rPr>
        <w:t>（8）供应商有串通投标、弄虚作假、行贿等违法行为；</w:t>
      </w:r>
    </w:p>
    <w:p>
      <w:pPr>
        <w:spacing w:line="360" w:lineRule="auto"/>
        <w:ind w:firstLine="420" w:firstLineChars="175"/>
        <w:rPr>
          <w:rFonts w:ascii="仿宋" w:hAnsi="仿宋" w:eastAsia="仿宋" w:cs="宋体"/>
          <w:color w:val="auto"/>
          <w:highlight w:val="none"/>
        </w:rPr>
      </w:pPr>
      <w:r>
        <w:rPr>
          <w:rFonts w:hint="eastAsia" w:ascii="仿宋" w:hAnsi="仿宋" w:eastAsia="仿宋" w:cs="宋体"/>
          <w:color w:val="auto"/>
          <w:highlight w:val="none"/>
        </w:rPr>
        <w:t>（9）不接受或不确认因算术性错误进行的价格修正；</w:t>
      </w:r>
    </w:p>
    <w:p>
      <w:pPr>
        <w:spacing w:line="360" w:lineRule="auto"/>
        <w:ind w:firstLine="420" w:firstLineChars="175"/>
        <w:rPr>
          <w:rFonts w:ascii="仿宋" w:hAnsi="仿宋" w:eastAsia="仿宋" w:cs="宋体"/>
          <w:color w:val="auto"/>
          <w:highlight w:val="none"/>
        </w:rPr>
      </w:pPr>
      <w:r>
        <w:rPr>
          <w:rFonts w:hint="eastAsia" w:ascii="仿宋" w:hAnsi="仿宋" w:eastAsia="仿宋" w:cs="宋体"/>
          <w:color w:val="auto"/>
          <w:highlight w:val="none"/>
        </w:rPr>
        <w:t>（10）响应文件附有采购人不能接受的条件；</w:t>
      </w:r>
    </w:p>
    <w:p>
      <w:pPr>
        <w:spacing w:line="360" w:lineRule="auto"/>
        <w:ind w:firstLine="420" w:firstLineChars="175"/>
        <w:rPr>
          <w:rFonts w:ascii="仿宋" w:hAnsi="仿宋" w:eastAsia="仿宋" w:cs="宋体"/>
          <w:color w:val="auto"/>
          <w:highlight w:val="none"/>
        </w:rPr>
      </w:pPr>
      <w:r>
        <w:rPr>
          <w:rFonts w:hint="eastAsia" w:ascii="仿宋" w:hAnsi="仿宋" w:eastAsia="仿宋" w:cs="宋体"/>
          <w:color w:val="auto"/>
          <w:highlight w:val="none"/>
        </w:rPr>
        <w:t>（11）不符合比选文件中规定的其他实质性要求。</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4.初步评审</w:t>
      </w:r>
      <w:r>
        <w:rPr>
          <w:rFonts w:hint="eastAsia" w:ascii="仿宋" w:hAnsi="仿宋" w:eastAsia="仿宋" w:cs="仿宋"/>
          <w:color w:val="auto"/>
          <w:highlight w:val="none"/>
          <w:lang w:val="zh-CN"/>
        </w:rPr>
        <w:t>内容允许在比选过程中按比选小组规定的时间内补充，若未在规定时间内补充则将导致响应无效。</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5.通过初步评审的供应商分别进行比选；</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6.通过初步评审的供应商进行最终报价；</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7.通过初步评审的响应文件进行详细评审及打分；</w:t>
      </w:r>
    </w:p>
    <w:p>
      <w:pPr>
        <w:spacing w:line="360" w:lineRule="auto"/>
        <w:ind w:firstLine="420" w:firstLineChars="175"/>
        <w:rPr>
          <w:rFonts w:ascii="仿宋" w:hAnsi="仿宋" w:eastAsia="仿宋" w:cs="仿宋"/>
          <w:color w:val="auto"/>
          <w:highlight w:val="none"/>
        </w:rPr>
      </w:pPr>
      <w:r>
        <w:rPr>
          <w:rFonts w:hint="eastAsia" w:ascii="仿宋" w:hAnsi="仿宋" w:eastAsia="仿宋" w:cs="仿宋"/>
          <w:color w:val="auto"/>
          <w:highlight w:val="none"/>
        </w:rPr>
        <w:t>8.按照综合评分由高到低的次序推荐成交候选人，提交评审结果，评审结果应包含评审情况说明、排名次序、推荐成交候选人名单及其他说明事项。</w:t>
      </w:r>
    </w:p>
    <w:p>
      <w:pPr>
        <w:pStyle w:val="4"/>
        <w:jc w:val="left"/>
        <w:rPr>
          <w:rFonts w:ascii="仿宋" w:hAnsi="仿宋" w:eastAsia="仿宋" w:cs="仿宋"/>
          <w:color w:val="auto"/>
          <w:sz w:val="24"/>
          <w:szCs w:val="24"/>
          <w:highlight w:val="none"/>
        </w:rPr>
      </w:pPr>
      <w:bookmarkStart w:id="116" w:name="_Toc444891345"/>
      <w:bookmarkStart w:id="117" w:name="_Toc517281826"/>
      <w:r>
        <w:rPr>
          <w:rFonts w:hint="eastAsia" w:ascii="仿宋" w:hAnsi="仿宋" w:eastAsia="仿宋" w:cs="仿宋"/>
          <w:color w:val="auto"/>
          <w:sz w:val="24"/>
          <w:szCs w:val="24"/>
          <w:highlight w:val="none"/>
        </w:rPr>
        <w:br w:type="page"/>
      </w:r>
      <w:bookmarkStart w:id="118" w:name="_Toc32019"/>
      <w:bookmarkStart w:id="119" w:name="_Toc15499"/>
      <w:r>
        <w:rPr>
          <w:rFonts w:hint="eastAsia" w:ascii="仿宋" w:hAnsi="仿宋" w:eastAsia="仿宋" w:cs="仿宋"/>
          <w:color w:val="auto"/>
          <w:sz w:val="24"/>
          <w:szCs w:val="24"/>
          <w:highlight w:val="none"/>
        </w:rPr>
        <w:t>二、初步评审</w:t>
      </w:r>
      <w:bookmarkEnd w:id="116"/>
      <w:bookmarkEnd w:id="117"/>
      <w:bookmarkEnd w:id="118"/>
      <w:bookmarkEnd w:id="119"/>
    </w:p>
    <w:bookmarkEnd w:id="114"/>
    <w:bookmarkEnd w:id="115"/>
    <w:tbl>
      <w:tblPr>
        <w:tblStyle w:val="29"/>
        <w:tblW w:w="5723"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763"/>
        <w:gridCol w:w="1338"/>
        <w:gridCol w:w="2405"/>
        <w:gridCol w:w="6773"/>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Align w:val="center"/>
          </w:tcPr>
          <w:p>
            <w:pPr>
              <w:spacing w:line="360" w:lineRule="auto"/>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序号</w:t>
            </w:r>
          </w:p>
        </w:tc>
        <w:tc>
          <w:tcPr>
            <w:tcW w:w="593" w:type="pct"/>
          </w:tcPr>
          <w:p>
            <w:pPr>
              <w:spacing w:before="24" w:after="24" w:line="360" w:lineRule="auto"/>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评审环节</w:t>
            </w:r>
          </w:p>
        </w:tc>
        <w:tc>
          <w:tcPr>
            <w:tcW w:w="1066" w:type="pct"/>
            <w:vAlign w:val="center"/>
          </w:tcPr>
          <w:p>
            <w:pPr>
              <w:spacing w:before="24" w:after="24" w:line="360" w:lineRule="auto"/>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评审因素</w:t>
            </w:r>
          </w:p>
        </w:tc>
        <w:tc>
          <w:tcPr>
            <w:tcW w:w="3002" w:type="pct"/>
            <w:vAlign w:val="center"/>
          </w:tcPr>
          <w:p>
            <w:pPr>
              <w:spacing w:line="360" w:lineRule="auto"/>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评审标准</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restart"/>
            <w:vAlign w:val="center"/>
          </w:tcPr>
          <w:p>
            <w:pPr>
              <w:spacing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593" w:type="pct"/>
            <w:vMerge w:val="restart"/>
            <w:vAlign w:val="center"/>
          </w:tcPr>
          <w:p>
            <w:pPr>
              <w:spacing w:before="24" w:after="24"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形式评审标准</w:t>
            </w:r>
          </w:p>
        </w:tc>
        <w:tc>
          <w:tcPr>
            <w:tcW w:w="1066" w:type="pct"/>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供应商名称</w:t>
            </w:r>
          </w:p>
        </w:tc>
        <w:tc>
          <w:tcPr>
            <w:tcW w:w="3002" w:type="pct"/>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s="Cambria Math"/>
                <w:color w:val="auto"/>
                <w:szCs w:val="21"/>
                <w:highlight w:val="none"/>
              </w:rPr>
              <w:t>与企业营业执照、单位公章等保持一致。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line="276" w:lineRule="auto"/>
              <w:jc w:val="center"/>
              <w:rPr>
                <w:rFonts w:ascii="仿宋" w:hAnsi="仿宋" w:eastAsia="仿宋" w:cs="仿宋"/>
                <w:color w:val="auto"/>
                <w:spacing w:val="-4"/>
                <w:szCs w:val="21"/>
                <w:highlight w:val="none"/>
              </w:rPr>
            </w:pPr>
            <w:r>
              <w:rPr>
                <w:rFonts w:hint="eastAsia" w:ascii="仿宋" w:hAnsi="仿宋" w:eastAsia="仿宋" w:cs="仿宋"/>
                <w:color w:val="auto"/>
                <w:szCs w:val="21"/>
                <w:highlight w:val="none"/>
              </w:rPr>
              <w:t>法定代表人（负责人）身份证明</w:t>
            </w:r>
          </w:p>
        </w:tc>
        <w:tc>
          <w:tcPr>
            <w:tcW w:w="3002" w:type="pct"/>
            <w:vAlign w:val="center"/>
          </w:tcPr>
          <w:p>
            <w:pPr>
              <w:pStyle w:val="73"/>
              <w:topLinePunct/>
              <w:jc w:val="left"/>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1、提供法定代表人（负责人）身份证复印件。</w:t>
            </w:r>
          </w:p>
          <w:p>
            <w:pPr>
              <w:pStyle w:val="72"/>
              <w:tabs>
                <w:tab w:val="left" w:pos="630"/>
              </w:tabs>
              <w:topLinePunct/>
              <w:spacing w:before="62" w:beforeLines="20" w:after="62" w:afterLines="20" w:line="276" w:lineRule="auto"/>
              <w:rPr>
                <w:rFonts w:ascii="仿宋" w:hAnsi="仿宋" w:eastAsia="仿宋" w:cs="仿宋"/>
                <w:color w:val="auto"/>
                <w:sz w:val="21"/>
                <w:szCs w:val="21"/>
                <w:highlight w:val="none"/>
              </w:rPr>
            </w:pPr>
            <w:r>
              <w:rPr>
                <w:rFonts w:hint="eastAsia" w:ascii="仿宋" w:hAnsi="仿宋" w:eastAsia="仿宋" w:cs="仿宋"/>
                <w:color w:val="auto"/>
                <w:sz w:val="22"/>
                <w:highlight w:val="none"/>
              </w:rPr>
              <w:t>2、落款加盖公章。</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法定代表人（负责人）授权委托书</w:t>
            </w:r>
          </w:p>
        </w:tc>
        <w:tc>
          <w:tcPr>
            <w:tcW w:w="3002" w:type="pct"/>
            <w:vAlign w:val="center"/>
          </w:tcPr>
          <w:p>
            <w:pPr>
              <w:pStyle w:val="73"/>
              <w:topLinePunct/>
              <w:spacing w:line="276" w:lineRule="auto"/>
              <w:rPr>
                <w:rFonts w:ascii="仿宋" w:hAnsi="仿宋" w:eastAsia="仿宋" w:cs="仿宋"/>
                <w:color w:val="auto"/>
                <w:sz w:val="21"/>
                <w:szCs w:val="21"/>
                <w:highlight w:val="none"/>
              </w:rPr>
            </w:pPr>
            <w:r>
              <w:rPr>
                <w:rFonts w:hint="eastAsia" w:ascii="仿宋" w:hAnsi="仿宋" w:eastAsia="仿宋" w:cs="仿宋"/>
                <w:color w:val="auto"/>
                <w:sz w:val="21"/>
                <w:szCs w:val="21"/>
                <w:highlight w:val="none"/>
              </w:rPr>
              <w:t>1、提供委托代理人身份证复印件。</w:t>
            </w:r>
          </w:p>
          <w:p>
            <w:pPr>
              <w:pStyle w:val="73"/>
              <w:topLinePunct/>
              <w:spacing w:line="276" w:lineRule="auto"/>
              <w:rPr>
                <w:rFonts w:ascii="仿宋" w:hAnsi="仿宋" w:eastAsia="仿宋" w:cs="Cambria Math"/>
                <w:color w:val="auto"/>
                <w:sz w:val="21"/>
                <w:szCs w:val="21"/>
                <w:highlight w:val="none"/>
              </w:rPr>
            </w:pPr>
            <w:r>
              <w:rPr>
                <w:rFonts w:hint="eastAsia" w:ascii="仿宋" w:hAnsi="仿宋" w:eastAsia="仿宋" w:cs="仿宋"/>
                <w:color w:val="auto"/>
                <w:sz w:val="22"/>
                <w:highlight w:val="none"/>
              </w:rPr>
              <w:t>2、落款</w:t>
            </w:r>
            <w:r>
              <w:rPr>
                <w:rFonts w:hint="eastAsia" w:ascii="仿宋" w:hAnsi="仿宋" w:eastAsia="仿宋" w:cs="仿宋"/>
                <w:bCs/>
                <w:color w:val="auto"/>
                <w:sz w:val="22"/>
                <w:highlight w:val="none"/>
              </w:rPr>
              <w:t>加盖公章</w:t>
            </w:r>
            <w:r>
              <w:rPr>
                <w:rFonts w:hint="eastAsia" w:ascii="仿宋" w:hAnsi="仿宋" w:eastAsia="仿宋" w:cs="仿宋"/>
                <w:b/>
                <w:bCs/>
                <w:color w:val="auto"/>
                <w:sz w:val="22"/>
                <w:highlight w:val="none"/>
              </w:rPr>
              <w:t>并由</w:t>
            </w:r>
            <w:r>
              <w:rPr>
                <w:rFonts w:hint="eastAsia" w:ascii="仿宋" w:hAnsi="仿宋" w:eastAsia="仿宋" w:cs="仿宋"/>
                <w:color w:val="auto"/>
                <w:sz w:val="22"/>
                <w:highlight w:val="none"/>
              </w:rPr>
              <w:t>法定代表人（负责人）签字</w:t>
            </w:r>
            <w:r>
              <w:rPr>
                <w:rFonts w:hint="eastAsia" w:ascii="仿宋" w:hAnsi="仿宋" w:eastAsia="仿宋" w:cs="仿宋"/>
                <w:b/>
                <w:bCs/>
                <w:color w:val="auto"/>
                <w:sz w:val="22"/>
                <w:highlight w:val="none"/>
              </w:rPr>
              <w:t>和</w:t>
            </w:r>
            <w:r>
              <w:rPr>
                <w:rFonts w:hint="eastAsia" w:ascii="仿宋" w:hAnsi="仿宋" w:eastAsia="仿宋" w:cs="仿宋"/>
                <w:color w:val="auto"/>
                <w:sz w:val="22"/>
                <w:highlight w:val="none"/>
              </w:rPr>
              <w:t>其委托代理人</w:t>
            </w:r>
            <w:r>
              <w:rPr>
                <w:rFonts w:hint="eastAsia" w:ascii="仿宋" w:hAnsi="仿宋" w:eastAsia="仿宋" w:cs="仿宋"/>
                <w:b/>
                <w:bCs/>
                <w:color w:val="auto"/>
                <w:sz w:val="22"/>
                <w:highlight w:val="none"/>
              </w:rPr>
              <w:t>双方</w:t>
            </w:r>
            <w:r>
              <w:rPr>
                <w:rFonts w:hint="eastAsia" w:ascii="仿宋" w:hAnsi="仿宋" w:eastAsia="仿宋" w:cs="仿宋"/>
                <w:bCs/>
                <w:color w:val="auto"/>
                <w:sz w:val="22"/>
                <w:highlight w:val="none"/>
              </w:rPr>
              <w:t>签字。</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响应文件签字或盖章</w:t>
            </w:r>
          </w:p>
        </w:tc>
        <w:tc>
          <w:tcPr>
            <w:tcW w:w="3002" w:type="pct"/>
            <w:vAlign w:val="center"/>
          </w:tcPr>
          <w:p>
            <w:pPr>
              <w:spacing w:before="24" w:after="24"/>
              <w:rPr>
                <w:rFonts w:ascii="仿宋" w:hAnsi="仿宋" w:eastAsia="仿宋" w:cs="宋体"/>
                <w:color w:val="auto"/>
                <w:szCs w:val="21"/>
                <w:highlight w:val="none"/>
              </w:rPr>
            </w:pPr>
            <w:r>
              <w:rPr>
                <w:rFonts w:hint="eastAsia" w:ascii="仿宋" w:hAnsi="仿宋" w:eastAsia="仿宋" w:cs="宋体"/>
                <w:color w:val="auto"/>
                <w:szCs w:val="21"/>
                <w:highlight w:val="none"/>
              </w:rPr>
              <w:t>1、上述两款以外的响应文件格式中有落款的文件，</w:t>
            </w:r>
            <w:r>
              <w:rPr>
                <w:rFonts w:hint="eastAsia" w:ascii="仿宋" w:hAnsi="仿宋" w:eastAsia="仿宋" w:cs="宋体"/>
                <w:b/>
                <w:color w:val="auto"/>
                <w:szCs w:val="21"/>
                <w:highlight w:val="none"/>
              </w:rPr>
              <w:t>均需</w:t>
            </w:r>
            <w:r>
              <w:rPr>
                <w:rFonts w:hint="eastAsia" w:ascii="仿宋" w:hAnsi="仿宋" w:eastAsia="仿宋" w:cs="宋体"/>
                <w:color w:val="auto"/>
                <w:szCs w:val="21"/>
                <w:highlight w:val="none"/>
              </w:rPr>
              <w:t>加盖公章</w:t>
            </w:r>
            <w:r>
              <w:rPr>
                <w:rFonts w:hint="eastAsia" w:ascii="仿宋" w:hAnsi="仿宋" w:eastAsia="仿宋" w:cs="宋体"/>
                <w:b/>
                <w:color w:val="auto"/>
                <w:szCs w:val="21"/>
                <w:highlight w:val="none"/>
              </w:rPr>
              <w:t>或</w:t>
            </w:r>
            <w:r>
              <w:rPr>
                <w:rFonts w:hint="eastAsia" w:ascii="仿宋" w:hAnsi="仿宋" w:eastAsia="仿宋" w:cs="宋体"/>
                <w:color w:val="auto"/>
                <w:szCs w:val="21"/>
                <w:highlight w:val="none"/>
              </w:rPr>
              <w:t>由法定代表人（负责人）签字</w:t>
            </w:r>
            <w:r>
              <w:rPr>
                <w:rFonts w:hint="eastAsia" w:ascii="仿宋" w:hAnsi="仿宋" w:eastAsia="仿宋" w:cs="宋体"/>
                <w:b/>
                <w:color w:val="auto"/>
                <w:szCs w:val="21"/>
                <w:highlight w:val="none"/>
              </w:rPr>
              <w:t>或</w:t>
            </w:r>
            <w:r>
              <w:rPr>
                <w:rFonts w:hint="eastAsia" w:ascii="仿宋" w:hAnsi="仿宋" w:eastAsia="仿宋" w:cs="宋体"/>
                <w:color w:val="auto"/>
                <w:szCs w:val="21"/>
                <w:highlight w:val="none"/>
              </w:rPr>
              <w:t>其委托代理人签字。</w:t>
            </w:r>
          </w:p>
          <w:p>
            <w:pPr>
              <w:pStyle w:val="61"/>
              <w:spacing w:before="62" w:beforeLines="20" w:after="62" w:afterLines="20" w:line="276" w:lineRule="auto"/>
              <w:rPr>
                <w:rFonts w:ascii="仿宋" w:hAnsi="仿宋" w:eastAsia="仿宋"/>
                <w:color w:val="auto"/>
                <w:highlight w:val="none"/>
              </w:rPr>
            </w:pPr>
            <w:r>
              <w:rPr>
                <w:rFonts w:hint="eastAsia" w:ascii="仿宋" w:hAnsi="仿宋" w:eastAsia="仿宋"/>
                <w:color w:val="auto"/>
                <w:highlight w:val="none"/>
              </w:rPr>
              <w:t>2、响应文件的所有签字处均指手写签字</w:t>
            </w:r>
            <w:r>
              <w:rPr>
                <w:rFonts w:hint="eastAsia" w:ascii="仿宋" w:hAnsi="仿宋" w:eastAsia="仿宋"/>
                <w:b/>
                <w:color w:val="auto"/>
                <w:highlight w:val="none"/>
              </w:rPr>
              <w:t>或</w:t>
            </w:r>
            <w:r>
              <w:rPr>
                <w:rFonts w:hint="eastAsia" w:ascii="仿宋" w:hAnsi="仿宋" w:eastAsia="仿宋"/>
                <w:color w:val="auto"/>
                <w:highlight w:val="none"/>
              </w:rPr>
              <w:t>签名章/印章</w:t>
            </w:r>
            <w:r>
              <w:rPr>
                <w:rFonts w:hint="eastAsia" w:ascii="仿宋" w:hAnsi="仿宋" w:eastAsia="仿宋"/>
                <w:b/>
                <w:bCs/>
                <w:color w:val="auto"/>
                <w:highlight w:val="none"/>
              </w:rPr>
              <w:t>或</w:t>
            </w:r>
            <w:r>
              <w:rPr>
                <w:rFonts w:hint="eastAsia" w:ascii="仿宋" w:hAnsi="仿宋" w:eastAsia="仿宋"/>
                <w:color w:val="auto"/>
                <w:highlight w:val="none"/>
              </w:rPr>
              <w:t>CA签名章，</w:t>
            </w:r>
            <w:r>
              <w:rPr>
                <w:rFonts w:hint="eastAsia" w:ascii="仿宋" w:hAnsi="仿宋" w:eastAsia="仿宋"/>
                <w:b/>
                <w:color w:val="auto"/>
                <w:highlight w:val="none"/>
              </w:rPr>
              <w:t>不得</w:t>
            </w:r>
            <w:r>
              <w:rPr>
                <w:rFonts w:hint="eastAsia" w:ascii="仿宋" w:hAnsi="仿宋" w:eastAsia="仿宋"/>
                <w:color w:val="auto"/>
                <w:highlight w:val="none"/>
              </w:rPr>
              <w:t>以打印体代替。</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restart"/>
            <w:vAlign w:val="center"/>
          </w:tcPr>
          <w:p>
            <w:pPr>
              <w:spacing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593" w:type="pct"/>
            <w:vMerge w:val="restart"/>
            <w:vAlign w:val="center"/>
          </w:tcPr>
          <w:p>
            <w:pPr>
              <w:spacing w:before="24" w:after="24"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资格评审标准</w:t>
            </w:r>
          </w:p>
        </w:tc>
        <w:tc>
          <w:tcPr>
            <w:tcW w:w="1066" w:type="pct"/>
            <w:vAlign w:val="center"/>
          </w:tcPr>
          <w:p>
            <w:pPr>
              <w:spacing w:before="24" w:after="24" w:line="276" w:lineRule="auto"/>
              <w:jc w:val="center"/>
              <w:rPr>
                <w:rFonts w:ascii="仿宋" w:hAnsi="仿宋" w:eastAsia="仿宋" w:cs="仿宋"/>
                <w:color w:val="auto"/>
                <w:sz w:val="22"/>
                <w:szCs w:val="21"/>
                <w:highlight w:val="none"/>
              </w:rPr>
            </w:pPr>
            <w:r>
              <w:rPr>
                <w:rFonts w:hint="eastAsia" w:ascii="仿宋" w:hAnsi="仿宋" w:eastAsia="仿宋" w:cs="仿宋"/>
                <w:color w:val="auto"/>
                <w:sz w:val="22"/>
                <w:szCs w:val="21"/>
                <w:highlight w:val="none"/>
              </w:rPr>
              <w:t>具有独立承担民事责任的能力</w:t>
            </w:r>
          </w:p>
        </w:tc>
        <w:tc>
          <w:tcPr>
            <w:tcW w:w="3002" w:type="pct"/>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s="仿宋"/>
                <w:color w:val="auto"/>
                <w:szCs w:val="21"/>
                <w:highlight w:val="none"/>
              </w:rPr>
              <w:t>符合第一章“比选邀请”</w:t>
            </w:r>
            <w:r>
              <w:rPr>
                <w:rFonts w:hint="eastAsia" w:ascii="仿宋" w:hAnsi="仿宋" w:eastAsia="仿宋" w:cs="Cambria Math"/>
                <w:color w:val="auto"/>
                <w:szCs w:val="21"/>
                <w:highlight w:val="none"/>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vAlign w:val="center"/>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jc w:val="center"/>
              <w:rPr>
                <w:rFonts w:ascii="仿宋" w:hAnsi="仿宋" w:eastAsia="仿宋" w:cs="仿宋"/>
                <w:color w:val="auto"/>
                <w:sz w:val="22"/>
                <w:szCs w:val="21"/>
                <w:highlight w:val="none"/>
              </w:rPr>
            </w:pPr>
            <w:r>
              <w:rPr>
                <w:rFonts w:hint="eastAsia" w:ascii="仿宋" w:hAnsi="仿宋" w:eastAsia="仿宋" w:cs="Monaco"/>
                <w:color w:val="auto"/>
                <w:sz w:val="22"/>
                <w:szCs w:val="21"/>
                <w:highlight w:val="none"/>
              </w:rPr>
              <w:t>供应商应具有履行合同所必需的设备和专业技术能力</w:t>
            </w:r>
          </w:p>
        </w:tc>
        <w:tc>
          <w:tcPr>
            <w:tcW w:w="3002" w:type="pct"/>
            <w:vAlign w:val="center"/>
          </w:tcPr>
          <w:p>
            <w:pPr>
              <w:spacing w:before="24" w:after="24" w:line="276" w:lineRule="auto"/>
              <w:rPr>
                <w:rFonts w:ascii="仿宋" w:hAnsi="仿宋" w:eastAsia="仿宋" w:cs="仿宋"/>
                <w:color w:val="auto"/>
                <w:sz w:val="24"/>
                <w:szCs w:val="21"/>
                <w:highlight w:val="none"/>
                <w:lang w:val="en-US" w:eastAsia="zh-CN" w:bidi="ar-SA"/>
              </w:rPr>
            </w:pPr>
            <w:r>
              <w:rPr>
                <w:rFonts w:hint="eastAsia" w:ascii="仿宋" w:hAnsi="仿宋" w:eastAsia="仿宋" w:cs="仿宋"/>
                <w:color w:val="auto"/>
                <w:szCs w:val="21"/>
                <w:highlight w:val="none"/>
              </w:rPr>
              <w:t>符合第一章“比选邀请”</w:t>
            </w:r>
            <w:r>
              <w:rPr>
                <w:rFonts w:hint="eastAsia" w:ascii="仿宋" w:hAnsi="仿宋" w:eastAsia="仿宋" w:cs="Cambria Math"/>
                <w:color w:val="auto"/>
                <w:szCs w:val="21"/>
                <w:highlight w:val="none"/>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vAlign w:val="center"/>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jc w:val="center"/>
              <w:rPr>
                <w:rFonts w:ascii="仿宋" w:hAnsi="仿宋" w:eastAsia="仿宋" w:cs="仿宋"/>
                <w:color w:val="auto"/>
                <w:sz w:val="22"/>
                <w:szCs w:val="21"/>
                <w:highlight w:val="none"/>
              </w:rPr>
            </w:pPr>
            <w:r>
              <w:rPr>
                <w:rFonts w:hint="eastAsia" w:ascii="仿宋" w:hAnsi="仿宋" w:eastAsia="仿宋" w:cs="Cambria Math"/>
                <w:color w:val="auto"/>
                <w:sz w:val="22"/>
                <w:szCs w:val="21"/>
                <w:highlight w:val="none"/>
              </w:rPr>
              <w:t>近三年内无违法违规记录</w:t>
            </w:r>
          </w:p>
        </w:tc>
        <w:tc>
          <w:tcPr>
            <w:tcW w:w="3002" w:type="pct"/>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s="仿宋"/>
                <w:color w:val="auto"/>
                <w:szCs w:val="21"/>
                <w:highlight w:val="none"/>
              </w:rPr>
              <w:t>符合第一章“比选邀请”</w:t>
            </w:r>
            <w:r>
              <w:rPr>
                <w:rFonts w:hint="eastAsia" w:ascii="仿宋" w:hAnsi="仿宋" w:eastAsia="仿宋" w:cs="Cambria Math"/>
                <w:color w:val="auto"/>
                <w:szCs w:val="21"/>
                <w:highlight w:val="none"/>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jc w:val="center"/>
              <w:rPr>
                <w:rFonts w:ascii="仿宋" w:hAnsi="仿宋" w:eastAsia="仿宋" w:cs="仿宋"/>
                <w:color w:val="auto"/>
                <w:sz w:val="22"/>
                <w:szCs w:val="21"/>
                <w:highlight w:val="none"/>
              </w:rPr>
            </w:pPr>
            <w:r>
              <w:rPr>
                <w:rFonts w:hint="eastAsia" w:ascii="仿宋" w:hAnsi="仿宋" w:eastAsia="仿宋" w:cs="Cambria Math"/>
                <w:color w:val="auto"/>
                <w:sz w:val="22"/>
                <w:szCs w:val="21"/>
                <w:highlight w:val="none"/>
              </w:rPr>
              <w:t>未被纳入采购人及其所隶属的中国人民保险各级机构的供应商黑名单</w:t>
            </w:r>
          </w:p>
        </w:tc>
        <w:tc>
          <w:tcPr>
            <w:tcW w:w="3002" w:type="pct"/>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s="仿宋"/>
                <w:color w:val="auto"/>
                <w:szCs w:val="21"/>
                <w:highlight w:val="none"/>
              </w:rPr>
              <w:t>符合第一章“比选邀请”</w:t>
            </w:r>
            <w:r>
              <w:rPr>
                <w:rFonts w:hint="eastAsia" w:ascii="仿宋" w:hAnsi="仿宋" w:eastAsia="仿宋" w:cs="Cambria Math"/>
                <w:color w:val="auto"/>
                <w:szCs w:val="21"/>
                <w:highlight w:val="none"/>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jc w:val="center"/>
              <w:rPr>
                <w:rFonts w:ascii="仿宋" w:hAnsi="仿宋" w:eastAsia="仿宋" w:cs="Cambria Math"/>
                <w:color w:val="auto"/>
                <w:sz w:val="22"/>
                <w:szCs w:val="21"/>
                <w:highlight w:val="none"/>
              </w:rPr>
            </w:pPr>
            <w:r>
              <w:rPr>
                <w:rFonts w:hint="eastAsia" w:ascii="仿宋" w:hAnsi="仿宋" w:eastAsia="仿宋" w:cs="Cambria Math"/>
                <w:color w:val="auto"/>
                <w:sz w:val="22"/>
                <w:szCs w:val="21"/>
                <w:highlight w:val="none"/>
              </w:rPr>
              <w:t>控股管理关系</w:t>
            </w:r>
          </w:p>
        </w:tc>
        <w:tc>
          <w:tcPr>
            <w:tcW w:w="3002" w:type="pct"/>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s="仿宋"/>
                <w:color w:val="auto"/>
                <w:szCs w:val="21"/>
                <w:highlight w:val="none"/>
              </w:rPr>
              <w:t>符合第一章“比选邀请”</w:t>
            </w:r>
            <w:r>
              <w:rPr>
                <w:rFonts w:hint="eastAsia" w:ascii="仿宋" w:hAnsi="仿宋" w:eastAsia="仿宋" w:cs="Cambria Math"/>
                <w:color w:val="auto"/>
                <w:szCs w:val="21"/>
                <w:highlight w:val="none"/>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line="276" w:lineRule="auto"/>
              <w:jc w:val="center"/>
              <w:rPr>
                <w:rFonts w:ascii="仿宋" w:hAnsi="仿宋" w:eastAsia="仿宋" w:cs="Cambria Math"/>
                <w:color w:val="auto"/>
                <w:sz w:val="22"/>
                <w:szCs w:val="21"/>
                <w:highlight w:val="none"/>
              </w:rPr>
            </w:pPr>
            <w:r>
              <w:rPr>
                <w:rFonts w:hint="eastAsia" w:ascii="仿宋" w:hAnsi="仿宋" w:eastAsia="仿宋" w:cs="Cambria Math"/>
                <w:color w:val="auto"/>
                <w:sz w:val="22"/>
                <w:szCs w:val="21"/>
                <w:highlight w:val="none"/>
              </w:rPr>
              <w:t>非联合体投标</w:t>
            </w:r>
          </w:p>
        </w:tc>
        <w:tc>
          <w:tcPr>
            <w:tcW w:w="3002" w:type="pct"/>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s="仿宋"/>
                <w:color w:val="auto"/>
                <w:szCs w:val="21"/>
                <w:highlight w:val="none"/>
              </w:rPr>
              <w:t>符合第一章“比选邀请”</w:t>
            </w:r>
            <w:r>
              <w:rPr>
                <w:rFonts w:hint="eastAsia" w:ascii="仿宋" w:hAnsi="仿宋" w:eastAsia="仿宋" w:cs="Cambria Math"/>
                <w:color w:val="auto"/>
                <w:szCs w:val="21"/>
                <w:highlight w:val="none"/>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restart"/>
            <w:vAlign w:val="center"/>
          </w:tcPr>
          <w:p>
            <w:pPr>
              <w:spacing w:line="360" w:lineRule="auto"/>
              <w:jc w:val="center"/>
              <w:rPr>
                <w:rFonts w:ascii="仿宋" w:hAnsi="仿宋" w:eastAsia="仿宋" w:cs="仿宋"/>
                <w:color w:val="auto"/>
                <w:szCs w:val="21"/>
                <w:highlight w:val="none"/>
              </w:rPr>
            </w:pPr>
            <w:r>
              <w:rPr>
                <w:rFonts w:ascii="仿宋" w:hAnsi="仿宋" w:eastAsia="仿宋" w:cs="仿宋"/>
                <w:color w:val="auto"/>
                <w:szCs w:val="21"/>
                <w:highlight w:val="none"/>
              </w:rPr>
              <w:t>3</w:t>
            </w:r>
          </w:p>
        </w:tc>
        <w:tc>
          <w:tcPr>
            <w:tcW w:w="593" w:type="pct"/>
            <w:vMerge w:val="restart"/>
            <w:vAlign w:val="center"/>
          </w:tcPr>
          <w:p>
            <w:pPr>
              <w:spacing w:before="24" w:after="24"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响应性评审标准</w:t>
            </w:r>
          </w:p>
        </w:tc>
        <w:tc>
          <w:tcPr>
            <w:tcW w:w="1066" w:type="pct"/>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响应函</w:t>
            </w:r>
          </w:p>
        </w:tc>
        <w:tc>
          <w:tcPr>
            <w:tcW w:w="3002" w:type="pct"/>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olor w:val="auto"/>
                <w:szCs w:val="21"/>
                <w:highlight w:val="none"/>
              </w:rPr>
              <w:t>除填写双方名称、项目名称外，未修改原文内容</w:t>
            </w:r>
            <w:r>
              <w:rPr>
                <w:rFonts w:hint="eastAsia" w:ascii="仿宋" w:hAnsi="仿宋" w:eastAsia="仿宋" w:cs="Cambria Math"/>
                <w:color w:val="auto"/>
                <w:szCs w:val="21"/>
                <w:highlight w:val="none"/>
              </w:rPr>
              <w:t>。</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vAlign w:val="center"/>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line="276" w:lineRule="auto"/>
              <w:jc w:val="center"/>
              <w:rPr>
                <w:rFonts w:ascii="仿宋" w:hAnsi="仿宋" w:eastAsia="仿宋" w:cs="Cambria Math"/>
                <w:color w:val="auto"/>
                <w:szCs w:val="21"/>
                <w:highlight w:val="none"/>
              </w:rPr>
            </w:pPr>
            <w:r>
              <w:rPr>
                <w:rFonts w:hint="eastAsia" w:ascii="仿宋" w:hAnsi="仿宋" w:eastAsia="仿宋" w:cs="宋体"/>
                <w:color w:val="auto"/>
                <w:szCs w:val="21"/>
                <w:highlight w:val="none"/>
              </w:rPr>
              <w:t>供应商行为准则承诺书</w:t>
            </w:r>
          </w:p>
        </w:tc>
        <w:tc>
          <w:tcPr>
            <w:tcW w:w="3002" w:type="pct"/>
            <w:vAlign w:val="center"/>
          </w:tcPr>
          <w:p>
            <w:pPr>
              <w:spacing w:before="24" w:after="24" w:line="276" w:lineRule="auto"/>
              <w:rPr>
                <w:rFonts w:ascii="仿宋" w:hAnsi="仿宋" w:eastAsia="仿宋" w:cs="Cambria Math"/>
                <w:color w:val="auto"/>
                <w:szCs w:val="21"/>
                <w:highlight w:val="none"/>
              </w:rPr>
            </w:pPr>
            <w:r>
              <w:rPr>
                <w:rFonts w:hint="eastAsia" w:ascii="仿宋" w:hAnsi="仿宋" w:eastAsia="仿宋" w:cs="仿宋"/>
                <w:color w:val="auto"/>
                <w:szCs w:val="21"/>
                <w:highlight w:val="none"/>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vAlign w:val="center"/>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line="276" w:lineRule="auto"/>
              <w:jc w:val="center"/>
              <w:rPr>
                <w:rFonts w:ascii="仿宋" w:hAnsi="仿宋" w:eastAsia="仿宋" w:cs="Cambria Math"/>
                <w:color w:val="auto"/>
                <w:szCs w:val="21"/>
                <w:highlight w:val="none"/>
              </w:rPr>
            </w:pPr>
            <w:r>
              <w:rPr>
                <w:rFonts w:hint="eastAsia" w:ascii="仿宋" w:hAnsi="仿宋" w:eastAsia="仿宋" w:cs="宋体"/>
                <w:color w:val="auto"/>
                <w:szCs w:val="21"/>
                <w:highlight w:val="none"/>
              </w:rPr>
              <w:t>供应商廉洁诚信承诺书</w:t>
            </w:r>
          </w:p>
        </w:tc>
        <w:tc>
          <w:tcPr>
            <w:tcW w:w="3002" w:type="pct"/>
            <w:vAlign w:val="center"/>
          </w:tcPr>
          <w:p>
            <w:pPr>
              <w:spacing w:before="24" w:after="24" w:line="276" w:lineRule="auto"/>
              <w:rPr>
                <w:rFonts w:ascii="仿宋" w:hAnsi="仿宋" w:eastAsia="仿宋" w:cs="Cambria Math"/>
                <w:color w:val="auto"/>
                <w:szCs w:val="21"/>
                <w:highlight w:val="none"/>
              </w:rPr>
            </w:pPr>
            <w:r>
              <w:rPr>
                <w:rFonts w:hint="eastAsia" w:ascii="仿宋" w:hAnsi="仿宋" w:eastAsia="仿宋" w:cs="仿宋"/>
                <w:color w:val="auto"/>
                <w:szCs w:val="21"/>
                <w:highlight w:val="none"/>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86" w:hRule="atLeast"/>
          <w:jc w:val="center"/>
        </w:trPr>
        <w:tc>
          <w:tcPr>
            <w:tcW w:w="338" w:type="pct"/>
            <w:vMerge w:val="continue"/>
            <w:vAlign w:val="center"/>
          </w:tcPr>
          <w:p>
            <w:pPr>
              <w:spacing w:line="360" w:lineRule="auto"/>
              <w:jc w:val="center"/>
              <w:rPr>
                <w:rFonts w:ascii="仿宋" w:hAnsi="仿宋" w:eastAsia="仿宋" w:cs="仿宋"/>
                <w:color w:val="auto"/>
                <w:szCs w:val="21"/>
                <w:highlight w:val="none"/>
              </w:rPr>
            </w:pPr>
          </w:p>
        </w:tc>
        <w:tc>
          <w:tcPr>
            <w:tcW w:w="593" w:type="pct"/>
            <w:vMerge w:val="continue"/>
            <w:vAlign w:val="center"/>
          </w:tcPr>
          <w:p>
            <w:pPr>
              <w:spacing w:before="24" w:after="24" w:line="360" w:lineRule="auto"/>
              <w:jc w:val="center"/>
              <w:rPr>
                <w:rFonts w:ascii="仿宋" w:hAnsi="仿宋" w:eastAsia="仿宋" w:cs="仿宋"/>
                <w:color w:val="auto"/>
                <w:szCs w:val="21"/>
                <w:highlight w:val="none"/>
              </w:rPr>
            </w:pPr>
          </w:p>
        </w:tc>
        <w:tc>
          <w:tcPr>
            <w:tcW w:w="1066" w:type="pct"/>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Cambria Math"/>
                <w:color w:val="auto"/>
                <w:szCs w:val="21"/>
                <w:highlight w:val="none"/>
              </w:rPr>
              <w:t>供应商偏离应答</w:t>
            </w:r>
          </w:p>
        </w:tc>
        <w:tc>
          <w:tcPr>
            <w:tcW w:w="3002" w:type="pct"/>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s="仿宋"/>
                <w:color w:val="auto"/>
                <w:szCs w:val="21"/>
                <w:highlight w:val="none"/>
              </w:rPr>
              <w:t>《供应商须知应答偏离表》、《合同条款应答偏离表》、《采购需求应答偏离表》》进行了符合第二章“供应商须知”的应答</w:t>
            </w:r>
          </w:p>
        </w:tc>
      </w:tr>
    </w:tbl>
    <w:p>
      <w:pPr>
        <w:pStyle w:val="4"/>
        <w:ind w:firstLine="482" w:firstLineChars="200"/>
        <w:jc w:val="left"/>
        <w:rPr>
          <w:rFonts w:ascii="仿宋" w:hAnsi="仿宋" w:eastAsia="仿宋" w:cs="仿宋"/>
          <w:color w:val="auto"/>
          <w:sz w:val="24"/>
          <w:szCs w:val="24"/>
          <w:highlight w:val="none"/>
        </w:rPr>
      </w:pPr>
      <w:bookmarkStart w:id="120" w:name="_Toc31182"/>
      <w:bookmarkStart w:id="121" w:name="_Toc25550"/>
      <w:r>
        <w:rPr>
          <w:rFonts w:hint="eastAsia" w:ascii="仿宋" w:hAnsi="仿宋" w:eastAsia="仿宋" w:cs="仿宋"/>
          <w:color w:val="auto"/>
          <w:sz w:val="24"/>
          <w:szCs w:val="24"/>
          <w:highlight w:val="none"/>
        </w:rPr>
        <w:t>三、详细评审</w:t>
      </w:r>
      <w:bookmarkEnd w:id="120"/>
      <w:bookmarkEnd w:id="121"/>
    </w:p>
    <w:p>
      <w:pPr>
        <w:pStyle w:val="2"/>
        <w:snapToGrid w:val="0"/>
        <w:spacing w:after="0" w:line="360" w:lineRule="auto"/>
        <w:ind w:left="141" w:right="223" w:firstLine="480"/>
        <w:jc w:val="both"/>
        <w:rPr>
          <w:rFonts w:ascii="仿宋_GB2312" w:eastAsia="仿宋_GB2312"/>
          <w:color w:val="auto"/>
          <w:highlight w:val="none"/>
        </w:rPr>
      </w:pPr>
      <w:r>
        <w:rPr>
          <w:rFonts w:hint="eastAsia" w:ascii="仿宋_GB2312" w:eastAsia="仿宋_GB2312"/>
          <w:color w:val="auto"/>
          <w:highlight w:val="none"/>
        </w:rPr>
        <w:t>3</w:t>
      </w:r>
      <w:r>
        <w:rPr>
          <w:rFonts w:ascii="仿宋_GB2312" w:eastAsia="仿宋_GB2312"/>
          <w:color w:val="auto"/>
          <w:highlight w:val="none"/>
        </w:rPr>
        <w:t>.1</w:t>
      </w:r>
      <w:r>
        <w:rPr>
          <w:rFonts w:hint="eastAsia" w:ascii="仿宋_GB2312" w:eastAsia="仿宋_GB2312"/>
          <w:color w:val="auto"/>
          <w:highlight w:val="none"/>
        </w:rPr>
        <w:t>本项目采用综合评分法</w:t>
      </w:r>
    </w:p>
    <w:p>
      <w:pPr>
        <w:pStyle w:val="2"/>
        <w:snapToGrid w:val="0"/>
        <w:spacing w:after="0" w:line="360" w:lineRule="auto"/>
        <w:ind w:left="138" w:right="228" w:firstLine="480"/>
        <w:jc w:val="both"/>
        <w:rPr>
          <w:rFonts w:ascii="仿宋_GB2312" w:eastAsia="仿宋_GB2312"/>
          <w:color w:val="auto"/>
          <w:highlight w:val="none"/>
        </w:rPr>
      </w:pPr>
      <w:r>
        <w:rPr>
          <w:rFonts w:ascii="仿宋_GB2312" w:eastAsia="仿宋_GB2312"/>
          <w:color w:val="auto"/>
          <w:highlight w:val="none"/>
        </w:rPr>
        <w:t>3.2</w:t>
      </w:r>
      <w:r>
        <w:rPr>
          <w:rFonts w:hint="eastAsia" w:ascii="仿宋_GB2312" w:eastAsia="仿宋_GB2312"/>
          <w:color w:val="auto"/>
          <w:highlight w:val="none"/>
        </w:rPr>
        <w:t xml:space="preserve"> 评分明细：</w:t>
      </w:r>
    </w:p>
    <w:p>
      <w:pPr>
        <w:pStyle w:val="2"/>
        <w:snapToGrid w:val="0"/>
        <w:spacing w:after="0" w:line="360" w:lineRule="auto"/>
        <w:ind w:left="138" w:right="228" w:firstLine="480"/>
        <w:jc w:val="both"/>
        <w:rPr>
          <w:color w:val="auto"/>
          <w:highlight w:val="none"/>
        </w:rPr>
      </w:pPr>
      <w:r>
        <w:rPr>
          <w:rFonts w:hint="eastAsia" w:ascii="仿宋_GB2312" w:eastAsia="仿宋_GB2312"/>
          <w:color w:val="auto"/>
          <w:sz w:val="24"/>
          <w:szCs w:val="24"/>
          <w:highlight w:val="none"/>
        </w:rPr>
        <w:t>采购评审标准由项目</w:t>
      </w:r>
      <w:r>
        <w:rPr>
          <w:rFonts w:hint="default" w:ascii="Times New Roman" w:hAnsi="Times New Roman" w:eastAsia="仿宋_GB2312" w:cs="Times New Roman"/>
          <w:i w:val="0"/>
          <w:iCs w:val="0"/>
          <w:color w:val="auto"/>
          <w:highlight w:val="none"/>
        </w:rPr>
        <w:t>最终报价</w:t>
      </w:r>
      <w:r>
        <w:rPr>
          <w:rFonts w:hint="eastAsia" w:ascii="Times New Roman" w:hAnsi="Times New Roman" w:eastAsia="仿宋_GB2312" w:cs="Times New Roman"/>
          <w:i w:val="0"/>
          <w:iCs w:val="0"/>
          <w:color w:val="auto"/>
          <w:highlight w:val="none"/>
          <w:lang w:eastAsia="zh-CN"/>
        </w:rPr>
        <w:t>、业绩和货物</w:t>
      </w:r>
      <w:r>
        <w:rPr>
          <w:rFonts w:hint="eastAsia" w:ascii="仿宋_GB2312" w:eastAsia="仿宋_GB2312"/>
          <w:color w:val="auto"/>
          <w:highlight w:val="none"/>
        </w:rPr>
        <w:t>质量</w:t>
      </w:r>
      <w:r>
        <w:rPr>
          <w:rFonts w:hint="eastAsia" w:ascii="仿宋_GB2312" w:eastAsia="仿宋_GB2312"/>
          <w:color w:val="auto"/>
          <w:highlight w:val="none"/>
          <w:lang w:eastAsia="zh-CN"/>
        </w:rPr>
        <w:t>、</w:t>
      </w:r>
      <w:r>
        <w:rPr>
          <w:rFonts w:hint="eastAsia" w:ascii="仿宋_GB2312" w:eastAsia="仿宋_GB2312"/>
          <w:color w:val="auto"/>
          <w:highlight w:val="none"/>
        </w:rPr>
        <w:t>服务水平</w:t>
      </w:r>
      <w:r>
        <w:rPr>
          <w:rFonts w:hint="eastAsia" w:ascii="仿宋_GB2312" w:eastAsia="仿宋_GB2312"/>
          <w:color w:val="auto"/>
          <w:sz w:val="24"/>
          <w:szCs w:val="24"/>
          <w:highlight w:val="none"/>
          <w:lang w:eastAsia="zh-CN"/>
        </w:rPr>
        <w:t>三项</w:t>
      </w:r>
      <w:r>
        <w:rPr>
          <w:rFonts w:hint="eastAsia" w:ascii="仿宋_GB2312" w:eastAsia="仿宋_GB2312"/>
          <w:color w:val="auto"/>
          <w:sz w:val="24"/>
          <w:szCs w:val="24"/>
          <w:highlight w:val="none"/>
        </w:rPr>
        <w:t>标准构成，评审专家将依据</w:t>
      </w:r>
      <w:r>
        <w:rPr>
          <w:rFonts w:hint="eastAsia" w:ascii="仿宋_GB2312" w:eastAsia="仿宋_GB2312"/>
          <w:color w:val="auto"/>
          <w:sz w:val="24"/>
          <w:szCs w:val="24"/>
          <w:highlight w:val="none"/>
          <w:lang w:eastAsia="zh-CN"/>
        </w:rPr>
        <w:t>比选</w:t>
      </w:r>
      <w:r>
        <w:rPr>
          <w:rFonts w:hint="eastAsia" w:ascii="仿宋_GB2312" w:eastAsia="仿宋_GB2312"/>
          <w:color w:val="auto"/>
          <w:sz w:val="24"/>
          <w:szCs w:val="24"/>
          <w:highlight w:val="none"/>
        </w:rPr>
        <w:t>邀请文件要求，结合项目最终报价表、</w:t>
      </w:r>
      <w:r>
        <w:rPr>
          <w:rFonts w:hint="eastAsia" w:ascii="仿宋_GB2312" w:eastAsia="仿宋_GB2312"/>
          <w:color w:val="auto"/>
          <w:sz w:val="24"/>
          <w:szCs w:val="24"/>
          <w:highlight w:val="none"/>
          <w:lang w:eastAsia="zh-CN"/>
        </w:rPr>
        <w:t>服务质量</w:t>
      </w:r>
      <w:r>
        <w:rPr>
          <w:rFonts w:hint="eastAsia" w:ascii="仿宋_GB2312" w:eastAsia="仿宋_GB2312"/>
          <w:color w:val="auto"/>
          <w:sz w:val="24"/>
          <w:szCs w:val="24"/>
          <w:highlight w:val="none"/>
        </w:rPr>
        <w:t>、服务</w:t>
      </w:r>
      <w:r>
        <w:rPr>
          <w:rFonts w:hint="eastAsia" w:ascii="仿宋_GB2312" w:eastAsia="仿宋_GB2312"/>
          <w:color w:val="auto"/>
          <w:sz w:val="24"/>
          <w:szCs w:val="24"/>
          <w:highlight w:val="none"/>
          <w:lang w:eastAsia="zh-CN"/>
        </w:rPr>
        <w:t>体系</w:t>
      </w:r>
      <w:r>
        <w:rPr>
          <w:rFonts w:hint="eastAsia" w:ascii="仿宋_GB2312" w:eastAsia="仿宋_GB2312"/>
          <w:color w:val="auto"/>
          <w:sz w:val="24"/>
          <w:szCs w:val="24"/>
          <w:highlight w:val="none"/>
        </w:rPr>
        <w:t>等情况进行评分。各有效供应商的综合得分为各评审专家所评分值的算术平均值，若总得分相同，以价格得分高者排序在先。将把合同授予被确定为实质上响应</w:t>
      </w:r>
      <w:r>
        <w:rPr>
          <w:rFonts w:hint="eastAsia" w:ascii="仿宋_GB2312" w:eastAsia="仿宋_GB2312"/>
          <w:color w:val="auto"/>
          <w:sz w:val="24"/>
          <w:szCs w:val="24"/>
          <w:highlight w:val="none"/>
          <w:lang w:eastAsia="zh-CN"/>
        </w:rPr>
        <w:t>比选</w:t>
      </w:r>
      <w:r>
        <w:rPr>
          <w:rFonts w:hint="eastAsia" w:ascii="仿宋_GB2312" w:eastAsia="仿宋_GB2312"/>
          <w:color w:val="auto"/>
          <w:sz w:val="24"/>
          <w:szCs w:val="24"/>
          <w:highlight w:val="none"/>
        </w:rPr>
        <w:t>文件要求且评标得分最高的供应商。</w:t>
      </w:r>
    </w:p>
    <w:p>
      <w:pPr>
        <w:pStyle w:val="2"/>
        <w:snapToGrid w:val="0"/>
        <w:spacing w:after="0" w:line="360" w:lineRule="auto"/>
        <w:ind w:left="141" w:right="223" w:firstLine="480"/>
        <w:jc w:val="both"/>
        <w:rPr>
          <w:rFonts w:ascii="仿宋_GB2312" w:eastAsia="仿宋_GB2312"/>
          <w:color w:val="auto"/>
          <w:highlight w:val="none"/>
        </w:rPr>
      </w:pPr>
      <w:r>
        <w:rPr>
          <w:rFonts w:hint="eastAsia" w:ascii="仿宋_GB2312" w:eastAsia="仿宋_GB2312"/>
          <w:color w:val="auto"/>
          <w:highlight w:val="none"/>
        </w:rPr>
        <w:t>评审标准如下：</w:t>
      </w:r>
    </w:p>
    <w:tbl>
      <w:tblPr>
        <w:tblStyle w:val="29"/>
        <w:tblW w:w="8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6589"/>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tblHeader/>
          <w:jc w:val="center"/>
        </w:trPr>
        <w:tc>
          <w:tcPr>
            <w:tcW w:w="1340" w:type="dxa"/>
            <w:vAlign w:val="center"/>
          </w:tcPr>
          <w:p>
            <w:pPr>
              <w:spacing w:line="320" w:lineRule="exact"/>
              <w:jc w:val="center"/>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项 目</w:t>
            </w:r>
          </w:p>
        </w:tc>
        <w:tc>
          <w:tcPr>
            <w:tcW w:w="6589" w:type="dxa"/>
            <w:vAlign w:val="center"/>
          </w:tcPr>
          <w:p>
            <w:pPr>
              <w:spacing w:line="320" w:lineRule="exact"/>
              <w:jc w:val="center"/>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评分内容</w:t>
            </w:r>
          </w:p>
        </w:tc>
        <w:tc>
          <w:tcPr>
            <w:tcW w:w="953" w:type="dxa"/>
            <w:vAlign w:val="center"/>
          </w:tcPr>
          <w:p>
            <w:pPr>
              <w:spacing w:line="320" w:lineRule="exact"/>
              <w:jc w:val="center"/>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882" w:type="dxa"/>
            <w:gridSpan w:val="3"/>
            <w:vAlign w:val="center"/>
          </w:tcPr>
          <w:p>
            <w:pPr>
              <w:spacing w:line="320" w:lineRule="exact"/>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一、价格评审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340" w:type="dxa"/>
            <w:vAlign w:val="center"/>
          </w:tcPr>
          <w:p>
            <w:pPr>
              <w:spacing w:line="320" w:lineRule="exact"/>
              <w:jc w:val="center"/>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价格得分（</w:t>
            </w:r>
            <w:r>
              <w:rPr>
                <w:rFonts w:hint="eastAsia" w:ascii="Times New Roman" w:hAnsi="Times New Roman" w:eastAsia="楷体" w:cs="Times New Roman"/>
                <w:i w:val="0"/>
                <w:iCs w:val="0"/>
                <w:color w:val="auto"/>
                <w:szCs w:val="32"/>
                <w:highlight w:val="none"/>
                <w:lang w:val="en-US" w:eastAsia="zh-CN"/>
              </w:rPr>
              <w:t>60</w:t>
            </w:r>
            <w:r>
              <w:rPr>
                <w:rFonts w:hint="default" w:ascii="Times New Roman" w:hAnsi="Times New Roman" w:eastAsia="楷体" w:cs="Times New Roman"/>
                <w:i w:val="0"/>
                <w:iCs w:val="0"/>
                <w:color w:val="auto"/>
                <w:szCs w:val="32"/>
                <w:highlight w:val="none"/>
              </w:rPr>
              <w:t>）</w:t>
            </w:r>
          </w:p>
        </w:tc>
        <w:tc>
          <w:tcPr>
            <w:tcW w:w="6589" w:type="dxa"/>
            <w:vAlign w:val="center"/>
          </w:tcPr>
          <w:p>
            <w:pPr>
              <w:spacing w:line="320" w:lineRule="exact"/>
              <w:rPr>
                <w:rFonts w:ascii="楷体" w:hAnsi="楷体" w:eastAsia="楷体" w:cs="仿宋_GB2312"/>
                <w:i w:val="0"/>
                <w:iCs/>
                <w:color w:val="auto"/>
                <w:szCs w:val="32"/>
                <w:highlight w:val="none"/>
              </w:rPr>
            </w:pPr>
            <w:r>
              <w:rPr>
                <w:rFonts w:hint="eastAsia" w:ascii="楷体" w:hAnsi="楷体" w:eastAsia="楷体" w:cs="仿宋_GB2312"/>
                <w:i w:val="0"/>
                <w:iCs/>
                <w:color w:val="auto"/>
                <w:szCs w:val="32"/>
                <w:highlight w:val="none"/>
              </w:rPr>
              <w:t>评分法中的价格分采用低价优先法计算，即满足招标文件要求且最低的评审价格为评标基准价，等于评标基准价得</w:t>
            </w:r>
            <w:r>
              <w:rPr>
                <w:rFonts w:hint="eastAsia" w:ascii="楷体" w:hAnsi="楷体" w:eastAsia="楷体" w:cs="仿宋_GB2312"/>
                <w:i w:val="0"/>
                <w:iCs/>
                <w:color w:val="auto"/>
                <w:szCs w:val="32"/>
                <w:highlight w:val="none"/>
                <w:lang w:val="en-US" w:eastAsia="zh-CN"/>
              </w:rPr>
              <w:t>60</w:t>
            </w:r>
            <w:r>
              <w:rPr>
                <w:rFonts w:hint="eastAsia" w:ascii="楷体" w:hAnsi="楷体" w:eastAsia="楷体" w:cs="仿宋_GB2312"/>
                <w:i w:val="0"/>
                <w:iCs/>
                <w:color w:val="auto"/>
                <w:szCs w:val="32"/>
                <w:highlight w:val="none"/>
              </w:rPr>
              <w:t>分。其他供应商的价格分统一按照下列公式计算，精确到小数点后两位：</w:t>
            </w:r>
          </w:p>
          <w:p>
            <w:pPr>
              <w:spacing w:line="320" w:lineRule="exact"/>
              <w:rPr>
                <w:rFonts w:hint="default" w:ascii="Times New Roman" w:hAnsi="Times New Roman" w:eastAsia="楷体" w:cs="Times New Roman"/>
                <w:i w:val="0"/>
                <w:iCs w:val="0"/>
                <w:color w:val="auto"/>
                <w:szCs w:val="32"/>
                <w:highlight w:val="none"/>
              </w:rPr>
            </w:pPr>
            <w:r>
              <w:rPr>
                <w:rFonts w:hint="eastAsia" w:ascii="楷体" w:hAnsi="楷体" w:eastAsia="楷体" w:cs="仿宋_GB2312"/>
                <w:i w:val="0"/>
                <w:iCs/>
                <w:color w:val="auto"/>
                <w:szCs w:val="32"/>
                <w:highlight w:val="none"/>
                <w:lang w:eastAsia="zh-CN"/>
              </w:rPr>
              <w:t>价格</w:t>
            </w:r>
            <w:r>
              <w:rPr>
                <w:rFonts w:hint="eastAsia" w:ascii="楷体" w:hAnsi="楷体" w:eastAsia="楷体" w:cs="仿宋_GB2312"/>
                <w:i w:val="0"/>
                <w:iCs/>
                <w:color w:val="auto"/>
                <w:szCs w:val="32"/>
                <w:highlight w:val="none"/>
              </w:rPr>
              <w:t>得分＝（评标基准价/评审</w:t>
            </w:r>
            <w:r>
              <w:rPr>
                <w:rFonts w:hint="eastAsia" w:ascii="楷体" w:hAnsi="楷体" w:eastAsia="楷体" w:cs="仿宋_GB2312"/>
                <w:i w:val="0"/>
                <w:iCs/>
                <w:color w:val="auto"/>
                <w:szCs w:val="32"/>
                <w:highlight w:val="none"/>
                <w:lang w:eastAsia="zh-CN"/>
              </w:rPr>
              <w:t>折扣优惠</w:t>
            </w:r>
            <w:r>
              <w:rPr>
                <w:rFonts w:hint="eastAsia" w:ascii="楷体" w:hAnsi="楷体" w:eastAsia="楷体" w:cs="仿宋_GB2312"/>
                <w:i w:val="0"/>
                <w:iCs/>
                <w:color w:val="auto"/>
                <w:szCs w:val="32"/>
                <w:highlight w:val="none"/>
              </w:rPr>
              <w:t>价格）×</w:t>
            </w:r>
            <w:r>
              <w:rPr>
                <w:rFonts w:hint="eastAsia" w:ascii="楷体" w:hAnsi="楷体" w:eastAsia="楷体" w:cs="仿宋_GB2312"/>
                <w:i w:val="0"/>
                <w:iCs/>
                <w:color w:val="auto"/>
                <w:szCs w:val="32"/>
                <w:highlight w:val="none"/>
                <w:lang w:val="en-US" w:eastAsia="zh-CN"/>
              </w:rPr>
              <w:t>60。</w:t>
            </w:r>
          </w:p>
        </w:tc>
        <w:tc>
          <w:tcPr>
            <w:tcW w:w="953" w:type="dxa"/>
            <w:vAlign w:val="center"/>
          </w:tcPr>
          <w:p>
            <w:pPr>
              <w:spacing w:line="320" w:lineRule="exact"/>
              <w:jc w:val="center"/>
              <w:rPr>
                <w:rFonts w:hint="default" w:ascii="Times New Roman" w:hAnsi="Times New Roman" w:eastAsia="楷体" w:cs="Times New Roman"/>
                <w:i w:val="0"/>
                <w:iCs w:val="0"/>
                <w:color w:val="auto"/>
                <w:szCs w:val="32"/>
                <w:highlight w:val="none"/>
              </w:rPr>
            </w:pPr>
            <w:r>
              <w:rPr>
                <w:rFonts w:hint="eastAsia" w:ascii="Times New Roman" w:hAnsi="Times New Roman" w:eastAsia="楷体" w:cs="Times New Roman"/>
                <w:i w:val="0"/>
                <w:iCs w:val="0"/>
                <w:color w:val="auto"/>
                <w:szCs w:val="32"/>
                <w:highlight w:val="none"/>
                <w:lang w:val="en-US" w:eastAsia="zh-CN"/>
              </w:rPr>
              <w:t>6</w:t>
            </w:r>
            <w:r>
              <w:rPr>
                <w:rFonts w:hint="default" w:ascii="Times New Roman" w:hAnsi="Times New Roman" w:eastAsia="楷体" w:cs="Times New Roman"/>
                <w:i w:val="0"/>
                <w:iCs w:val="0"/>
                <w:color w:val="auto"/>
                <w:szCs w:val="32"/>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882" w:type="dxa"/>
            <w:gridSpan w:val="3"/>
            <w:vAlign w:val="center"/>
          </w:tcPr>
          <w:p>
            <w:pPr>
              <w:spacing w:line="320" w:lineRule="exact"/>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二、</w:t>
            </w:r>
            <w:r>
              <w:rPr>
                <w:rFonts w:hint="eastAsia" w:ascii="Times New Roman" w:hAnsi="Times New Roman" w:eastAsia="楷体" w:cs="Times New Roman"/>
                <w:i w:val="0"/>
                <w:iCs w:val="0"/>
                <w:color w:val="auto"/>
                <w:szCs w:val="32"/>
                <w:highlight w:val="none"/>
                <w:lang w:eastAsia="zh-CN"/>
              </w:rPr>
              <w:t>技术和</w:t>
            </w:r>
            <w:r>
              <w:rPr>
                <w:rFonts w:hint="default" w:ascii="Times New Roman" w:hAnsi="Times New Roman" w:eastAsia="楷体" w:cs="Times New Roman"/>
                <w:i w:val="0"/>
                <w:iCs w:val="0"/>
                <w:color w:val="auto"/>
                <w:szCs w:val="32"/>
                <w:highlight w:val="none"/>
              </w:rPr>
              <w:t>服务评审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1340" w:type="dxa"/>
            <w:vMerge w:val="restart"/>
            <w:shd w:val="clear" w:color="auto" w:fill="auto"/>
            <w:vAlign w:val="center"/>
          </w:tcPr>
          <w:p>
            <w:pPr>
              <w:snapToGrid w:val="0"/>
              <w:spacing w:line="320" w:lineRule="exact"/>
              <w:jc w:val="center"/>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业绩和货物质量得分</w:t>
            </w:r>
          </w:p>
          <w:p>
            <w:pPr>
              <w:snapToGrid w:val="0"/>
              <w:spacing w:line="320" w:lineRule="exact"/>
              <w:jc w:val="center"/>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（2</w:t>
            </w:r>
            <w:r>
              <w:rPr>
                <w:rFonts w:hint="eastAsia" w:ascii="Times New Roman" w:hAnsi="Times New Roman" w:eastAsia="楷体" w:cs="Times New Roman"/>
                <w:i w:val="0"/>
                <w:iCs w:val="0"/>
                <w:color w:val="auto"/>
                <w:szCs w:val="32"/>
                <w:highlight w:val="none"/>
                <w:lang w:val="en-US" w:eastAsia="zh-CN"/>
              </w:rPr>
              <w:t>2</w:t>
            </w:r>
            <w:r>
              <w:rPr>
                <w:rFonts w:hint="default" w:ascii="Times New Roman" w:hAnsi="Times New Roman" w:eastAsia="楷体" w:cs="Times New Roman"/>
                <w:i w:val="0"/>
                <w:iCs w:val="0"/>
                <w:color w:val="auto"/>
                <w:szCs w:val="32"/>
                <w:highlight w:val="none"/>
              </w:rPr>
              <w:t>）</w:t>
            </w:r>
          </w:p>
        </w:tc>
        <w:tc>
          <w:tcPr>
            <w:tcW w:w="6589" w:type="dxa"/>
            <w:vAlign w:val="center"/>
          </w:tcPr>
          <w:p>
            <w:pPr>
              <w:spacing w:line="320" w:lineRule="exact"/>
              <w:rPr>
                <w:rFonts w:hint="default" w:ascii="Times New Roman" w:hAnsi="Times New Roman" w:eastAsia="楷体" w:cs="Times New Roman"/>
                <w:i w:val="0"/>
                <w:iCs w:val="0"/>
                <w:color w:val="auto"/>
                <w:szCs w:val="32"/>
                <w:highlight w:val="none"/>
                <w:lang w:val="en-US" w:eastAsia="zh-CN"/>
              </w:rPr>
            </w:pPr>
            <w:r>
              <w:rPr>
                <w:rFonts w:hint="default" w:ascii="Times New Roman" w:hAnsi="Times New Roman" w:eastAsia="楷体" w:cs="Times New Roman"/>
                <w:i w:val="0"/>
                <w:iCs w:val="0"/>
                <w:color w:val="auto"/>
                <w:szCs w:val="32"/>
                <w:highlight w:val="none"/>
                <w:lang w:val="en-US" w:eastAsia="zh-CN"/>
              </w:rPr>
              <w:t>截止投标前</w:t>
            </w:r>
            <w:r>
              <w:rPr>
                <w:rFonts w:hint="eastAsia" w:ascii="Times New Roman" w:hAnsi="Times New Roman" w:eastAsia="楷体" w:cs="Times New Roman"/>
                <w:i w:val="0"/>
                <w:iCs w:val="0"/>
                <w:color w:val="auto"/>
                <w:szCs w:val="32"/>
                <w:highlight w:val="none"/>
                <w:lang w:val="en-US" w:eastAsia="zh-CN"/>
              </w:rPr>
              <w:t>,</w:t>
            </w:r>
            <w:r>
              <w:rPr>
                <w:rFonts w:hint="default" w:ascii="Times New Roman" w:hAnsi="Times New Roman" w:eastAsia="楷体" w:cs="Times New Roman"/>
                <w:i w:val="0"/>
                <w:iCs w:val="0"/>
                <w:color w:val="auto"/>
                <w:szCs w:val="32"/>
                <w:highlight w:val="none"/>
                <w:lang w:val="en-US" w:eastAsia="zh-CN"/>
              </w:rPr>
              <w:t>企业</w:t>
            </w:r>
            <w:r>
              <w:rPr>
                <w:rFonts w:hint="eastAsia" w:ascii="Times New Roman" w:hAnsi="Times New Roman" w:eastAsia="楷体" w:cs="Times New Roman"/>
                <w:i w:val="0"/>
                <w:iCs w:val="0"/>
                <w:color w:val="auto"/>
                <w:szCs w:val="32"/>
                <w:highlight w:val="none"/>
                <w:lang w:val="en-US" w:eastAsia="zh-CN"/>
              </w:rPr>
              <w:t>近一年内（2025年3月至今）</w:t>
            </w:r>
            <w:r>
              <w:rPr>
                <w:rFonts w:hint="default" w:ascii="Times New Roman" w:hAnsi="Times New Roman" w:eastAsia="楷体" w:cs="Times New Roman"/>
                <w:i w:val="0"/>
                <w:iCs w:val="0"/>
                <w:color w:val="auto"/>
                <w:szCs w:val="32"/>
                <w:highlight w:val="none"/>
                <w:lang w:val="en-US" w:eastAsia="zh-CN"/>
              </w:rPr>
              <w:t>购买了食品安全责任险2000万（含）以上的得</w:t>
            </w:r>
            <w:r>
              <w:rPr>
                <w:rFonts w:hint="eastAsia" w:ascii="Times New Roman" w:hAnsi="Times New Roman" w:eastAsia="楷体" w:cs="Times New Roman"/>
                <w:i w:val="0"/>
                <w:iCs w:val="0"/>
                <w:color w:val="auto"/>
                <w:szCs w:val="32"/>
                <w:highlight w:val="none"/>
                <w:lang w:val="en-US" w:eastAsia="zh-CN"/>
              </w:rPr>
              <w:t>5</w:t>
            </w:r>
            <w:r>
              <w:rPr>
                <w:rFonts w:hint="default" w:ascii="Times New Roman" w:hAnsi="Times New Roman" w:eastAsia="楷体" w:cs="Times New Roman"/>
                <w:i w:val="0"/>
                <w:iCs w:val="0"/>
                <w:color w:val="auto"/>
                <w:szCs w:val="32"/>
                <w:highlight w:val="none"/>
                <w:lang w:val="en-US" w:eastAsia="zh-CN"/>
              </w:rPr>
              <w:t>分；购买了食品安全责任险1000万（含）以上不到2000万的得</w:t>
            </w:r>
            <w:r>
              <w:rPr>
                <w:rFonts w:hint="eastAsia" w:ascii="Times New Roman" w:hAnsi="Times New Roman" w:eastAsia="楷体" w:cs="Times New Roman"/>
                <w:i w:val="0"/>
                <w:iCs w:val="0"/>
                <w:color w:val="auto"/>
                <w:szCs w:val="32"/>
                <w:highlight w:val="none"/>
                <w:lang w:val="en-US" w:eastAsia="zh-CN"/>
              </w:rPr>
              <w:t>3</w:t>
            </w:r>
            <w:r>
              <w:rPr>
                <w:rFonts w:hint="default" w:ascii="Times New Roman" w:hAnsi="Times New Roman" w:eastAsia="楷体" w:cs="Times New Roman"/>
                <w:i w:val="0"/>
                <w:iCs w:val="0"/>
                <w:color w:val="auto"/>
                <w:szCs w:val="32"/>
                <w:highlight w:val="none"/>
                <w:lang w:val="en-US" w:eastAsia="zh-CN"/>
              </w:rPr>
              <w:t>分；购买了食品安全责任险500万（含）以上不到1000万的得</w:t>
            </w:r>
            <w:r>
              <w:rPr>
                <w:rFonts w:hint="eastAsia" w:ascii="Times New Roman" w:hAnsi="Times New Roman" w:eastAsia="楷体" w:cs="Times New Roman"/>
                <w:i w:val="0"/>
                <w:iCs w:val="0"/>
                <w:color w:val="auto"/>
                <w:szCs w:val="32"/>
                <w:highlight w:val="none"/>
                <w:lang w:val="en-US" w:eastAsia="zh-CN"/>
              </w:rPr>
              <w:t>2</w:t>
            </w:r>
            <w:r>
              <w:rPr>
                <w:rFonts w:hint="default" w:ascii="Times New Roman" w:hAnsi="Times New Roman" w:eastAsia="楷体" w:cs="Times New Roman"/>
                <w:i w:val="0"/>
                <w:iCs w:val="0"/>
                <w:color w:val="auto"/>
                <w:szCs w:val="32"/>
                <w:highlight w:val="none"/>
                <w:lang w:val="en-US" w:eastAsia="zh-CN"/>
              </w:rPr>
              <w:t>分；未提供不得分。</w:t>
            </w:r>
          </w:p>
          <w:p>
            <w:pPr>
              <w:spacing w:line="320" w:lineRule="exact"/>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lang w:val="en-US" w:eastAsia="zh-CN"/>
              </w:rPr>
              <w:t>注明：需提供</w:t>
            </w:r>
            <w:r>
              <w:rPr>
                <w:rFonts w:hint="eastAsia" w:ascii="Times New Roman" w:hAnsi="Times New Roman" w:eastAsia="楷体" w:cs="Times New Roman"/>
                <w:i w:val="0"/>
                <w:iCs w:val="0"/>
                <w:color w:val="auto"/>
                <w:szCs w:val="32"/>
                <w:highlight w:val="none"/>
                <w:lang w:val="en-US" w:eastAsia="zh-CN"/>
              </w:rPr>
              <w:t>有效期内</w:t>
            </w:r>
            <w:r>
              <w:rPr>
                <w:rFonts w:hint="default" w:ascii="Times New Roman" w:hAnsi="Times New Roman" w:eastAsia="楷体" w:cs="Times New Roman"/>
                <w:i w:val="0"/>
                <w:iCs w:val="0"/>
                <w:color w:val="auto"/>
                <w:szCs w:val="32"/>
                <w:highlight w:val="none"/>
                <w:lang w:val="en-US" w:eastAsia="zh-CN"/>
              </w:rPr>
              <w:t>食品安全责任险保单复印件加盖公章。</w:t>
            </w:r>
          </w:p>
        </w:tc>
        <w:tc>
          <w:tcPr>
            <w:tcW w:w="953" w:type="dxa"/>
            <w:vAlign w:val="center"/>
          </w:tcPr>
          <w:p>
            <w:pPr>
              <w:snapToGrid w:val="0"/>
              <w:spacing w:line="320" w:lineRule="exact"/>
              <w:jc w:val="center"/>
              <w:rPr>
                <w:rFonts w:hint="eastAsia" w:ascii="Times New Roman" w:hAnsi="Times New Roman" w:eastAsia="楷体" w:cs="Times New Roman"/>
                <w:i w:val="0"/>
                <w:iCs w:val="0"/>
                <w:color w:val="auto"/>
                <w:szCs w:val="32"/>
                <w:highlight w:val="none"/>
                <w:lang w:eastAsia="zh-CN"/>
              </w:rPr>
            </w:pPr>
            <w:r>
              <w:rPr>
                <w:rFonts w:hint="eastAsia" w:ascii="Times New Roman" w:hAnsi="Times New Roman" w:eastAsia="楷体" w:cs="Times New Roman"/>
                <w:i w:val="0"/>
                <w:iCs w:val="0"/>
                <w:color w:val="auto"/>
                <w:szCs w:val="3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8" w:hRule="atLeast"/>
          <w:jc w:val="center"/>
        </w:trPr>
        <w:tc>
          <w:tcPr>
            <w:tcW w:w="1340" w:type="dxa"/>
            <w:vMerge w:val="continue"/>
            <w:shd w:val="clear" w:color="auto" w:fill="auto"/>
            <w:vAlign w:val="center"/>
          </w:tcPr>
          <w:p>
            <w:pPr>
              <w:snapToGrid w:val="0"/>
              <w:spacing w:line="320" w:lineRule="exact"/>
              <w:rPr>
                <w:rFonts w:hint="default" w:ascii="Times New Roman" w:hAnsi="Times New Roman" w:eastAsia="楷体" w:cs="Times New Roman"/>
                <w:i w:val="0"/>
                <w:iCs w:val="0"/>
                <w:color w:val="auto"/>
                <w:szCs w:val="32"/>
                <w:highlight w:val="none"/>
              </w:rPr>
            </w:pPr>
          </w:p>
        </w:tc>
        <w:tc>
          <w:tcPr>
            <w:tcW w:w="6589" w:type="dxa"/>
            <w:vAlign w:val="center"/>
          </w:tcPr>
          <w:p>
            <w:pPr>
              <w:spacing w:line="320" w:lineRule="exact"/>
              <w:jc w:val="both"/>
              <w:rPr>
                <w:rFonts w:hint="eastAsia" w:ascii="楷体" w:hAnsi="楷体" w:eastAsia="楷体" w:cs="仿宋_GB2312"/>
                <w:i w:val="0"/>
                <w:iCs/>
                <w:color w:val="auto"/>
                <w:sz w:val="24"/>
                <w:szCs w:val="32"/>
                <w:highlight w:val="none"/>
                <w:lang w:val="en-US" w:eastAsia="zh-CN" w:bidi="ar-SA"/>
              </w:rPr>
            </w:pPr>
            <w:r>
              <w:rPr>
                <w:rFonts w:hint="eastAsia" w:ascii="Times New Roman" w:hAnsi="Times New Roman" w:eastAsia="楷体" w:cs="Times New Roman"/>
                <w:i w:val="0"/>
                <w:iCs w:val="0"/>
                <w:color w:val="auto"/>
                <w:szCs w:val="32"/>
                <w:highlight w:val="none"/>
                <w:lang w:val="en-US" w:eastAsia="zh-CN"/>
              </w:rPr>
              <w:t>根据能够提供本项目的食材质量体系进行评分(包括不限于</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米面调料类食材、水产类食材有无固定合作商家，肉类食材</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是否为当日新鲜宰杀获取，鸡蛋是否为土鸡蛋，蔬菜类食材</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是否有自有菜园或固定合作供应商):</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1.优秀8</w:t>
            </w:r>
            <w:r>
              <w:rPr>
                <w:rFonts w:hint="eastAsia" w:ascii="楷体" w:hAnsi="楷体" w:eastAsia="楷体" w:cs="仿宋_GB2312"/>
                <w:i w:val="0"/>
                <w:iCs/>
                <w:color w:val="auto"/>
                <w:szCs w:val="32"/>
                <w:highlight w:val="none"/>
                <w:lang w:val="en-US" w:eastAsia="zh-CN"/>
              </w:rPr>
              <w:t>（不含）-12分（含）</w:t>
            </w:r>
            <w:r>
              <w:rPr>
                <w:rFonts w:hint="eastAsia" w:ascii="Times New Roman" w:hAnsi="Times New Roman" w:eastAsia="楷体" w:cs="Times New Roman"/>
                <w:i w:val="0"/>
                <w:iCs w:val="0"/>
                <w:color w:val="auto"/>
                <w:szCs w:val="32"/>
                <w:highlight w:val="none"/>
                <w:lang w:val="en-US" w:eastAsia="zh-CN"/>
              </w:rPr>
              <w:t>:所有食材品类均有固定的合作方</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或自有基地，源头可湖，品质优秀(如当日宰杀肉、土鸡蛋</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有机蔬菜等):</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2.良好</w:t>
            </w:r>
            <w:r>
              <w:rPr>
                <w:rFonts w:hint="eastAsia" w:ascii="楷体" w:hAnsi="楷体" w:eastAsia="楷体" w:cs="仿宋_GB2312"/>
                <w:i w:val="0"/>
                <w:iCs/>
                <w:color w:val="auto"/>
                <w:szCs w:val="32"/>
                <w:highlight w:val="none"/>
                <w:lang w:val="en-US" w:eastAsia="zh-CN"/>
              </w:rPr>
              <w:t>4（不含）-8分（含）</w:t>
            </w:r>
            <w:r>
              <w:rPr>
                <w:rFonts w:hint="eastAsia" w:ascii="Times New Roman" w:hAnsi="Times New Roman" w:eastAsia="楷体" w:cs="Times New Roman"/>
                <w:i w:val="0"/>
                <w:iCs w:val="0"/>
                <w:color w:val="auto"/>
                <w:szCs w:val="32"/>
                <w:highlight w:val="none"/>
                <w:lang w:val="en-US" w:eastAsia="zh-CN"/>
              </w:rPr>
              <w:t>:主要食材有稳定供应商，品质安</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全可靠，能满足常规要求(如品牌调料、冷鲜肉、普通鲜蛋),</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但未达优秀标准:</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3.一般 0-4分(含):采购渠道零散随机，无固定合作，品质不</w:t>
            </w:r>
            <w:r>
              <w:rPr>
                <w:rFonts w:hint="eastAsia" w:ascii="Times New Roman" w:hAnsi="Times New Roman" w:eastAsia="楷体" w:cs="Times New Roman"/>
                <w:i w:val="0"/>
                <w:iCs w:val="0"/>
                <w:color w:val="auto"/>
                <w:szCs w:val="32"/>
                <w:highlight w:val="none"/>
                <w:lang w:val="en-US" w:eastAsia="zh-CN"/>
              </w:rPr>
              <w:br w:type="textWrapping"/>
            </w:r>
            <w:r>
              <w:rPr>
                <w:rFonts w:hint="eastAsia" w:ascii="Times New Roman" w:hAnsi="Times New Roman" w:eastAsia="楷体" w:cs="Times New Roman"/>
                <w:i w:val="0"/>
                <w:iCs w:val="0"/>
                <w:color w:val="auto"/>
                <w:szCs w:val="32"/>
                <w:highlight w:val="none"/>
                <w:lang w:val="en-US" w:eastAsia="zh-CN"/>
              </w:rPr>
              <w:t>稳定，以价格为导向，存在一定安全和品质风险。</w:t>
            </w:r>
          </w:p>
        </w:tc>
        <w:tc>
          <w:tcPr>
            <w:tcW w:w="953" w:type="dxa"/>
            <w:vAlign w:val="center"/>
          </w:tcPr>
          <w:p>
            <w:pPr>
              <w:snapToGrid w:val="0"/>
              <w:spacing w:line="320" w:lineRule="exact"/>
              <w:jc w:val="center"/>
              <w:rPr>
                <w:rFonts w:hint="default" w:ascii="楷体" w:hAnsi="楷体" w:eastAsia="楷体" w:cs="仿宋_GB2312"/>
                <w:i w:val="0"/>
                <w:iCs/>
                <w:color w:val="auto"/>
                <w:sz w:val="24"/>
                <w:szCs w:val="32"/>
                <w:highlight w:val="none"/>
                <w:lang w:val="en-US" w:eastAsia="zh-CN" w:bidi="ar-SA"/>
              </w:rPr>
            </w:pPr>
            <w:r>
              <w:rPr>
                <w:rFonts w:hint="eastAsia" w:ascii="楷体" w:hAnsi="楷体" w:eastAsia="楷体" w:cs="仿宋_GB2312"/>
                <w:i w:val="0"/>
                <w:iCs/>
                <w:color w:val="auto"/>
                <w:sz w:val="24"/>
                <w:szCs w:val="32"/>
                <w:highlight w:val="none"/>
                <w:lang w:val="en-US" w:eastAsia="zh-CN" w:bidi="ar-S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340" w:type="dxa"/>
            <w:vMerge w:val="continue"/>
            <w:shd w:val="clear" w:color="auto" w:fill="auto"/>
            <w:vAlign w:val="center"/>
          </w:tcPr>
          <w:p>
            <w:pPr>
              <w:snapToGrid w:val="0"/>
              <w:spacing w:line="320" w:lineRule="exact"/>
              <w:rPr>
                <w:rFonts w:hint="default" w:ascii="Times New Roman" w:hAnsi="Times New Roman" w:eastAsia="楷体" w:cs="Times New Roman"/>
                <w:i w:val="0"/>
                <w:iCs w:val="0"/>
                <w:color w:val="auto"/>
                <w:szCs w:val="32"/>
                <w:highlight w:val="none"/>
              </w:rPr>
            </w:pPr>
          </w:p>
        </w:tc>
        <w:tc>
          <w:tcPr>
            <w:tcW w:w="6589" w:type="dxa"/>
            <w:vAlign w:val="center"/>
          </w:tcPr>
          <w:p>
            <w:pPr>
              <w:spacing w:line="320" w:lineRule="exact"/>
              <w:jc w:val="both"/>
              <w:rPr>
                <w:rFonts w:hint="eastAsia"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投标人自2023年月1日至比选截止日的类似食堂配送或超市配送项目业绩证明材料，在满足资格条件要求的1个案例基础上，每增加1个，得1分；最多得5分。</w:t>
            </w:r>
          </w:p>
          <w:p>
            <w:pPr>
              <w:spacing w:line="320" w:lineRule="exact"/>
              <w:rPr>
                <w:rFonts w:hint="default" w:ascii="Times New Roman" w:hAnsi="Times New Roman" w:eastAsia="楷体" w:cs="Times New Roman"/>
                <w:i w:val="0"/>
                <w:iCs w:val="0"/>
                <w:color w:val="auto"/>
                <w:szCs w:val="32"/>
                <w:highlight w:val="none"/>
              </w:rPr>
            </w:pPr>
            <w:r>
              <w:rPr>
                <w:rFonts w:hint="eastAsia" w:ascii="楷体" w:hAnsi="楷体" w:eastAsia="楷体" w:cs="仿宋_GB2312"/>
                <w:i w:val="0"/>
                <w:iCs/>
                <w:color w:val="auto"/>
                <w:kern w:val="2"/>
                <w:sz w:val="21"/>
                <w:szCs w:val="32"/>
                <w:highlight w:val="none"/>
                <w:lang w:val="en-US" w:eastAsia="zh-CN" w:bidi="ar-SA"/>
              </w:rPr>
              <w:t>注明:提供中标/成交通知书或合同复印件并加盖申请人公章。</w:t>
            </w:r>
          </w:p>
        </w:tc>
        <w:tc>
          <w:tcPr>
            <w:tcW w:w="953" w:type="dxa"/>
            <w:vAlign w:val="center"/>
          </w:tcPr>
          <w:p>
            <w:pPr>
              <w:snapToGrid w:val="0"/>
              <w:spacing w:line="320" w:lineRule="exact"/>
              <w:jc w:val="center"/>
              <w:rPr>
                <w:rFonts w:hint="default" w:ascii="Times New Roman" w:hAnsi="Times New Roman" w:eastAsia="楷体" w:cs="Times New Roman"/>
                <w:i w:val="0"/>
                <w:iCs w:val="0"/>
                <w:color w:val="auto"/>
                <w:szCs w:val="32"/>
                <w:highlight w:val="none"/>
                <w:lang w:val="en-US" w:eastAsia="zh-CN"/>
              </w:rPr>
            </w:pPr>
            <w:r>
              <w:rPr>
                <w:rFonts w:hint="eastAsia" w:ascii="Times New Roman" w:hAnsi="Times New Roman" w:eastAsia="楷体" w:cs="Times New Roman"/>
                <w:i w:val="0"/>
                <w:iCs w:val="0"/>
                <w:color w:val="auto"/>
                <w:szCs w:val="32"/>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1340" w:type="dxa"/>
            <w:shd w:val="clear" w:color="auto" w:fill="auto"/>
            <w:vAlign w:val="center"/>
          </w:tcPr>
          <w:p>
            <w:pPr>
              <w:spacing w:line="320" w:lineRule="exact"/>
              <w:jc w:val="center"/>
              <w:rPr>
                <w:rFonts w:hint="default"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服务及售后质量方案</w:t>
            </w:r>
          </w:p>
          <w:p>
            <w:pPr>
              <w:spacing w:line="320" w:lineRule="exact"/>
              <w:jc w:val="center"/>
              <w:rPr>
                <w:rFonts w:hint="eastAsia"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得分</w:t>
            </w:r>
          </w:p>
          <w:p>
            <w:pPr>
              <w:spacing w:line="320" w:lineRule="exact"/>
              <w:jc w:val="center"/>
              <w:rPr>
                <w:rFonts w:hint="default" w:ascii="楷体" w:hAnsi="楷体" w:eastAsia="楷体" w:cs="仿宋_GB2312"/>
                <w:i w:val="0"/>
                <w:iCs/>
                <w:color w:val="auto"/>
                <w:sz w:val="24"/>
                <w:szCs w:val="32"/>
                <w:highlight w:val="none"/>
                <w:lang w:val="en-US" w:eastAsia="zh-CN" w:bidi="ar-SA"/>
              </w:rPr>
            </w:pPr>
            <w:r>
              <w:rPr>
                <w:rFonts w:hint="eastAsia" w:ascii="楷体" w:hAnsi="楷体" w:eastAsia="楷体" w:cs="仿宋_GB2312"/>
                <w:i w:val="0"/>
                <w:iCs/>
                <w:color w:val="auto"/>
                <w:szCs w:val="32"/>
                <w:highlight w:val="none"/>
                <w:lang w:val="en-US" w:eastAsia="zh-CN"/>
              </w:rPr>
              <w:t>(10)</w:t>
            </w:r>
          </w:p>
        </w:tc>
        <w:tc>
          <w:tcPr>
            <w:tcW w:w="6589" w:type="dxa"/>
            <w:vAlign w:val="center"/>
          </w:tcPr>
          <w:p>
            <w:pPr>
              <w:spacing w:line="320" w:lineRule="exact"/>
              <w:rPr>
                <w:rFonts w:hint="eastAsia" w:ascii="楷体" w:hAnsi="楷体" w:eastAsia="楷体" w:cs="仿宋_GB2312"/>
                <w:i w:val="0"/>
                <w:iCs/>
                <w:color w:val="auto"/>
                <w:szCs w:val="32"/>
                <w:highlight w:val="none"/>
                <w:lang w:eastAsia="zh-CN"/>
              </w:rPr>
            </w:pPr>
            <w:r>
              <w:rPr>
                <w:rFonts w:hint="eastAsia" w:ascii="楷体" w:hAnsi="楷体" w:eastAsia="楷体" w:cs="仿宋_GB2312"/>
                <w:i w:val="0"/>
                <w:iCs/>
                <w:color w:val="auto"/>
                <w:szCs w:val="32"/>
                <w:highlight w:val="none"/>
                <w:lang w:eastAsia="zh-CN"/>
              </w:rPr>
              <w:t>根据本项目实施的服务质量方案、</w:t>
            </w:r>
            <w:r>
              <w:rPr>
                <w:rFonts w:hint="eastAsia" w:ascii="楷体" w:hAnsi="楷体" w:eastAsia="楷体" w:cs="仿宋_GB2312"/>
                <w:i w:val="0"/>
                <w:iCs/>
                <w:color w:val="auto"/>
                <w:szCs w:val="32"/>
                <w:highlight w:val="none"/>
                <w:lang w:val="en-US" w:eastAsia="zh-CN"/>
              </w:rPr>
              <w:t>供应商经营规模</w:t>
            </w:r>
            <w:r>
              <w:rPr>
                <w:rFonts w:hint="eastAsia" w:ascii="楷体" w:hAnsi="楷体" w:eastAsia="楷体" w:cs="仿宋_GB2312"/>
                <w:i w:val="0"/>
                <w:iCs/>
                <w:color w:val="auto"/>
                <w:szCs w:val="32"/>
                <w:highlight w:val="none"/>
                <w:lang w:eastAsia="zh-CN"/>
              </w:rPr>
              <w:t>、售后服务</w:t>
            </w:r>
            <w:r>
              <w:rPr>
                <w:rFonts w:hint="eastAsia" w:ascii="楷体" w:hAnsi="楷体" w:eastAsia="楷体" w:cs="仿宋_GB2312"/>
                <w:i w:val="0"/>
                <w:iCs/>
                <w:color w:val="auto"/>
                <w:szCs w:val="32"/>
                <w:highlight w:val="none"/>
                <w:lang w:val="en-US" w:eastAsia="zh-CN"/>
              </w:rPr>
              <w:t>质量</w:t>
            </w:r>
            <w:r>
              <w:rPr>
                <w:rFonts w:hint="eastAsia" w:ascii="楷体" w:hAnsi="楷体" w:eastAsia="楷体" w:cs="仿宋_GB2312"/>
                <w:i w:val="0"/>
                <w:iCs/>
                <w:color w:val="auto"/>
                <w:szCs w:val="32"/>
                <w:highlight w:val="none"/>
                <w:lang w:eastAsia="zh-CN"/>
              </w:rPr>
              <w:t>进行评分：</w:t>
            </w:r>
          </w:p>
          <w:p>
            <w:pPr>
              <w:numPr>
                <w:ilvl w:val="0"/>
                <w:numId w:val="0"/>
              </w:numPr>
              <w:spacing w:line="320" w:lineRule="exact"/>
              <w:rPr>
                <w:rFonts w:hint="eastAsia"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1.优秀7（不含）-10分（含）：</w:t>
            </w:r>
            <w:r>
              <w:rPr>
                <w:rFonts w:hint="eastAsia" w:ascii="楷体" w:hAnsi="楷体" w:eastAsia="楷体" w:cs="仿宋_GB2312"/>
                <w:i w:val="0"/>
                <w:iCs/>
                <w:color w:val="auto"/>
                <w:szCs w:val="32"/>
                <w:highlight w:val="none"/>
                <w:lang w:eastAsia="zh-CN"/>
              </w:rPr>
              <w:t>方案很全面、有效</w:t>
            </w:r>
            <w:r>
              <w:rPr>
                <w:rFonts w:hint="eastAsia" w:ascii="楷体" w:hAnsi="楷体" w:eastAsia="楷体" w:cs="仿宋_GB2312"/>
                <w:i w:val="0"/>
                <w:iCs/>
                <w:color w:val="auto"/>
                <w:szCs w:val="32"/>
                <w:highlight w:val="none"/>
                <w:lang w:val="en-US" w:eastAsia="zh-CN"/>
              </w:rPr>
              <w:t>，经营规模大，售后服务很好，服务质量好(配送流程规范、配送时效性强)；</w:t>
            </w:r>
          </w:p>
          <w:p>
            <w:pPr>
              <w:numPr>
                <w:ilvl w:val="0"/>
                <w:numId w:val="0"/>
              </w:numPr>
              <w:spacing w:line="320" w:lineRule="exact"/>
              <w:rPr>
                <w:rFonts w:hint="eastAsia"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2.良好4（不含）-7分（含）：</w:t>
            </w:r>
            <w:r>
              <w:rPr>
                <w:rFonts w:hint="eastAsia" w:ascii="楷体" w:hAnsi="楷体" w:eastAsia="楷体" w:cs="仿宋_GB2312"/>
                <w:i w:val="0"/>
                <w:iCs/>
                <w:color w:val="auto"/>
                <w:szCs w:val="32"/>
                <w:highlight w:val="none"/>
                <w:lang w:eastAsia="zh-CN"/>
              </w:rPr>
              <w:t>方案比较全面、有效</w:t>
            </w:r>
            <w:r>
              <w:rPr>
                <w:rFonts w:hint="eastAsia" w:ascii="楷体" w:hAnsi="楷体" w:eastAsia="楷体" w:cs="仿宋_GB2312"/>
                <w:i w:val="0"/>
                <w:iCs/>
                <w:color w:val="auto"/>
                <w:szCs w:val="32"/>
                <w:highlight w:val="none"/>
                <w:lang w:val="en-US" w:eastAsia="zh-CN"/>
              </w:rPr>
              <w:t>，经营规模较大，售后服务较好，服务质量比较好(配送流程规范、配送时效性较强)；</w:t>
            </w:r>
          </w:p>
          <w:p>
            <w:pPr>
              <w:spacing w:line="320" w:lineRule="exact"/>
              <w:jc w:val="both"/>
              <w:rPr>
                <w:rFonts w:hint="default" w:ascii="楷体" w:hAnsi="楷体" w:eastAsia="楷体" w:cs="仿宋_GB2312"/>
                <w:i w:val="0"/>
                <w:iCs/>
                <w:color w:val="auto"/>
                <w:sz w:val="24"/>
                <w:szCs w:val="32"/>
                <w:highlight w:val="none"/>
                <w:lang w:val="en-US" w:eastAsia="zh-CN" w:bidi="ar-SA"/>
              </w:rPr>
            </w:pPr>
            <w:r>
              <w:rPr>
                <w:rFonts w:hint="eastAsia" w:ascii="楷体" w:hAnsi="楷体" w:eastAsia="楷体" w:cs="仿宋_GB2312"/>
                <w:i w:val="0"/>
                <w:iCs/>
                <w:color w:val="auto"/>
                <w:szCs w:val="32"/>
                <w:highlight w:val="none"/>
                <w:lang w:val="en-US" w:eastAsia="zh-CN"/>
              </w:rPr>
              <w:t>3.一般0-4分（含）</w:t>
            </w:r>
            <w:r>
              <w:rPr>
                <w:rFonts w:hint="eastAsia"/>
                <w:color w:val="auto"/>
                <w:highlight w:val="none"/>
                <w:lang w:val="en-US" w:eastAsia="zh-CN"/>
              </w:rPr>
              <w:t>：</w:t>
            </w:r>
            <w:r>
              <w:rPr>
                <w:rFonts w:hint="eastAsia" w:ascii="楷体" w:hAnsi="楷体" w:eastAsia="楷体" w:cs="仿宋_GB2312"/>
                <w:i w:val="0"/>
                <w:iCs/>
                <w:color w:val="auto"/>
                <w:szCs w:val="32"/>
                <w:highlight w:val="none"/>
                <w:lang w:eastAsia="zh-CN"/>
              </w:rPr>
              <w:t>方案全面性、有效性一般</w:t>
            </w:r>
            <w:r>
              <w:rPr>
                <w:rFonts w:hint="eastAsia" w:ascii="楷体" w:hAnsi="楷体" w:eastAsia="楷体" w:cs="仿宋_GB2312"/>
                <w:i w:val="0"/>
                <w:iCs/>
                <w:color w:val="auto"/>
                <w:szCs w:val="32"/>
                <w:highlight w:val="none"/>
                <w:lang w:val="en-US" w:eastAsia="zh-CN"/>
              </w:rPr>
              <w:t>，经营规模较较小，售后服务一般，服务质量一般(配送流程规范、配送时效性较慢)。</w:t>
            </w:r>
          </w:p>
        </w:tc>
        <w:tc>
          <w:tcPr>
            <w:tcW w:w="953" w:type="dxa"/>
            <w:vAlign w:val="center"/>
          </w:tcPr>
          <w:p>
            <w:pPr>
              <w:snapToGrid w:val="0"/>
              <w:spacing w:line="320" w:lineRule="exact"/>
              <w:jc w:val="center"/>
              <w:rPr>
                <w:rFonts w:hint="default" w:ascii="楷体" w:hAnsi="楷体" w:eastAsia="楷体" w:cs="仿宋_GB2312"/>
                <w:i w:val="0"/>
                <w:iCs/>
                <w:color w:val="auto"/>
                <w:sz w:val="24"/>
                <w:szCs w:val="32"/>
                <w:highlight w:val="none"/>
                <w:lang w:val="en-US" w:eastAsia="zh-CN" w:bidi="ar-SA"/>
              </w:rPr>
            </w:pPr>
            <w:r>
              <w:rPr>
                <w:rFonts w:hint="eastAsia" w:ascii="楷体" w:hAnsi="楷体" w:eastAsia="楷体" w:cs="仿宋_GB2312"/>
                <w:i w:val="0"/>
                <w:iCs/>
                <w:color w:val="auto"/>
                <w:szCs w:val="32"/>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1340" w:type="dxa"/>
            <w:shd w:val="clear" w:color="auto" w:fill="auto"/>
            <w:vAlign w:val="center"/>
          </w:tcPr>
          <w:p>
            <w:pPr>
              <w:spacing w:line="320" w:lineRule="exact"/>
              <w:jc w:val="center"/>
              <w:rPr>
                <w:rFonts w:hint="eastAsia"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服务体系</w:t>
            </w:r>
          </w:p>
          <w:p>
            <w:pPr>
              <w:spacing w:line="320" w:lineRule="exact"/>
              <w:jc w:val="center"/>
              <w:rPr>
                <w:rFonts w:hint="eastAsia"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评分</w:t>
            </w:r>
          </w:p>
          <w:p>
            <w:pPr>
              <w:spacing w:line="320" w:lineRule="exact"/>
              <w:jc w:val="center"/>
              <w:rPr>
                <w:rFonts w:hint="default" w:ascii="Times New Roman" w:hAnsi="Times New Roman" w:eastAsia="楷体" w:cs="Times New Roman"/>
                <w:i w:val="0"/>
                <w:iCs w:val="0"/>
                <w:color w:val="auto"/>
                <w:szCs w:val="32"/>
                <w:highlight w:val="none"/>
              </w:rPr>
            </w:pPr>
            <w:r>
              <w:rPr>
                <w:rFonts w:hint="eastAsia" w:ascii="楷体" w:hAnsi="楷体" w:eastAsia="楷体" w:cs="仿宋_GB2312"/>
                <w:i w:val="0"/>
                <w:iCs/>
                <w:color w:val="auto"/>
                <w:szCs w:val="32"/>
                <w:highlight w:val="none"/>
                <w:lang w:val="en-US" w:eastAsia="zh-CN"/>
              </w:rPr>
              <w:t>(8)</w:t>
            </w:r>
          </w:p>
        </w:tc>
        <w:tc>
          <w:tcPr>
            <w:tcW w:w="6589" w:type="dxa"/>
            <w:vAlign w:val="center"/>
          </w:tcPr>
          <w:p>
            <w:pPr>
              <w:spacing w:line="320" w:lineRule="exact"/>
              <w:rPr>
                <w:rFonts w:hint="eastAsia" w:ascii="楷体" w:hAnsi="楷体" w:eastAsia="楷体" w:cs="仿宋_GB2312"/>
                <w:i w:val="0"/>
                <w:iCs/>
                <w:color w:val="auto"/>
                <w:szCs w:val="32"/>
                <w:highlight w:val="none"/>
                <w:lang w:eastAsia="zh-CN"/>
              </w:rPr>
            </w:pPr>
            <w:r>
              <w:rPr>
                <w:rFonts w:hint="eastAsia" w:ascii="楷体" w:hAnsi="楷体" w:eastAsia="楷体" w:cs="仿宋_GB2312"/>
                <w:i w:val="0"/>
                <w:iCs/>
                <w:color w:val="auto"/>
                <w:szCs w:val="32"/>
                <w:highlight w:val="none"/>
                <w:lang w:eastAsia="zh-CN"/>
              </w:rPr>
              <w:t>根据供应商的人员服务体系进行评分：</w:t>
            </w:r>
          </w:p>
          <w:p>
            <w:pPr>
              <w:spacing w:line="320" w:lineRule="exact"/>
              <w:jc w:val="both"/>
              <w:rPr>
                <w:rFonts w:hint="eastAsia"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1.优秀4（不含）-8分（含）：供应商具有完善的人员服务体系，能快速响应采购方需求并能非常好地达成服务要求；</w:t>
            </w:r>
          </w:p>
          <w:p>
            <w:pPr>
              <w:spacing w:line="320" w:lineRule="exact"/>
              <w:jc w:val="both"/>
              <w:rPr>
                <w:rFonts w:hint="eastAsia" w:ascii="楷体" w:hAnsi="楷体" w:eastAsia="楷体" w:cs="仿宋_GB2312"/>
                <w:i w:val="0"/>
                <w:iCs/>
                <w:color w:val="auto"/>
                <w:szCs w:val="32"/>
                <w:highlight w:val="none"/>
                <w:lang w:val="en-US" w:eastAsia="zh-CN"/>
              </w:rPr>
            </w:pPr>
            <w:r>
              <w:rPr>
                <w:rFonts w:hint="eastAsia" w:ascii="楷体" w:hAnsi="楷体" w:eastAsia="楷体" w:cs="仿宋_GB2312"/>
                <w:i w:val="0"/>
                <w:iCs/>
                <w:color w:val="auto"/>
                <w:szCs w:val="32"/>
                <w:highlight w:val="none"/>
                <w:lang w:val="en-US" w:eastAsia="zh-CN"/>
              </w:rPr>
              <w:t>2.良好0（不含）-4分（含）：供应商人员服务体系较完善，能响应采购方需求且可以达成服务要求；</w:t>
            </w:r>
          </w:p>
          <w:p>
            <w:pPr>
              <w:spacing w:line="320" w:lineRule="exact"/>
              <w:jc w:val="both"/>
              <w:rPr>
                <w:rFonts w:hint="eastAsia" w:ascii="Times New Roman" w:hAnsi="Times New Roman" w:eastAsia="楷体" w:cs="Times New Roman"/>
                <w:i w:val="0"/>
                <w:iCs w:val="0"/>
                <w:color w:val="auto"/>
                <w:szCs w:val="32"/>
                <w:highlight w:val="none"/>
                <w:lang w:eastAsia="zh-CN"/>
              </w:rPr>
            </w:pPr>
          </w:p>
        </w:tc>
        <w:tc>
          <w:tcPr>
            <w:tcW w:w="953" w:type="dxa"/>
            <w:vAlign w:val="center"/>
          </w:tcPr>
          <w:p>
            <w:pPr>
              <w:snapToGrid w:val="0"/>
              <w:spacing w:line="320" w:lineRule="exact"/>
              <w:jc w:val="center"/>
              <w:rPr>
                <w:rFonts w:hint="eastAsia" w:ascii="Times New Roman" w:hAnsi="Times New Roman" w:eastAsia="楷体" w:cs="Times New Roman"/>
                <w:i w:val="0"/>
                <w:iCs w:val="0"/>
                <w:color w:val="auto"/>
                <w:szCs w:val="32"/>
                <w:highlight w:val="none"/>
                <w:lang w:val="en-US" w:eastAsia="zh-CN"/>
              </w:rPr>
            </w:pPr>
            <w:r>
              <w:rPr>
                <w:rFonts w:hint="eastAsia" w:ascii="Times New Roman" w:hAnsi="Times New Roman" w:eastAsia="楷体" w:cs="Times New Roman"/>
                <w:i w:val="0"/>
                <w:iCs w:val="0"/>
                <w:color w:val="auto"/>
                <w:szCs w:val="32"/>
                <w:highlight w:val="none"/>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929" w:type="dxa"/>
            <w:gridSpan w:val="2"/>
            <w:vAlign w:val="center"/>
          </w:tcPr>
          <w:p>
            <w:pPr>
              <w:spacing w:line="320" w:lineRule="exact"/>
              <w:jc w:val="center"/>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合计</w:t>
            </w:r>
          </w:p>
        </w:tc>
        <w:tc>
          <w:tcPr>
            <w:tcW w:w="953" w:type="dxa"/>
            <w:vAlign w:val="center"/>
          </w:tcPr>
          <w:p>
            <w:pPr>
              <w:snapToGrid w:val="0"/>
              <w:spacing w:line="320" w:lineRule="exact"/>
              <w:jc w:val="center"/>
              <w:rPr>
                <w:rFonts w:hint="default" w:ascii="Times New Roman" w:hAnsi="Times New Roman" w:eastAsia="楷体" w:cs="Times New Roman"/>
                <w:i w:val="0"/>
                <w:iCs w:val="0"/>
                <w:color w:val="auto"/>
                <w:szCs w:val="32"/>
                <w:highlight w:val="none"/>
              </w:rPr>
            </w:pPr>
            <w:r>
              <w:rPr>
                <w:rFonts w:hint="default" w:ascii="Times New Roman" w:hAnsi="Times New Roman" w:eastAsia="楷体" w:cs="Times New Roman"/>
                <w:i w:val="0"/>
                <w:iCs w:val="0"/>
                <w:color w:val="auto"/>
                <w:szCs w:val="32"/>
                <w:highlight w:val="none"/>
              </w:rPr>
              <w:t>100</w:t>
            </w:r>
          </w:p>
        </w:tc>
      </w:tr>
    </w:tbl>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rPr>
          <w:color w:val="auto"/>
          <w:highlight w:val="none"/>
        </w:rPr>
      </w:pPr>
    </w:p>
    <w:p>
      <w:pPr>
        <w:pStyle w:val="2"/>
        <w:rPr>
          <w:color w:val="auto"/>
          <w:highlight w:val="none"/>
        </w:rPr>
      </w:pPr>
    </w:p>
    <w:p>
      <w:pPr>
        <w:pStyle w:val="3"/>
        <w:numPr>
          <w:ilvl w:val="0"/>
          <w:numId w:val="4"/>
        </w:numPr>
        <w:spacing w:before="0" w:after="0"/>
        <w:jc w:val="left"/>
        <w:rPr>
          <w:rFonts w:hint="eastAsia" w:ascii="仿宋" w:hAnsi="仿宋" w:eastAsia="仿宋" w:cs="仿宋"/>
          <w:color w:val="auto"/>
          <w:sz w:val="28"/>
          <w:szCs w:val="28"/>
          <w:highlight w:val="none"/>
          <w:lang w:eastAsia="zh-CN"/>
        </w:rPr>
      </w:pPr>
      <w:bookmarkStart w:id="122" w:name="_Toc547"/>
      <w:r>
        <w:rPr>
          <w:rFonts w:hint="eastAsia" w:ascii="仿宋" w:hAnsi="仿宋" w:eastAsia="仿宋" w:cs="仿宋"/>
          <w:color w:val="auto"/>
          <w:sz w:val="28"/>
          <w:szCs w:val="28"/>
          <w:highlight w:val="none"/>
          <w:lang w:eastAsia="zh-CN"/>
        </w:rPr>
        <w:t>合同条款</w:t>
      </w:r>
      <w:bookmarkEnd w:id="122"/>
    </w:p>
    <w:p>
      <w:pPr>
        <w:keepNext w:val="0"/>
        <w:keepLines w:val="0"/>
        <w:widowControl/>
        <w:suppressLineNumbers w:val="0"/>
        <w:spacing w:after="240" w:afterAutospacing="0"/>
        <w:jc w:val="left"/>
        <w:rPr>
          <w:color w:val="auto"/>
          <w:highlight w:val="none"/>
        </w:rPr>
      </w:pPr>
    </w:p>
    <w:p>
      <w:pPr>
        <w:spacing w:line="600" w:lineRule="atLeast"/>
        <w:rPr>
          <w:rFonts w:ascii="宋体" w:hAnsi="宋体" w:eastAsia="宋体" w:cs="宋体"/>
          <w:color w:val="auto"/>
          <w:sz w:val="28"/>
          <w:szCs w:val="28"/>
          <w:highlight w:val="none"/>
        </w:rPr>
      </w:pPr>
      <w:r>
        <w:rPr>
          <w:rFonts w:ascii="宋体" w:hAnsi="宋体" w:eastAsia="宋体" w:cs="宋体"/>
          <w:color w:val="auto"/>
          <w:sz w:val="28"/>
          <w:szCs w:val="28"/>
          <w:highlight w:val="none"/>
          <w:lang w:eastAsia="zh-CN"/>
        </w:rPr>
        <w:t>甲方：中国人民财产保险股份有限公司泸州市分公司</w:t>
      </w:r>
    </w:p>
    <w:p>
      <w:pPr>
        <w:spacing w:line="600" w:lineRule="atLeast"/>
        <w:rPr>
          <w:rFonts w:ascii="宋体" w:hAnsi="宋体" w:eastAsia="宋体" w:cs="宋体"/>
          <w:color w:val="auto"/>
          <w:sz w:val="28"/>
          <w:szCs w:val="28"/>
          <w:highlight w:val="none"/>
        </w:rPr>
      </w:pPr>
      <w:r>
        <w:rPr>
          <w:rFonts w:ascii="宋体" w:hAnsi="宋体" w:eastAsia="宋体" w:cs="宋体"/>
          <w:color w:val="auto"/>
          <w:sz w:val="28"/>
          <w:szCs w:val="28"/>
          <w:highlight w:val="none"/>
          <w:lang w:eastAsia="zh-CN"/>
        </w:rPr>
        <w:t>地址：四川省泸州市江阳区江阳西路段163号1栋</w:t>
      </w:r>
    </w:p>
    <w:p>
      <w:pPr>
        <w:keepNext w:val="0"/>
        <w:keepLines w:val="0"/>
        <w:widowControl/>
        <w:suppressLineNumbers w:val="0"/>
        <w:jc w:val="left"/>
        <w:rPr>
          <w:color w:val="auto"/>
          <w:highlight w:val="none"/>
        </w:rPr>
      </w:pPr>
    </w:p>
    <w:p>
      <w:pPr>
        <w:spacing w:line="600" w:lineRule="atLeast"/>
        <w:rPr>
          <w:rFonts w:ascii="宋体" w:hAnsi="宋体" w:eastAsia="宋体" w:cs="宋体"/>
          <w:color w:val="auto"/>
          <w:sz w:val="28"/>
          <w:szCs w:val="28"/>
          <w:highlight w:val="none"/>
        </w:rPr>
      </w:pPr>
      <w:r>
        <w:rPr>
          <w:rFonts w:ascii="宋体" w:hAnsi="宋体" w:eastAsia="宋体" w:cs="宋体"/>
          <w:color w:val="auto"/>
          <w:sz w:val="28"/>
          <w:szCs w:val="28"/>
          <w:highlight w:val="none"/>
          <w:lang w:eastAsia="zh-CN"/>
        </w:rPr>
        <w:t>乙方：</w:t>
      </w:r>
    </w:p>
    <w:p>
      <w:pPr>
        <w:keepNext w:val="0"/>
        <w:keepLines w:val="0"/>
        <w:widowControl/>
        <w:suppressLineNumbers w:val="0"/>
        <w:spacing w:after="240" w:afterAutospacing="0"/>
        <w:jc w:val="left"/>
        <w:rPr>
          <w:rFonts w:ascii="宋体" w:hAnsi="宋体" w:eastAsia="宋体" w:cs="宋体"/>
          <w:color w:val="auto"/>
          <w:sz w:val="28"/>
          <w:szCs w:val="28"/>
          <w:highlight w:val="none"/>
          <w:lang w:eastAsia="zh-CN"/>
        </w:rPr>
      </w:pPr>
      <w:r>
        <w:rPr>
          <w:rFonts w:ascii="宋体" w:hAnsi="宋体" w:eastAsia="宋体" w:cs="宋体"/>
          <w:color w:val="auto"/>
          <w:sz w:val="28"/>
          <w:szCs w:val="28"/>
          <w:highlight w:val="none"/>
          <w:lang w:eastAsia="zh-CN"/>
        </w:rPr>
        <w:t>地址：</w:t>
      </w:r>
      <w:r>
        <w:rPr>
          <w:rFonts w:ascii="宋体" w:hAnsi="宋体" w:eastAsia="宋体" w:cs="宋体"/>
          <w:color w:val="auto"/>
          <w:sz w:val="24"/>
          <w:szCs w:val="24"/>
          <w:highlight w:val="none"/>
          <w:lang w:eastAsia="zh-CN"/>
        </w:rPr>
        <w:br w:type="textWrapping"/>
      </w:r>
      <w:r>
        <w:rPr>
          <w:rFonts w:ascii="宋体" w:hAnsi="宋体" w:eastAsia="宋体" w:cs="宋体"/>
          <w:color w:val="auto"/>
          <w:sz w:val="28"/>
          <w:szCs w:val="28"/>
          <w:highlight w:val="none"/>
          <w:lang w:eastAsia="zh-CN"/>
        </w:rPr>
        <w:t>鉴于：</w:t>
      </w:r>
      <w:r>
        <w:rPr>
          <w:rFonts w:ascii="宋体" w:hAnsi="宋体" w:eastAsia="宋体" w:cs="宋体"/>
          <w:color w:val="auto"/>
          <w:sz w:val="28"/>
          <w:szCs w:val="28"/>
          <w:highlight w:val="none"/>
          <w:lang w:eastAsia="zh-CN"/>
        </w:rPr>
        <w:br w:type="textWrapping"/>
      </w:r>
      <w:r>
        <w:rPr>
          <w:rFonts w:ascii="宋体" w:hAnsi="宋体" w:eastAsia="宋体" w:cs="宋体"/>
          <w:color w:val="auto"/>
          <w:sz w:val="28"/>
          <w:szCs w:val="28"/>
          <w:highlight w:val="none"/>
          <w:lang w:eastAsia="zh-CN"/>
        </w:rPr>
        <w:t>   本合同双方当事人 (1) 均为依照中华人民共和国法律成立并有效存续的民事主体，(2) 并且已经获得签署本合同的相应授权，(3) 具备履行本合同所必须的资质和条件。为保障双方的合法权益，根据《中华人民共和国民法典》及相关法律法规的规定，甲、乙双方在平等互利、协商一致的基础上，达成协议如下，以资共同遵照执行。</w:t>
      </w:r>
      <w:r>
        <w:rPr>
          <w:rFonts w:ascii="宋体" w:hAnsi="宋体" w:eastAsia="宋体" w:cs="宋体"/>
          <w:color w:val="auto"/>
          <w:sz w:val="28"/>
          <w:szCs w:val="28"/>
          <w:highlight w:val="none"/>
          <w:lang w:eastAsia="zh-CN"/>
        </w:rPr>
        <w:br w:type="textWrapping"/>
      </w:r>
    </w:p>
    <w:p>
      <w:pPr>
        <w:pStyle w:val="2"/>
        <w:jc w:val="center"/>
        <w:rPr>
          <w:rFonts w:ascii="宋体" w:hAnsi="宋体" w:eastAsia="宋体" w:cs="宋体"/>
          <w:color w:val="auto"/>
          <w:sz w:val="28"/>
          <w:szCs w:val="28"/>
          <w:highlight w:val="none"/>
          <w:lang w:eastAsia="zh-CN"/>
        </w:rPr>
      </w:pPr>
    </w:p>
    <w:p>
      <w:pPr>
        <w:spacing w:line="600" w:lineRule="exact"/>
        <w:jc w:val="center"/>
        <w:rPr>
          <w:color w:val="auto"/>
          <w:highlight w:val="none"/>
        </w:rPr>
      </w:pPr>
      <w:r>
        <w:rPr>
          <w:rFonts w:hint="eastAsia" w:ascii="宋体" w:hAnsi="宋体" w:eastAsia="宋体" w:cs="宋体"/>
          <w:b/>
          <w:bCs/>
          <w:color w:val="auto"/>
          <w:sz w:val="28"/>
          <w:szCs w:val="28"/>
          <w:highlight w:val="none"/>
          <w:lang w:eastAsia="zh-CN"/>
        </w:rPr>
        <w:t>商务部分</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第一条 </w:t>
      </w:r>
      <w:r>
        <w:rPr>
          <w:rFonts w:hint="eastAsia" w:ascii="宋体" w:hAnsi="宋体" w:eastAsia="宋体" w:cs="宋体"/>
          <w:b/>
          <w:bCs/>
          <w:color w:val="auto"/>
          <w:sz w:val="28"/>
          <w:szCs w:val="28"/>
          <w:highlight w:val="none"/>
          <w:lang w:eastAsia="zh-CN"/>
        </w:rPr>
        <w:t>项目内容及要求</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本合同项下甲乙双方约定的项目内容及要求见本合同【附件】。</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第二条 </w:t>
      </w:r>
      <w:r>
        <w:rPr>
          <w:rFonts w:hint="eastAsia" w:ascii="宋体" w:hAnsi="宋体" w:eastAsia="宋体" w:cs="宋体"/>
          <w:b/>
          <w:bCs/>
          <w:color w:val="auto"/>
          <w:sz w:val="28"/>
          <w:szCs w:val="28"/>
          <w:highlight w:val="none"/>
          <w:lang w:eastAsia="zh-CN"/>
        </w:rPr>
        <w:t>合同价格</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（一） 本合同服务费用总额包括但不限于乙方向甲方提供服务所收取的劳务费、乙方按照法律规定应当缴纳的税款等因本合同而发生的费用。除服务费用总额外，甲方无须就本合同项下乙方的任何义务支付任何额外费用。</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（二） 本合同付款安排见【附件】。</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第三条 </w:t>
      </w:r>
      <w:r>
        <w:rPr>
          <w:rFonts w:hint="eastAsia" w:ascii="宋体" w:hAnsi="宋体" w:eastAsia="宋体" w:cs="宋体"/>
          <w:b/>
          <w:bCs/>
          <w:color w:val="auto"/>
          <w:sz w:val="28"/>
          <w:szCs w:val="28"/>
          <w:highlight w:val="none"/>
          <w:lang w:eastAsia="zh-CN"/>
        </w:rPr>
        <w:t>双方的权利和义务</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除本合同约定的双方的权利义务外，甲乙双方在本合同项下的其他权利和义务见【附件】的约定。</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第四条 </w:t>
      </w:r>
      <w:r>
        <w:rPr>
          <w:rFonts w:hint="eastAsia" w:ascii="宋体" w:hAnsi="宋体" w:eastAsia="宋体" w:cs="宋体"/>
          <w:b/>
          <w:bCs/>
          <w:color w:val="auto"/>
          <w:sz w:val="28"/>
          <w:szCs w:val="28"/>
          <w:highlight w:val="none"/>
          <w:lang w:eastAsia="zh-CN"/>
        </w:rPr>
        <w:t>违约责任</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甲、乙任一方或双方违约的，违约一方应当向相对方承担相应的违约责任。违约责任的具体约定见【附件】。</w:t>
      </w:r>
    </w:p>
    <w:p>
      <w:pPr>
        <w:spacing w:line="600" w:lineRule="exact"/>
        <w:jc w:val="center"/>
        <w:rPr>
          <w:color w:val="auto"/>
          <w:highlight w:val="none"/>
        </w:rPr>
      </w:pPr>
      <w:r>
        <w:rPr>
          <w:rFonts w:hint="eastAsia" w:ascii="宋体" w:hAnsi="宋体" w:eastAsia="宋体" w:cs="宋体"/>
          <w:b/>
          <w:bCs/>
          <w:color w:val="auto"/>
          <w:sz w:val="28"/>
          <w:szCs w:val="28"/>
          <w:highlight w:val="none"/>
          <w:lang w:eastAsia="zh-CN"/>
        </w:rPr>
        <w:t>通用部分</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第五条 </w:t>
      </w:r>
      <w:r>
        <w:rPr>
          <w:rFonts w:hint="eastAsia" w:ascii="宋体" w:hAnsi="宋体" w:eastAsia="宋体" w:cs="宋体"/>
          <w:b/>
          <w:bCs/>
          <w:color w:val="auto"/>
          <w:sz w:val="28"/>
          <w:szCs w:val="28"/>
          <w:highlight w:val="none"/>
          <w:lang w:eastAsia="zh-CN"/>
        </w:rPr>
        <w:t>双方的权利和义务</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（一） 甲方的权利和义务</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（1）甲方有权获得本合同项下乙方应提供的全部合格的服务；</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（2）甲方有权在合同期内对乙方的产品及服务进行监督；</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（3）乙方未按照合同约定履行义务的，甲方有权采取相应的措施；</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（4）甲方应按照合同约定向乙方支付合同价款；</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（5）甲方享有其它双方约定的权利、承担其它双方约定的义务。</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（二） 乙方的权利和义务</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（1）乙方有权获得甲方支付的合同价款；</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（2）乙方应按照合同约定向甲方提供全部合格的服务；</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（3）乙方应当按照合同约定的期限及要求完成项目内容；</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4）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（5）乙方享有其它双方约定的权利、承担其它双方约定的义务。</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第六条 </w:t>
      </w:r>
      <w:r>
        <w:rPr>
          <w:rFonts w:hint="eastAsia" w:ascii="宋体" w:hAnsi="宋体" w:eastAsia="宋体" w:cs="宋体"/>
          <w:b/>
          <w:bCs/>
          <w:color w:val="auto"/>
          <w:sz w:val="28"/>
          <w:szCs w:val="28"/>
          <w:highlight w:val="none"/>
          <w:lang w:eastAsia="zh-CN"/>
        </w:rPr>
        <w:t>禁止转让</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未经甲方事先书面同意，乙方不得将其本合同项下之全部义务或其中一部分义务转让给第三方执行。</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第七条 </w:t>
      </w:r>
      <w:r>
        <w:rPr>
          <w:rFonts w:hint="eastAsia" w:ascii="宋体" w:hAnsi="宋体" w:eastAsia="宋体" w:cs="宋体"/>
          <w:b/>
          <w:bCs/>
          <w:color w:val="auto"/>
          <w:sz w:val="28"/>
          <w:szCs w:val="28"/>
          <w:highlight w:val="none"/>
          <w:lang w:eastAsia="zh-CN"/>
        </w:rPr>
        <w:t>商标使用</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未经甲方书面许可，乙方不得将甲方的商标、公司名称、标识等用于宣传和/或展示。</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第八条 </w:t>
      </w:r>
      <w:r>
        <w:rPr>
          <w:rFonts w:hint="eastAsia" w:ascii="宋体" w:hAnsi="宋体" w:eastAsia="宋体" w:cs="宋体"/>
          <w:b/>
          <w:bCs/>
          <w:color w:val="auto"/>
          <w:sz w:val="28"/>
          <w:szCs w:val="28"/>
          <w:highlight w:val="none"/>
          <w:lang w:eastAsia="zh-CN"/>
        </w:rPr>
        <w:t>权利保证</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第九条 </w:t>
      </w:r>
      <w:r>
        <w:rPr>
          <w:rFonts w:hint="eastAsia" w:ascii="宋体" w:hAnsi="宋体" w:eastAsia="宋体" w:cs="宋体"/>
          <w:b/>
          <w:bCs/>
          <w:color w:val="auto"/>
          <w:sz w:val="28"/>
          <w:szCs w:val="28"/>
          <w:highlight w:val="none"/>
          <w:lang w:eastAsia="zh-CN"/>
        </w:rPr>
        <w:t>违约责任</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（一） 由于甲方原因不能按合同约定时间付款的，每延迟10个工作日，甲方按合同应付金额的2%向乙方支付违约金。</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（二） 乙方延迟交付的违约责任</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（1）由于乙方原因造成项目延迟的，每延迟10个工作日，乙方向甲方支付违约金为合同服务费用总额的2%。</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（2）由于乙方原因造成项目迟延，经甲方催促后乙方继续延误的，甲方有权单方面解除合同，乙方应按照合同服务费用总额的2%向甲方支付违约金，并赔偿由此引起的甲方全部损失。</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（三） 验收不合格并且乙方在甲方指定期限内无法完成整改、提交合格的工作成果的，乙方应向甲方支付合同服务费用总额2%的违约金，并赔偿由此引起的甲方全部损失。</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（四） 如果乙方违反本合同约定的保密义务，乙方应向甲方支付相当于合同服务费用总额2%的违约金，甲方受到的损失超出违约金的部分，由乙方继续承担赔偿责任。</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（五） 除本合同的约定外，因乙方的违约行为给甲方造成损失的，乙方应向甲方支付相当于合同服务费用总额2%的违约金，如甲方受到的损失超过违约金的，超出部分由乙方继续承担赔偿责任。</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第十条 </w:t>
      </w:r>
      <w:r>
        <w:rPr>
          <w:rFonts w:hint="eastAsia" w:ascii="宋体" w:hAnsi="宋体" w:eastAsia="宋体" w:cs="宋体"/>
          <w:b/>
          <w:bCs/>
          <w:color w:val="auto"/>
          <w:sz w:val="28"/>
          <w:szCs w:val="28"/>
          <w:highlight w:val="none"/>
          <w:lang w:eastAsia="zh-CN"/>
        </w:rPr>
        <w:t>保密义务</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（二） 乙方在本合同中所受领的保密信息应及时返还甲方或在甲方监督下予以销毁。乙方擅自留存备份信息，视为违反保密约定。</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（三） 无论本合同因何种原因终止，本保密条款依然有效。</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第十一条 </w:t>
      </w:r>
      <w:r>
        <w:rPr>
          <w:rFonts w:hint="eastAsia" w:ascii="宋体" w:hAnsi="宋体" w:eastAsia="宋体" w:cs="宋体"/>
          <w:b/>
          <w:bCs/>
          <w:color w:val="auto"/>
          <w:sz w:val="28"/>
          <w:szCs w:val="28"/>
          <w:highlight w:val="none"/>
          <w:lang w:eastAsia="zh-CN"/>
        </w:rPr>
        <w:t>不可抗力</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（三） 合同一方迟延履行后发生不可抗力的，不能免除其责任。</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（四） 不可抗力因素消除后，双方应立即进行磋商，就不可抗力所造成影响程度甲方有权决定是否继续履行或者终止本合同。如果甲方决定终止合同，如甲方已经付款，乙方应将已交付部分的款项在5日内向甲方返还。</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第十二条 </w:t>
      </w:r>
      <w:r>
        <w:rPr>
          <w:rFonts w:hint="eastAsia" w:ascii="宋体" w:hAnsi="宋体" w:eastAsia="宋体" w:cs="宋体"/>
          <w:b/>
          <w:bCs/>
          <w:color w:val="auto"/>
          <w:sz w:val="28"/>
          <w:szCs w:val="28"/>
          <w:highlight w:val="none"/>
          <w:lang w:eastAsia="zh-CN"/>
        </w:rPr>
        <w:t>合同变更</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对本合同的任何变更或补充，须经甲乙双方协商一致，并另行签订书面补充协议。</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第十三条 </w:t>
      </w:r>
      <w:r>
        <w:rPr>
          <w:rFonts w:hint="eastAsia" w:ascii="宋体" w:hAnsi="宋体" w:eastAsia="宋体" w:cs="宋体"/>
          <w:b/>
          <w:bCs/>
          <w:color w:val="auto"/>
          <w:sz w:val="28"/>
          <w:szCs w:val="28"/>
          <w:highlight w:val="none"/>
          <w:lang w:eastAsia="zh-CN"/>
        </w:rPr>
        <w:t>合同特别终止</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（一） 甲乙双方同意在乙方出现下列情形时，甲方可以书面形式通知乙方（或者乙方的破产清算组或相关管理人）提出终止合同而不向其提供任何补偿：</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（1）乙方破产、解散（包括但不限于乙方股东会决议解散、乙方被吊销营业执照、被责令关闭、被撤销、被司法机关裁决解散等情形）；</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（2）乙方发生未经甲方书面同意的重大产权变更（包括但不限于合并、分立、注销等情形)；（如系上市公司）被勒令停止上市；以及任何原因背负重大债务导致无履行能力。</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（二） 如果因上述原因导致本合同终止，甲方已经采取或者将要采取任何补救措施的权利不受任何影响。</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第十四条 </w:t>
      </w:r>
      <w:r>
        <w:rPr>
          <w:rFonts w:hint="eastAsia" w:ascii="宋体" w:hAnsi="宋体" w:eastAsia="宋体" w:cs="宋体"/>
          <w:b/>
          <w:bCs/>
          <w:color w:val="auto"/>
          <w:sz w:val="28"/>
          <w:szCs w:val="28"/>
          <w:highlight w:val="none"/>
          <w:lang w:eastAsia="zh-CN"/>
        </w:rPr>
        <w:t>法律适用与争议解决</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（一） 本合同的订立、效力、解释、履行和争议的解决均适用中华人民共和国法律（不包括港澳台地区法律）。</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（二） 凡因本合同引起的或与本合同有关的任何争议，双方首先应友好协商解决。协商不成的，任何一方均可向甲方所在地有管辖权的法院提起诉讼。</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第十五条 </w:t>
      </w:r>
      <w:r>
        <w:rPr>
          <w:rFonts w:hint="eastAsia" w:ascii="宋体" w:hAnsi="宋体" w:eastAsia="宋体" w:cs="宋体"/>
          <w:b/>
          <w:bCs/>
          <w:color w:val="auto"/>
          <w:sz w:val="28"/>
          <w:szCs w:val="28"/>
          <w:highlight w:val="none"/>
          <w:lang w:eastAsia="zh-CN"/>
        </w:rPr>
        <w:t>合同生效及其他</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（一） 本合同经甲乙双方法定代表人或授权代表签字并加盖公章或合同专用章后生效。</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（二） 合同期限自</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年</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月</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日始，至</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年</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月</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日止。</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（三） 本合同一式贰份，其中正本贰份，副本零份。甲方执壹份正本，零份副本；乙方执壹份正本，零份副本。</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（四） 无论本合同是否有相反约定，本合同附件（如有）作为本合同的组成部分，与本合同具有同等法律效力，当附件条款与本合同条款发生冲突时，以本合同条款为准。</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（五）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spacing w:line="600" w:lineRule="exact"/>
        <w:ind w:left="0" w:firstLine="578"/>
        <w:rPr>
          <w:rFonts w:hint="eastAsia" w:ascii="宋体" w:hAnsi="宋体" w:eastAsia="宋体" w:cs="宋体"/>
          <w:color w:val="auto"/>
          <w:sz w:val="28"/>
          <w:szCs w:val="28"/>
          <w:highlight w:val="none"/>
          <w:lang w:val="en-US"/>
        </w:rPr>
      </w:pPr>
      <w:r>
        <w:rPr>
          <w:rFonts w:hint="eastAsia" w:ascii="宋体" w:hAnsi="宋体" w:eastAsia="宋体" w:cs="宋体"/>
          <w:color w:val="auto"/>
          <w:sz w:val="28"/>
          <w:szCs w:val="28"/>
          <w:highlight w:val="none"/>
          <w:lang w:eastAsia="zh-CN"/>
        </w:rPr>
        <w:t>（六） 由于法律和法规、政策而导致本合同任何条款无效或无法执行，则该条款无效，但不影响剩余其他条款的效力。</w:t>
      </w:r>
    </w:p>
    <w:p>
      <w:pPr>
        <w:spacing w:line="600" w:lineRule="exact"/>
        <w:ind w:left="0" w:firstLine="578"/>
        <w:rPr>
          <w:color w:val="auto"/>
          <w:highlight w:val="none"/>
        </w:rPr>
      </w:pPr>
      <w:r>
        <w:rPr>
          <w:rFonts w:hint="eastAsia" w:ascii="宋体" w:hAnsi="宋体" w:eastAsia="宋体" w:cs="宋体"/>
          <w:b/>
          <w:bCs w:val="0"/>
          <w:color w:val="auto"/>
          <w:sz w:val="28"/>
          <w:szCs w:val="28"/>
          <w:highlight w:val="none"/>
          <w:lang w:eastAsia="zh-CN"/>
        </w:rPr>
        <w:t xml:space="preserve">第十六条 </w:t>
      </w:r>
      <w:r>
        <w:rPr>
          <w:rFonts w:hint="eastAsia" w:ascii="宋体" w:hAnsi="宋体" w:eastAsia="宋体" w:cs="宋体"/>
          <w:b/>
          <w:bCs/>
          <w:color w:val="auto"/>
          <w:sz w:val="28"/>
          <w:szCs w:val="28"/>
          <w:highlight w:val="none"/>
          <w:lang w:eastAsia="zh-CN"/>
        </w:rPr>
        <w:t>附件的组成</w:t>
      </w:r>
    </w:p>
    <w:p>
      <w:pPr>
        <w:spacing w:line="600" w:lineRule="exact"/>
        <w:ind w:left="0" w:firstLine="578"/>
        <w:rPr>
          <w:color w:val="auto"/>
          <w:highlight w:val="none"/>
        </w:rPr>
      </w:pPr>
      <w:r>
        <w:rPr>
          <w:rFonts w:hint="eastAsia" w:ascii="宋体" w:hAnsi="宋体" w:eastAsia="宋体" w:cs="宋体"/>
          <w:color w:val="auto"/>
          <w:sz w:val="28"/>
          <w:szCs w:val="28"/>
          <w:highlight w:val="none"/>
          <w:lang w:eastAsia="zh-CN"/>
        </w:rPr>
        <w:t>附件</w:t>
      </w:r>
    </w:p>
    <w:p>
      <w:pPr>
        <w:keepNext w:val="0"/>
        <w:keepLines w:val="0"/>
        <w:widowControl/>
        <w:suppressLineNumbers w:val="0"/>
        <w:spacing w:after="240" w:afterAutospacing="0"/>
        <w:jc w:val="left"/>
        <w:rPr>
          <w:rFonts w:hint="eastAsia"/>
          <w:color w:val="auto"/>
          <w:highlight w:val="none"/>
        </w:rPr>
      </w:pP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t>兹证明，各方于</w:t>
      </w:r>
      <w:r>
        <w:rPr>
          <w:rFonts w:hint="eastAsia" w:ascii="宋体" w:hAnsi="宋体" w:eastAsia="宋体" w:cs="宋体"/>
          <w:color w:val="auto"/>
          <w:sz w:val="28"/>
          <w:szCs w:val="28"/>
          <w:highlight w:val="none"/>
          <w:u w:val="single"/>
          <w:lang w:eastAsia="zh-CN"/>
        </w:rPr>
        <w:t>      </w:t>
      </w:r>
      <w:r>
        <w:rPr>
          <w:rFonts w:hint="eastAsia" w:ascii="宋体" w:hAnsi="宋体" w:eastAsia="宋体" w:cs="宋体"/>
          <w:color w:val="auto"/>
          <w:sz w:val="28"/>
          <w:szCs w:val="28"/>
          <w:highlight w:val="none"/>
          <w:lang w:eastAsia="zh-CN"/>
        </w:rPr>
        <w:t xml:space="preserve">年 </w:t>
      </w:r>
      <w:r>
        <w:rPr>
          <w:rFonts w:hint="eastAsia" w:ascii="宋体" w:hAnsi="宋体" w:eastAsia="宋体" w:cs="宋体"/>
          <w:color w:val="auto"/>
          <w:sz w:val="28"/>
          <w:szCs w:val="28"/>
          <w:highlight w:val="none"/>
          <w:u w:val="single"/>
          <w:lang w:eastAsia="zh-CN"/>
        </w:rPr>
        <w:t>      </w:t>
      </w:r>
      <w:r>
        <w:rPr>
          <w:rFonts w:hint="eastAsia" w:ascii="宋体" w:hAnsi="宋体" w:eastAsia="宋体" w:cs="宋体"/>
          <w:color w:val="auto"/>
          <w:sz w:val="28"/>
          <w:szCs w:val="28"/>
          <w:highlight w:val="none"/>
          <w:lang w:eastAsia="zh-CN"/>
        </w:rPr>
        <w:t xml:space="preserve">月 </w:t>
      </w:r>
      <w:r>
        <w:rPr>
          <w:rFonts w:hint="eastAsia" w:ascii="宋体" w:hAnsi="宋体" w:eastAsia="宋体" w:cs="宋体"/>
          <w:color w:val="auto"/>
          <w:sz w:val="28"/>
          <w:szCs w:val="28"/>
          <w:highlight w:val="none"/>
          <w:u w:val="single"/>
          <w:lang w:eastAsia="zh-CN"/>
        </w:rPr>
        <w:t>      </w:t>
      </w:r>
      <w:r>
        <w:rPr>
          <w:rFonts w:hint="eastAsia" w:ascii="宋体" w:hAnsi="宋体" w:eastAsia="宋体" w:cs="宋体"/>
          <w:color w:val="auto"/>
          <w:sz w:val="28"/>
          <w:szCs w:val="28"/>
          <w:highlight w:val="none"/>
          <w:lang w:eastAsia="zh-CN"/>
        </w:rPr>
        <w:t xml:space="preserve">日签订本合同 </w:t>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t>甲方（盖章）：中国人民财产保险股份有限公司泸州市分公司</w:t>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t xml:space="preserve">法定代表人/授权代表（签字）： </w:t>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t>乙方（盖章）：</w:t>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t xml:space="preserve">法定代表人/授权代表（签字）： </w:t>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宋体" w:hAnsi="宋体" w:eastAsia="宋体" w:cs="宋体"/>
          <w:color w:val="auto"/>
          <w:sz w:val="28"/>
          <w:szCs w:val="28"/>
          <w:highlight w:val="none"/>
          <w:lang w:eastAsia="zh-CN"/>
        </w:rPr>
        <w:br w:type="textWrapping"/>
      </w:r>
      <w:r>
        <w:rPr>
          <w:rFonts w:hint="eastAsia" w:ascii="楷体" w:hAnsi="楷体" w:eastAsia="楷体" w:cs="楷体"/>
          <w:b/>
          <w:bCs/>
          <w:color w:val="auto"/>
          <w:sz w:val="24"/>
          <w:szCs w:val="24"/>
          <w:highlight w:val="none"/>
          <w:lang w:eastAsia="zh-CN"/>
        </w:rPr>
        <w:br w:type="textWrapping"/>
      </w:r>
      <w:r>
        <w:rPr>
          <w:rFonts w:hint="eastAsia" w:ascii="楷体" w:hAnsi="楷体" w:eastAsia="楷体" w:cs="楷体"/>
          <w:b/>
          <w:bCs/>
          <w:color w:val="auto"/>
          <w:sz w:val="24"/>
          <w:szCs w:val="24"/>
          <w:highlight w:val="none"/>
        </w:rPr>
        <w:t>附件一</w:t>
      </w:r>
      <w:r>
        <w:rPr>
          <w:color w:val="auto"/>
          <w:highlight w:val="none"/>
        </w:rPr>
        <w:tab/>
      </w:r>
    </w:p>
    <w:p>
      <w:pPr>
        <w:spacing w:line="360" w:lineRule="auto"/>
        <w:ind w:firstLine="3614" w:firstLineChars="1500"/>
        <w:jc w:val="both"/>
        <w:rPr>
          <w:rFonts w:hint="eastAsia" w:ascii="楷体" w:hAnsi="楷体" w:eastAsia="楷体" w:cs="楷体"/>
          <w:b/>
          <w:color w:val="auto"/>
          <w:highlight w:val="none"/>
        </w:rPr>
      </w:pPr>
      <w:r>
        <w:rPr>
          <w:rFonts w:hint="eastAsia" w:ascii="楷体" w:hAnsi="楷体" w:eastAsia="楷体" w:cs="楷体"/>
          <w:b/>
          <w:color w:val="auto"/>
          <w:highlight w:val="none"/>
        </w:rPr>
        <w:t>服务内容及要求</w:t>
      </w:r>
    </w:p>
    <w:p>
      <w:pPr>
        <w:spacing w:line="360" w:lineRule="auto"/>
        <w:ind w:firstLine="480" w:firstLineChars="200"/>
        <w:jc w:val="both"/>
        <w:rPr>
          <w:rFonts w:hint="eastAsia" w:ascii="楷体" w:hAnsi="楷体" w:eastAsia="楷体" w:cs="Arial"/>
          <w:color w:val="auto"/>
          <w:szCs w:val="24"/>
          <w:highlight w:val="none"/>
        </w:rPr>
      </w:pPr>
    </w:p>
    <w:p>
      <w:pPr>
        <w:spacing w:line="360" w:lineRule="auto"/>
        <w:ind w:firstLine="480" w:firstLineChars="200"/>
        <w:jc w:val="both"/>
        <w:rPr>
          <w:rFonts w:hint="default" w:ascii="楷体" w:hAnsi="楷体" w:eastAsia="楷体" w:cs="Arial"/>
          <w:color w:val="auto"/>
          <w:szCs w:val="24"/>
          <w:highlight w:val="none"/>
        </w:rPr>
      </w:pPr>
      <w:r>
        <w:rPr>
          <w:rFonts w:hint="default" w:ascii="楷体" w:hAnsi="楷体" w:eastAsia="楷体" w:cs="Arial"/>
          <w:color w:val="auto"/>
          <w:szCs w:val="24"/>
          <w:highlight w:val="none"/>
        </w:rPr>
        <w:t>第一条  供应项目</w:t>
      </w:r>
    </w:p>
    <w:p>
      <w:pPr>
        <w:spacing w:line="360" w:lineRule="auto"/>
        <w:ind w:firstLine="480" w:firstLineChars="200"/>
        <w:jc w:val="both"/>
        <w:rPr>
          <w:rFonts w:hint="default" w:ascii="楷体" w:hAnsi="楷体" w:eastAsia="楷体" w:cs="Arial"/>
          <w:color w:val="auto"/>
          <w:szCs w:val="24"/>
          <w:highlight w:val="none"/>
        </w:rPr>
      </w:pPr>
      <w:r>
        <w:rPr>
          <w:rFonts w:hint="default" w:ascii="楷体" w:hAnsi="楷体" w:eastAsia="楷体" w:cs="Arial"/>
          <w:color w:val="auto"/>
          <w:szCs w:val="24"/>
          <w:highlight w:val="none"/>
          <w:lang w:val="en-US" w:eastAsia="zh-CN"/>
        </w:rPr>
        <w:t>乙方向甲方提供的服务内容：</w:t>
      </w:r>
      <w:r>
        <w:rPr>
          <w:rFonts w:hint="eastAsia" w:ascii="楷体" w:hAnsi="楷体" w:eastAsia="楷体" w:cs="Arial"/>
          <w:color w:val="auto"/>
          <w:szCs w:val="24"/>
          <w:highlight w:val="none"/>
          <w:lang w:val="en-US" w:eastAsia="zh-CN"/>
        </w:rPr>
        <w:t>为泸县支公司提供食堂食材物资</w:t>
      </w:r>
      <w:r>
        <w:rPr>
          <w:rFonts w:hint="default" w:ascii="楷体" w:hAnsi="楷体" w:eastAsia="楷体" w:cs="Arial"/>
          <w:color w:val="auto"/>
          <w:szCs w:val="24"/>
          <w:highlight w:val="none"/>
        </w:rPr>
        <w:t>（以订单为准）。</w:t>
      </w:r>
    </w:p>
    <w:p>
      <w:pPr>
        <w:spacing w:line="360" w:lineRule="auto"/>
        <w:ind w:firstLine="480" w:firstLineChars="200"/>
        <w:jc w:val="both"/>
        <w:rPr>
          <w:rFonts w:hint="default" w:ascii="楷体" w:hAnsi="楷体" w:eastAsia="楷体" w:cs="Arial"/>
          <w:color w:val="auto"/>
          <w:szCs w:val="24"/>
          <w:highlight w:val="none"/>
        </w:rPr>
      </w:pPr>
      <w:r>
        <w:rPr>
          <w:rFonts w:hint="default" w:ascii="楷体" w:hAnsi="楷体" w:eastAsia="楷体" w:cs="Arial"/>
          <w:color w:val="auto"/>
          <w:szCs w:val="24"/>
          <w:highlight w:val="none"/>
        </w:rPr>
        <w:t>第二条  合同期限</w:t>
      </w:r>
    </w:p>
    <w:p>
      <w:pPr>
        <w:spacing w:line="360" w:lineRule="auto"/>
        <w:ind w:firstLine="480" w:firstLineChars="200"/>
        <w:jc w:val="both"/>
        <w:rPr>
          <w:rFonts w:hint="default" w:ascii="楷体" w:hAnsi="楷体" w:eastAsia="楷体" w:cs="Arial"/>
          <w:color w:val="auto"/>
          <w:szCs w:val="24"/>
          <w:highlight w:val="none"/>
          <w:lang w:eastAsia="zh-CN"/>
        </w:rPr>
      </w:pPr>
      <w:r>
        <w:rPr>
          <w:rFonts w:hint="default" w:ascii="楷体" w:hAnsi="楷体" w:eastAsia="楷体" w:cs="Arial"/>
          <w:color w:val="auto"/>
          <w:szCs w:val="24"/>
          <w:highlight w:val="none"/>
        </w:rPr>
        <w:t>合同自</w:t>
      </w:r>
      <w:r>
        <w:rPr>
          <w:rFonts w:hint="eastAsia" w:ascii="楷体" w:hAnsi="楷体" w:eastAsia="楷体" w:cs="Arial"/>
          <w:color w:val="auto"/>
          <w:szCs w:val="24"/>
          <w:highlight w:val="none"/>
          <w:u w:val="single"/>
          <w:lang w:val="en-US" w:eastAsia="zh-CN"/>
        </w:rPr>
        <w:t xml:space="preserve">     </w:t>
      </w:r>
      <w:r>
        <w:rPr>
          <w:rFonts w:hint="default" w:ascii="楷体" w:hAnsi="楷体" w:eastAsia="楷体" w:cs="Arial"/>
          <w:color w:val="auto"/>
          <w:szCs w:val="24"/>
          <w:highlight w:val="none"/>
        </w:rPr>
        <w:t>年</w:t>
      </w:r>
      <w:r>
        <w:rPr>
          <w:rFonts w:hint="eastAsia" w:ascii="楷体" w:hAnsi="楷体" w:eastAsia="楷体" w:cs="Arial"/>
          <w:color w:val="auto"/>
          <w:szCs w:val="24"/>
          <w:highlight w:val="none"/>
          <w:u w:val="single"/>
          <w:lang w:val="en-US" w:eastAsia="zh-CN"/>
        </w:rPr>
        <w:t xml:space="preserve">    </w:t>
      </w:r>
      <w:r>
        <w:rPr>
          <w:rFonts w:hint="default" w:ascii="楷体" w:hAnsi="楷体" w:eastAsia="楷体" w:cs="Arial"/>
          <w:color w:val="auto"/>
          <w:szCs w:val="24"/>
          <w:highlight w:val="none"/>
        </w:rPr>
        <w:t>月</w:t>
      </w:r>
      <w:r>
        <w:rPr>
          <w:rFonts w:hint="eastAsia" w:ascii="楷体" w:hAnsi="楷体" w:eastAsia="楷体" w:cs="Arial"/>
          <w:color w:val="auto"/>
          <w:szCs w:val="24"/>
          <w:highlight w:val="none"/>
          <w:u w:val="single"/>
          <w:lang w:val="en-US" w:eastAsia="zh-CN"/>
        </w:rPr>
        <w:t xml:space="preserve">    </w:t>
      </w:r>
      <w:r>
        <w:rPr>
          <w:rFonts w:hint="default" w:ascii="楷体" w:hAnsi="楷体" w:eastAsia="楷体" w:cs="Arial"/>
          <w:color w:val="auto"/>
          <w:szCs w:val="24"/>
          <w:highlight w:val="none"/>
        </w:rPr>
        <w:t>日起至</w:t>
      </w:r>
      <w:r>
        <w:rPr>
          <w:rFonts w:hint="eastAsia" w:ascii="楷体" w:hAnsi="楷体" w:eastAsia="楷体" w:cs="Arial"/>
          <w:color w:val="auto"/>
          <w:szCs w:val="24"/>
          <w:highlight w:val="none"/>
          <w:u w:val="single"/>
          <w:lang w:val="en-US" w:eastAsia="zh-CN"/>
        </w:rPr>
        <w:t xml:space="preserve">     </w:t>
      </w:r>
      <w:r>
        <w:rPr>
          <w:rFonts w:hint="default" w:ascii="楷体" w:hAnsi="楷体" w:eastAsia="楷体" w:cs="Arial"/>
          <w:color w:val="auto"/>
          <w:szCs w:val="24"/>
          <w:highlight w:val="none"/>
        </w:rPr>
        <w:t>年</w:t>
      </w:r>
      <w:r>
        <w:rPr>
          <w:rFonts w:hint="eastAsia" w:ascii="楷体" w:hAnsi="楷体" w:eastAsia="楷体" w:cs="Arial"/>
          <w:color w:val="auto"/>
          <w:szCs w:val="24"/>
          <w:highlight w:val="none"/>
          <w:u w:val="single"/>
          <w:lang w:val="en-US" w:eastAsia="zh-CN"/>
        </w:rPr>
        <w:t xml:space="preserve">     </w:t>
      </w:r>
      <w:r>
        <w:rPr>
          <w:rFonts w:hint="default" w:ascii="楷体" w:hAnsi="楷体" w:eastAsia="楷体" w:cs="Arial"/>
          <w:color w:val="auto"/>
          <w:szCs w:val="24"/>
          <w:highlight w:val="none"/>
        </w:rPr>
        <w:t>月</w:t>
      </w:r>
      <w:r>
        <w:rPr>
          <w:rFonts w:hint="eastAsia" w:ascii="楷体" w:hAnsi="楷体" w:eastAsia="楷体" w:cs="Arial"/>
          <w:color w:val="auto"/>
          <w:szCs w:val="24"/>
          <w:highlight w:val="none"/>
          <w:u w:val="single"/>
          <w:lang w:val="en-US" w:eastAsia="zh-CN"/>
        </w:rPr>
        <w:t xml:space="preserve">     </w:t>
      </w:r>
      <w:r>
        <w:rPr>
          <w:rFonts w:hint="default" w:ascii="楷体" w:hAnsi="楷体" w:eastAsia="楷体" w:cs="Arial"/>
          <w:color w:val="auto"/>
          <w:szCs w:val="24"/>
          <w:highlight w:val="none"/>
        </w:rPr>
        <w:t>日有效。</w:t>
      </w:r>
      <w:r>
        <w:rPr>
          <w:rFonts w:hint="default" w:ascii="楷体" w:hAnsi="楷体" w:eastAsia="楷体" w:cs="Arial"/>
          <w:color w:val="auto"/>
          <w:szCs w:val="24"/>
          <w:highlight w:val="none"/>
          <w:lang w:eastAsia="zh-CN"/>
        </w:rPr>
        <w:tab/>
      </w:r>
    </w:p>
    <w:p>
      <w:pPr>
        <w:spacing w:line="360" w:lineRule="auto"/>
        <w:ind w:firstLine="480" w:firstLineChars="200"/>
        <w:jc w:val="both"/>
        <w:rPr>
          <w:rFonts w:hint="default" w:ascii="楷体" w:hAnsi="楷体" w:eastAsia="楷体" w:cs="Arial"/>
          <w:color w:val="auto"/>
          <w:szCs w:val="24"/>
          <w:highlight w:val="none"/>
        </w:rPr>
      </w:pPr>
      <w:r>
        <w:rPr>
          <w:rFonts w:hint="default" w:ascii="楷体" w:hAnsi="楷体" w:eastAsia="楷体" w:cs="Arial"/>
          <w:color w:val="auto"/>
          <w:szCs w:val="24"/>
          <w:highlight w:val="none"/>
        </w:rPr>
        <w:t>第三条  质量标准</w:t>
      </w:r>
    </w:p>
    <w:p>
      <w:pPr>
        <w:spacing w:line="360" w:lineRule="auto"/>
        <w:ind w:firstLine="480" w:firstLineChars="200"/>
        <w:jc w:val="both"/>
        <w:rPr>
          <w:rFonts w:hint="default" w:ascii="楷体" w:hAnsi="楷体" w:eastAsia="楷体" w:cs="Arial"/>
          <w:color w:val="auto"/>
          <w:szCs w:val="24"/>
          <w:highlight w:val="none"/>
        </w:rPr>
      </w:pPr>
      <w:r>
        <w:rPr>
          <w:rFonts w:hint="default" w:ascii="楷体" w:hAnsi="楷体" w:eastAsia="楷体" w:cs="Arial"/>
          <w:color w:val="auto"/>
          <w:szCs w:val="24"/>
          <w:highlight w:val="none"/>
        </w:rPr>
        <w:t>按照《中华人民共和国食品卫生法》及甲方管理</w:t>
      </w:r>
      <w:r>
        <w:rPr>
          <w:rFonts w:hint="default" w:ascii="楷体" w:hAnsi="楷体" w:eastAsia="楷体" w:cs="Arial"/>
          <w:color w:val="auto"/>
          <w:szCs w:val="24"/>
          <w:highlight w:val="none"/>
        </w:rPr>
        <w:fldChar w:fldCharType="begin"/>
      </w:r>
      <w:r>
        <w:rPr>
          <w:rFonts w:hint="default" w:ascii="楷体" w:hAnsi="楷体" w:eastAsia="楷体" w:cs="Arial"/>
          <w:color w:val="auto"/>
          <w:szCs w:val="24"/>
          <w:highlight w:val="none"/>
        </w:rPr>
        <w:instrText xml:space="preserve"> HYPERLINK "http://www.xihaiwl.com/html/gzzd.html" \t "http://www.xihaiwl.com/news/286986/_blank" </w:instrText>
      </w:r>
      <w:r>
        <w:rPr>
          <w:rFonts w:hint="default" w:ascii="楷体" w:hAnsi="楷体" w:eastAsia="楷体" w:cs="Arial"/>
          <w:color w:val="auto"/>
          <w:szCs w:val="24"/>
          <w:highlight w:val="none"/>
        </w:rPr>
        <w:fldChar w:fldCharType="separate"/>
      </w:r>
      <w:r>
        <w:rPr>
          <w:rFonts w:hint="default" w:ascii="楷体" w:hAnsi="楷体" w:eastAsia="楷体" w:cs="Arial"/>
          <w:color w:val="auto"/>
          <w:szCs w:val="24"/>
          <w:highlight w:val="none"/>
        </w:rPr>
        <w:t>制度</w:t>
      </w:r>
      <w:r>
        <w:rPr>
          <w:rFonts w:hint="default" w:ascii="楷体" w:hAnsi="楷体" w:eastAsia="楷体" w:cs="Arial"/>
          <w:color w:val="auto"/>
          <w:szCs w:val="24"/>
          <w:highlight w:val="none"/>
        </w:rPr>
        <w:fldChar w:fldCharType="end"/>
      </w:r>
      <w:r>
        <w:rPr>
          <w:rFonts w:hint="default" w:ascii="楷体" w:hAnsi="楷体" w:eastAsia="楷体" w:cs="Arial"/>
          <w:color w:val="auto"/>
          <w:szCs w:val="24"/>
          <w:highlight w:val="none"/>
        </w:rPr>
        <w:t>有关规定，乙方提供的农牧产品、食材及辅材都是经过国家有关质监部门检验合格的产品，要保证新鲜和卫生。</w:t>
      </w:r>
    </w:p>
    <w:p>
      <w:pPr>
        <w:spacing w:line="360" w:lineRule="auto"/>
        <w:ind w:firstLine="480" w:firstLineChars="200"/>
        <w:jc w:val="both"/>
        <w:rPr>
          <w:rFonts w:hint="default" w:ascii="楷体" w:hAnsi="楷体" w:eastAsia="楷体" w:cs="Arial"/>
          <w:color w:val="auto"/>
          <w:szCs w:val="24"/>
          <w:highlight w:val="none"/>
        </w:rPr>
      </w:pPr>
      <w:r>
        <w:rPr>
          <w:rFonts w:hint="default" w:ascii="楷体" w:hAnsi="楷体" w:eastAsia="楷体" w:cs="Arial"/>
          <w:color w:val="auto"/>
          <w:szCs w:val="24"/>
          <w:highlight w:val="none"/>
        </w:rPr>
        <w:t xml:space="preserve">第四条  </w:t>
      </w:r>
      <w:r>
        <w:rPr>
          <w:rFonts w:hint="default" w:ascii="楷体" w:hAnsi="楷体" w:eastAsia="楷体" w:cs="Arial"/>
          <w:color w:val="auto"/>
          <w:szCs w:val="24"/>
          <w:highlight w:val="none"/>
          <w:lang w:val="en-US" w:eastAsia="zh-CN"/>
        </w:rPr>
        <w:t>合同价格</w:t>
      </w:r>
    </w:p>
    <w:p>
      <w:pPr>
        <w:spacing w:line="360" w:lineRule="auto"/>
        <w:ind w:firstLine="480" w:firstLineChars="200"/>
        <w:jc w:val="both"/>
        <w:rPr>
          <w:rFonts w:hint="default" w:ascii="楷体" w:hAnsi="楷体" w:eastAsia="楷体" w:cs="Arial"/>
          <w:color w:val="auto"/>
          <w:szCs w:val="24"/>
          <w:highlight w:val="none"/>
          <w:lang w:val="en-US" w:eastAsia="zh-CN"/>
        </w:rPr>
      </w:pPr>
      <w:r>
        <w:rPr>
          <w:rFonts w:hint="default" w:ascii="楷体" w:hAnsi="楷体" w:eastAsia="楷体" w:cs="Arial"/>
          <w:color w:val="auto"/>
          <w:szCs w:val="24"/>
          <w:highlight w:val="none"/>
          <w:lang w:val="en-US" w:eastAsia="zh-CN"/>
        </w:rPr>
        <w:t>所有食堂物资蔬菜类、水产类、肉制品类、粮油类、调料干货类、蛋类、耗材类（洗洁精</w:t>
      </w:r>
      <w:r>
        <w:rPr>
          <w:rFonts w:hint="eastAsia" w:ascii="楷体" w:hAnsi="楷体" w:eastAsia="楷体" w:cs="Arial"/>
          <w:color w:val="auto"/>
          <w:szCs w:val="24"/>
          <w:highlight w:val="none"/>
          <w:lang w:val="en-US" w:eastAsia="zh-CN"/>
        </w:rPr>
        <w:t>、碗筷、油污清洁剂</w:t>
      </w:r>
      <w:r>
        <w:rPr>
          <w:rFonts w:hint="default" w:ascii="楷体" w:hAnsi="楷体" w:eastAsia="楷体" w:cs="Arial"/>
          <w:color w:val="auto"/>
          <w:szCs w:val="24"/>
          <w:highlight w:val="none"/>
          <w:lang w:val="en-US" w:eastAsia="zh-CN"/>
        </w:rPr>
        <w:t>）等</w:t>
      </w:r>
      <w:r>
        <w:rPr>
          <w:rFonts w:hint="eastAsia" w:ascii="楷体" w:hAnsi="楷体" w:eastAsia="楷体" w:cs="Arial"/>
          <w:color w:val="auto"/>
          <w:szCs w:val="24"/>
          <w:highlight w:val="none"/>
          <w:lang w:val="en-US" w:eastAsia="zh-CN"/>
        </w:rPr>
        <w:t>每项货品每日单价参照</w:t>
      </w:r>
      <w:r>
        <w:rPr>
          <w:rFonts w:hint="default" w:ascii="楷体" w:hAnsi="楷体" w:eastAsia="楷体" w:cs="Arial"/>
          <w:color w:val="auto"/>
          <w:szCs w:val="24"/>
          <w:highlight w:val="none"/>
          <w:lang w:val="en-US" w:eastAsia="zh-CN"/>
        </w:rPr>
        <w:t>泸县吉都汇百货超市</w:t>
      </w:r>
      <w:r>
        <w:rPr>
          <w:rFonts w:hint="eastAsia" w:ascii="楷体" w:hAnsi="楷体" w:eastAsia="楷体" w:cs="Arial"/>
          <w:color w:val="auto"/>
          <w:szCs w:val="24"/>
          <w:highlight w:val="none"/>
          <w:lang w:val="en-US" w:eastAsia="zh-CN"/>
        </w:rPr>
        <w:t>同款货品单价折扣</w:t>
      </w:r>
      <w:r>
        <w:rPr>
          <w:rFonts w:hint="eastAsia" w:ascii="楷体" w:hAnsi="楷体" w:eastAsia="楷体" w:cs="Arial"/>
          <w:color w:val="auto"/>
          <w:szCs w:val="24"/>
          <w:highlight w:val="none"/>
          <w:u w:val="single"/>
          <w:lang w:val="en-US" w:eastAsia="zh-CN"/>
        </w:rPr>
        <w:t xml:space="preserve">   %</w:t>
      </w:r>
      <w:r>
        <w:rPr>
          <w:rFonts w:hint="eastAsia" w:ascii="楷体" w:hAnsi="楷体" w:eastAsia="楷体" w:cs="Arial"/>
          <w:color w:val="auto"/>
          <w:szCs w:val="24"/>
          <w:highlight w:val="none"/>
          <w:lang w:val="en-US" w:eastAsia="zh-CN"/>
        </w:rPr>
        <w:t>后结算</w:t>
      </w:r>
      <w:r>
        <w:rPr>
          <w:rFonts w:hint="default" w:ascii="楷体" w:hAnsi="楷体" w:eastAsia="楷体" w:cs="Arial"/>
          <w:color w:val="auto"/>
          <w:szCs w:val="24"/>
          <w:highlight w:val="none"/>
          <w:lang w:val="en-US" w:eastAsia="zh-CN"/>
        </w:rPr>
        <w:t>，</w:t>
      </w:r>
      <w:r>
        <w:rPr>
          <w:rFonts w:hint="eastAsia" w:ascii="楷体" w:hAnsi="楷体" w:eastAsia="楷体" w:cs="Arial"/>
          <w:color w:val="auto"/>
          <w:szCs w:val="24"/>
          <w:highlight w:val="none"/>
          <w:lang w:val="en-US" w:eastAsia="zh-CN"/>
        </w:rPr>
        <w:t>合同期内所有食材物资</w:t>
      </w:r>
      <w:r>
        <w:rPr>
          <w:rFonts w:hint="default" w:ascii="楷体" w:hAnsi="楷体" w:eastAsia="楷体" w:cs="Arial"/>
          <w:color w:val="auto"/>
          <w:szCs w:val="24"/>
          <w:highlight w:val="none"/>
          <w:lang w:eastAsia="zh-CN"/>
        </w:rPr>
        <w:t>总价不超过</w:t>
      </w:r>
      <w:r>
        <w:rPr>
          <w:rFonts w:hint="eastAsia" w:ascii="楷体" w:hAnsi="楷体" w:eastAsia="楷体" w:cs="楷体"/>
          <w:color w:val="auto"/>
          <w:kern w:val="2"/>
          <w:sz w:val="24"/>
          <w:szCs w:val="24"/>
          <w:highlight w:val="none"/>
          <w:lang w:val="en-US" w:eastAsia="zh-CN" w:bidi="ar"/>
        </w:rPr>
        <w:t>37.74万</w:t>
      </w:r>
      <w:r>
        <w:rPr>
          <w:rFonts w:hint="default" w:ascii="楷体" w:hAnsi="楷体" w:eastAsia="楷体" w:cs="楷体"/>
          <w:color w:val="auto"/>
          <w:kern w:val="2"/>
          <w:sz w:val="24"/>
          <w:szCs w:val="24"/>
          <w:highlight w:val="none"/>
          <w:lang w:val="en-US" w:eastAsia="zh-CN" w:bidi="ar"/>
        </w:rPr>
        <w:t>元。</w:t>
      </w:r>
    </w:p>
    <w:p>
      <w:pPr>
        <w:tabs>
          <w:tab w:val="left" w:pos="165"/>
          <w:tab w:val="left" w:pos="315"/>
        </w:tabs>
        <w:autoSpaceDE w:val="0"/>
        <w:autoSpaceDN w:val="0"/>
        <w:adjustRightInd/>
        <w:spacing w:line="360" w:lineRule="auto"/>
        <w:ind w:firstLine="468" w:firstLineChars="195"/>
        <w:jc w:val="both"/>
        <w:textAlignment w:val="auto"/>
        <w:rPr>
          <w:rFonts w:ascii="楷体" w:hAnsi="楷体" w:eastAsia="楷体" w:cs="Arial"/>
          <w:snapToGrid w:val="0"/>
          <w:color w:val="auto"/>
          <w:spacing w:val="24"/>
          <w:szCs w:val="24"/>
          <w:highlight w:val="none"/>
        </w:rPr>
      </w:pPr>
      <w:r>
        <w:rPr>
          <w:rFonts w:hint="eastAsia" w:ascii="楷体" w:hAnsi="楷体" w:eastAsia="楷体" w:cs="Arial"/>
          <w:color w:val="auto"/>
          <w:szCs w:val="24"/>
          <w:highlight w:val="none"/>
        </w:rPr>
        <w:t>3.</w:t>
      </w:r>
      <w:r>
        <w:rPr>
          <w:rFonts w:hint="eastAsia" w:ascii="楷体" w:hAnsi="楷体" w:eastAsia="楷体" w:cs="Arial"/>
          <w:snapToGrid w:val="0"/>
          <w:color w:val="auto"/>
          <w:spacing w:val="24"/>
          <w:szCs w:val="24"/>
          <w:highlight w:val="none"/>
        </w:rPr>
        <w:t>告知</w:t>
      </w:r>
    </w:p>
    <w:p>
      <w:pPr>
        <w:tabs>
          <w:tab w:val="left" w:pos="165"/>
          <w:tab w:val="left" w:pos="315"/>
        </w:tabs>
        <w:autoSpaceDE w:val="0"/>
        <w:autoSpaceDN w:val="0"/>
        <w:adjustRightInd/>
        <w:spacing w:line="360" w:lineRule="auto"/>
        <w:ind w:firstLine="480" w:firstLineChars="200"/>
        <w:jc w:val="both"/>
        <w:textAlignment w:val="auto"/>
        <w:rPr>
          <w:rFonts w:hint="eastAsia" w:ascii="楷体" w:hAnsi="楷体" w:eastAsia="楷体" w:cs="楷体"/>
          <w:b/>
          <w:bCs/>
          <w:color w:val="auto"/>
          <w:kern w:val="0"/>
          <w:sz w:val="24"/>
          <w:szCs w:val="24"/>
          <w:highlight w:val="none"/>
          <w:lang w:val="en-US" w:eastAsia="zh-CN" w:bidi="ar-SA"/>
        </w:rPr>
      </w:pPr>
      <w:r>
        <w:rPr>
          <w:rFonts w:hint="eastAsia" w:ascii="楷体" w:hAnsi="楷体" w:eastAsia="楷体" w:cs="Arial"/>
          <w:color w:val="auto"/>
          <w:szCs w:val="24"/>
          <w:highlight w:val="none"/>
        </w:rPr>
        <w:t>甲乙双方同意涉及本合同的一切事宜均以书面形式提交，双方应及时响应。</w:t>
      </w:r>
    </w:p>
    <w:p>
      <w:pPr>
        <w:pStyle w:val="3"/>
        <w:ind w:left="0" w:leftChars="0" w:firstLine="0" w:firstLineChars="0"/>
        <w:jc w:val="both"/>
        <w:rPr>
          <w:rFonts w:hint="eastAsia" w:ascii="楷体" w:hAnsi="楷体" w:eastAsia="楷体" w:cs="楷体"/>
          <w:b/>
          <w:bCs/>
          <w:color w:val="auto"/>
          <w:kern w:val="0"/>
          <w:sz w:val="24"/>
          <w:szCs w:val="24"/>
          <w:highlight w:val="none"/>
          <w:lang w:val="en-US" w:eastAsia="zh-CN" w:bidi="ar-SA"/>
        </w:rPr>
      </w:pPr>
      <w:bookmarkStart w:id="123" w:name="_Toc12433"/>
      <w:bookmarkStart w:id="124" w:name="_Toc22454"/>
      <w:r>
        <w:rPr>
          <w:rFonts w:hint="eastAsia" w:ascii="楷体" w:hAnsi="楷体" w:eastAsia="楷体" w:cs="楷体"/>
          <w:b/>
          <w:bCs/>
          <w:color w:val="auto"/>
          <w:kern w:val="0"/>
          <w:sz w:val="24"/>
          <w:szCs w:val="24"/>
          <w:highlight w:val="none"/>
          <w:lang w:val="en-US" w:eastAsia="zh-CN" w:bidi="ar-SA"/>
        </w:rPr>
        <w:t>附件二</w:t>
      </w:r>
      <w:bookmarkEnd w:id="123"/>
      <w:bookmarkEnd w:id="124"/>
    </w:p>
    <w:p>
      <w:pPr>
        <w:spacing w:line="360" w:lineRule="auto"/>
        <w:jc w:val="center"/>
        <w:rPr>
          <w:rFonts w:ascii="楷体" w:hAnsi="楷体" w:eastAsia="楷体" w:cs="楷体"/>
          <w:b/>
          <w:color w:val="auto"/>
          <w:highlight w:val="none"/>
        </w:rPr>
      </w:pPr>
      <w:r>
        <w:rPr>
          <w:rFonts w:hint="eastAsia" w:ascii="楷体" w:hAnsi="楷体" w:eastAsia="楷体" w:cs="楷体"/>
          <w:b/>
          <w:color w:val="auto"/>
          <w:highlight w:val="none"/>
        </w:rPr>
        <w:t>付款</w:t>
      </w:r>
    </w:p>
    <w:p>
      <w:pPr>
        <w:autoSpaceDE w:val="0"/>
        <w:autoSpaceDN w:val="0"/>
        <w:spacing w:line="360" w:lineRule="auto"/>
        <w:ind w:left="482"/>
        <w:rPr>
          <w:rFonts w:ascii="楷体" w:hAnsi="楷体" w:eastAsia="楷体" w:cs="楷体"/>
          <w:color w:val="auto"/>
          <w:highlight w:val="none"/>
        </w:rPr>
      </w:pPr>
    </w:p>
    <w:p>
      <w:pPr>
        <w:autoSpaceDE w:val="0"/>
        <w:autoSpaceDN w:val="0"/>
        <w:spacing w:line="360" w:lineRule="auto"/>
        <w:ind w:left="482"/>
        <w:rPr>
          <w:rFonts w:ascii="楷体" w:hAnsi="楷体" w:eastAsia="楷体" w:cs="楷体"/>
          <w:color w:val="auto"/>
          <w:highlight w:val="none"/>
        </w:rPr>
      </w:pPr>
      <w:r>
        <w:rPr>
          <w:rFonts w:ascii="楷体" w:hAnsi="楷体" w:eastAsia="楷体" w:cs="楷体"/>
          <w:color w:val="auto"/>
          <w:highlight w:val="none"/>
        </w:rPr>
        <w:t>1.</w:t>
      </w:r>
      <w:r>
        <w:rPr>
          <w:rFonts w:hint="eastAsia" w:ascii="楷体" w:hAnsi="楷体" w:eastAsia="楷体" w:cs="楷体"/>
          <w:color w:val="auto"/>
          <w:highlight w:val="none"/>
        </w:rPr>
        <w:t>本合同使用货币种类为人民币。</w:t>
      </w:r>
    </w:p>
    <w:p>
      <w:pPr>
        <w:spacing w:line="360" w:lineRule="auto"/>
        <w:ind w:firstLine="480" w:firstLineChars="200"/>
        <w:rPr>
          <w:rFonts w:ascii="楷体" w:hAnsi="楷体" w:eastAsia="楷体"/>
          <w:color w:val="auto"/>
          <w:highlight w:val="none"/>
        </w:rPr>
      </w:pPr>
      <w:r>
        <w:rPr>
          <w:rFonts w:hint="eastAsia" w:ascii="楷体" w:hAnsi="楷体" w:eastAsia="楷体" w:cs="楷体"/>
          <w:color w:val="auto"/>
          <w:highlight w:val="none"/>
        </w:rPr>
        <w:t>2</w:t>
      </w:r>
      <w:r>
        <w:rPr>
          <w:rFonts w:ascii="楷体" w:hAnsi="楷体" w:eastAsia="楷体" w:cs="楷体"/>
          <w:color w:val="auto"/>
          <w:highlight w:val="none"/>
        </w:rPr>
        <w:t>.</w:t>
      </w:r>
      <w:r>
        <w:rPr>
          <w:rFonts w:hint="eastAsia" w:ascii="楷体" w:hAnsi="楷体" w:eastAsia="楷体"/>
          <w:color w:val="auto"/>
          <w:highlight w:val="none"/>
        </w:rPr>
        <w:t>付款方式：</w:t>
      </w:r>
      <w:r>
        <w:rPr>
          <w:rFonts w:hint="eastAsia" w:ascii="楷体" w:hAnsi="楷体" w:eastAsia="楷体"/>
          <w:color w:val="auto"/>
          <w:highlight w:val="none"/>
          <w:u w:val="single"/>
        </w:rPr>
        <w:t>转账</w:t>
      </w:r>
      <w:r>
        <w:rPr>
          <w:rFonts w:ascii="楷体" w:hAnsi="楷体" w:eastAsia="楷体"/>
          <w:color w:val="auto"/>
          <w:highlight w:val="none"/>
        </w:rPr>
        <w:t>[</w:t>
      </w:r>
      <w:r>
        <w:rPr>
          <w:rFonts w:hint="eastAsia" w:ascii="楷体" w:hAnsi="楷体" w:eastAsia="楷体"/>
          <w:color w:val="auto"/>
          <w:highlight w:val="none"/>
        </w:rPr>
        <w:t>现金</w:t>
      </w:r>
      <w:r>
        <w:rPr>
          <w:rFonts w:ascii="楷体" w:hAnsi="楷体" w:eastAsia="楷体"/>
          <w:color w:val="auto"/>
          <w:highlight w:val="none"/>
        </w:rPr>
        <w:t>/</w:t>
      </w:r>
      <w:r>
        <w:rPr>
          <w:rFonts w:hint="eastAsia" w:ascii="楷体" w:hAnsi="楷体" w:eastAsia="楷体"/>
          <w:color w:val="auto"/>
          <w:highlight w:val="none"/>
        </w:rPr>
        <w:t>支票</w:t>
      </w:r>
      <w:r>
        <w:rPr>
          <w:rFonts w:ascii="楷体" w:hAnsi="楷体" w:eastAsia="楷体"/>
          <w:color w:val="auto"/>
          <w:highlight w:val="none"/>
        </w:rPr>
        <w:t>]</w:t>
      </w:r>
      <w:r>
        <w:rPr>
          <w:rFonts w:hint="eastAsia" w:ascii="楷体" w:hAnsi="楷体" w:eastAsia="楷体"/>
          <w:color w:val="auto"/>
          <w:highlight w:val="none"/>
        </w:rPr>
        <w:t>双方采用转账方式付款的，甲方应向乙方以下账户进行支付：</w:t>
      </w:r>
    </w:p>
    <w:p>
      <w:pPr>
        <w:spacing w:afterLines="50" w:line="360" w:lineRule="auto"/>
        <w:ind w:firstLine="480" w:firstLineChars="200"/>
        <w:rPr>
          <w:rFonts w:hint="eastAsia" w:ascii="楷体" w:hAnsi="楷体" w:eastAsia="楷体"/>
          <w:color w:val="auto"/>
          <w:highlight w:val="none"/>
        </w:rPr>
      </w:pPr>
      <w:r>
        <w:rPr>
          <w:rFonts w:ascii="楷体" w:hAnsi="楷体" w:eastAsia="楷体"/>
          <w:color w:val="auto"/>
          <w:highlight w:val="none"/>
        </w:rPr>
        <w:tab/>
      </w:r>
      <w:r>
        <w:rPr>
          <w:rFonts w:hint="eastAsia" w:ascii="楷体" w:hAnsi="楷体" w:eastAsia="楷体"/>
          <w:color w:val="auto"/>
          <w:highlight w:val="none"/>
        </w:rPr>
        <w:t>乙方：</w:t>
      </w:r>
    </w:p>
    <w:p>
      <w:pPr>
        <w:spacing w:afterLines="50" w:line="360" w:lineRule="auto"/>
        <w:ind w:firstLine="480" w:firstLineChars="200"/>
        <w:rPr>
          <w:rFonts w:ascii="楷体" w:hAnsi="楷体" w:eastAsia="楷体"/>
          <w:color w:val="auto"/>
          <w:highlight w:val="none"/>
          <w:u w:val="single"/>
        </w:rPr>
      </w:pPr>
      <w:r>
        <w:rPr>
          <w:rFonts w:ascii="楷体" w:hAnsi="楷体" w:eastAsia="楷体"/>
          <w:color w:val="auto"/>
          <w:highlight w:val="none"/>
        </w:rPr>
        <w:tab/>
      </w:r>
      <w:r>
        <w:rPr>
          <w:rFonts w:ascii="楷体" w:hAnsi="楷体" w:eastAsia="楷体"/>
          <w:color w:val="auto"/>
          <w:highlight w:val="none"/>
        </w:rPr>
        <w:t>开户行：</w:t>
      </w:r>
    </w:p>
    <w:p>
      <w:pPr>
        <w:spacing w:afterLines="50" w:line="360" w:lineRule="auto"/>
        <w:ind w:firstLine="480" w:firstLineChars="200"/>
        <w:rPr>
          <w:rFonts w:ascii="楷体" w:hAnsi="楷体" w:eastAsia="楷体"/>
          <w:color w:val="auto"/>
          <w:highlight w:val="none"/>
          <w:u w:val="single"/>
        </w:rPr>
      </w:pPr>
      <w:r>
        <w:rPr>
          <w:rFonts w:ascii="楷体" w:hAnsi="楷体" w:eastAsia="楷体"/>
          <w:color w:val="auto"/>
          <w:highlight w:val="none"/>
        </w:rPr>
        <w:tab/>
      </w:r>
      <w:r>
        <w:rPr>
          <w:rFonts w:ascii="楷体" w:hAnsi="楷体" w:eastAsia="楷体"/>
          <w:color w:val="auto"/>
          <w:highlight w:val="none"/>
        </w:rPr>
        <w:t>账户名称：</w:t>
      </w:r>
    </w:p>
    <w:p>
      <w:pPr>
        <w:spacing w:afterLines="50" w:line="360" w:lineRule="auto"/>
        <w:ind w:firstLine="480" w:firstLineChars="200"/>
        <w:rPr>
          <w:rFonts w:ascii="楷体" w:hAnsi="楷体" w:eastAsia="楷体"/>
          <w:color w:val="auto"/>
          <w:highlight w:val="none"/>
          <w:u w:val="single"/>
        </w:rPr>
      </w:pPr>
      <w:r>
        <w:rPr>
          <w:rFonts w:ascii="楷体" w:hAnsi="楷体" w:eastAsia="楷体"/>
          <w:color w:val="auto"/>
          <w:highlight w:val="none"/>
        </w:rPr>
        <w:tab/>
      </w:r>
      <w:r>
        <w:rPr>
          <w:rFonts w:ascii="楷体" w:hAnsi="楷体" w:eastAsia="楷体"/>
          <w:color w:val="auto"/>
          <w:highlight w:val="none"/>
        </w:rPr>
        <w:t>账号：</w:t>
      </w:r>
    </w:p>
    <w:p>
      <w:pPr>
        <w:spacing w:afterLines="50"/>
        <w:ind w:firstLine="480" w:firstLineChars="200"/>
        <w:rPr>
          <w:rFonts w:ascii="楷体" w:hAnsi="楷体" w:eastAsia="楷体"/>
          <w:color w:val="auto"/>
          <w:highlight w:val="none"/>
        </w:rPr>
      </w:pPr>
      <w:r>
        <w:rPr>
          <w:rFonts w:hint="eastAsia" w:ascii="楷体" w:hAnsi="楷体" w:eastAsia="楷体"/>
          <w:color w:val="auto"/>
          <w:highlight w:val="none"/>
        </w:rPr>
        <w:t>乙方如需改变上述账户，应提前</w:t>
      </w:r>
      <w:r>
        <w:rPr>
          <w:rFonts w:ascii="楷体" w:hAnsi="楷体" w:eastAsia="楷体"/>
          <w:color w:val="auto"/>
          <w:highlight w:val="none"/>
        </w:rPr>
        <w:t>10</w:t>
      </w:r>
      <w:r>
        <w:rPr>
          <w:rFonts w:hint="eastAsia" w:ascii="楷体" w:hAnsi="楷体" w:eastAsia="楷体"/>
          <w:color w:val="auto"/>
          <w:highlight w:val="none"/>
        </w:rPr>
        <w:t>日以书面通知甲方。</w:t>
      </w:r>
    </w:p>
    <w:p>
      <w:pPr>
        <w:spacing w:line="360" w:lineRule="auto"/>
        <w:ind w:firstLine="480" w:firstLineChars="200"/>
        <w:jc w:val="both"/>
        <w:rPr>
          <w:rFonts w:ascii="楷体" w:hAnsi="楷体" w:eastAsia="楷体" w:cs="Arial"/>
          <w:color w:val="auto"/>
          <w:szCs w:val="24"/>
          <w:highlight w:val="none"/>
        </w:rPr>
      </w:pPr>
      <w:r>
        <w:rPr>
          <w:rFonts w:hint="eastAsia" w:ascii="楷体" w:hAnsi="楷体" w:eastAsia="楷体" w:cs="Arial"/>
          <w:color w:val="auto"/>
          <w:szCs w:val="24"/>
          <w:highlight w:val="none"/>
        </w:rPr>
        <w:t>3.付款安排</w:t>
      </w:r>
    </w:p>
    <w:p>
      <w:pPr>
        <w:pStyle w:val="60"/>
        <w:numPr>
          <w:ilvl w:val="0"/>
          <w:numId w:val="0"/>
        </w:numPr>
        <w:spacing w:line="480" w:lineRule="auto"/>
        <w:ind w:firstLine="480" w:firstLineChars="200"/>
        <w:rPr>
          <w:rFonts w:hint="default" w:ascii="楷体" w:hAnsi="楷体" w:eastAsia="楷体" w:cs="Arial"/>
          <w:color w:val="auto"/>
          <w:kern w:val="0"/>
          <w:sz w:val="24"/>
          <w:szCs w:val="24"/>
          <w:highlight w:val="none"/>
          <w:lang w:val="en-US" w:eastAsia="zh-CN" w:bidi="ar-SA"/>
        </w:rPr>
      </w:pPr>
      <w:r>
        <w:rPr>
          <w:rFonts w:hint="default" w:ascii="楷体" w:hAnsi="楷体" w:eastAsia="楷体" w:cs="Arial"/>
          <w:color w:val="auto"/>
          <w:kern w:val="0"/>
          <w:sz w:val="24"/>
          <w:szCs w:val="24"/>
          <w:highlight w:val="none"/>
          <w:lang w:val="en-US" w:eastAsia="zh-CN" w:bidi="ar-SA"/>
        </w:rPr>
        <w:t>甲乙双方于</w:t>
      </w:r>
      <w:r>
        <w:rPr>
          <w:rFonts w:hint="eastAsia" w:ascii="楷体" w:hAnsi="楷体" w:eastAsia="楷体" w:cs="Arial"/>
          <w:color w:val="auto"/>
          <w:kern w:val="0"/>
          <w:sz w:val="24"/>
          <w:szCs w:val="24"/>
          <w:highlight w:val="none"/>
          <w:lang w:val="en-US" w:eastAsia="zh-CN" w:bidi="ar-SA"/>
        </w:rPr>
        <w:t>当</w:t>
      </w:r>
      <w:r>
        <w:rPr>
          <w:rFonts w:hint="default" w:ascii="楷体" w:hAnsi="楷体" w:eastAsia="楷体" w:cs="Arial"/>
          <w:color w:val="auto"/>
          <w:kern w:val="0"/>
          <w:sz w:val="24"/>
          <w:szCs w:val="24"/>
          <w:highlight w:val="none"/>
          <w:lang w:val="en-US" w:eastAsia="zh-CN" w:bidi="ar-SA"/>
        </w:rPr>
        <w:t>月进行结算，核对无误后甲方应在</w:t>
      </w:r>
      <w:r>
        <w:rPr>
          <w:rFonts w:hint="eastAsia" w:ascii="楷体" w:hAnsi="楷体" w:eastAsia="楷体" w:cs="Arial"/>
          <w:color w:val="auto"/>
          <w:kern w:val="0"/>
          <w:sz w:val="24"/>
          <w:szCs w:val="24"/>
          <w:highlight w:val="none"/>
          <w:lang w:val="en-US" w:eastAsia="zh-CN" w:bidi="ar-SA"/>
        </w:rPr>
        <w:t>当</w:t>
      </w:r>
      <w:r>
        <w:rPr>
          <w:rFonts w:hint="default" w:ascii="楷体" w:hAnsi="楷体" w:eastAsia="楷体" w:cs="Arial"/>
          <w:color w:val="auto"/>
          <w:kern w:val="0"/>
          <w:sz w:val="24"/>
          <w:szCs w:val="24"/>
          <w:highlight w:val="none"/>
          <w:lang w:val="en-US" w:eastAsia="zh-CN" w:bidi="ar-SA"/>
        </w:rPr>
        <w:t>月25日左右将</w:t>
      </w:r>
      <w:r>
        <w:rPr>
          <w:rFonts w:hint="eastAsia" w:ascii="楷体" w:hAnsi="楷体" w:eastAsia="楷体" w:cs="Arial"/>
          <w:color w:val="auto"/>
          <w:kern w:val="0"/>
          <w:sz w:val="24"/>
          <w:szCs w:val="24"/>
          <w:highlight w:val="none"/>
          <w:lang w:val="en-US" w:eastAsia="zh-CN" w:bidi="ar-SA"/>
        </w:rPr>
        <w:t>已实际发生</w:t>
      </w:r>
      <w:r>
        <w:rPr>
          <w:rFonts w:hint="default" w:ascii="楷体" w:hAnsi="楷体" w:eastAsia="楷体" w:cs="Arial"/>
          <w:color w:val="auto"/>
          <w:kern w:val="0"/>
          <w:sz w:val="24"/>
          <w:szCs w:val="24"/>
          <w:highlight w:val="none"/>
          <w:lang w:val="en-US" w:eastAsia="zh-CN" w:bidi="ar-SA"/>
        </w:rPr>
        <w:t>货款一次性以</w:t>
      </w:r>
      <w:r>
        <w:rPr>
          <w:rFonts w:hint="eastAsia" w:ascii="楷体" w:hAnsi="楷体" w:eastAsia="楷体" w:cs="Arial"/>
          <w:color w:val="auto"/>
          <w:kern w:val="0"/>
          <w:sz w:val="24"/>
          <w:szCs w:val="24"/>
          <w:highlight w:val="none"/>
          <w:lang w:val="en-US" w:eastAsia="zh-CN" w:bidi="ar-SA"/>
        </w:rPr>
        <w:t>转账</w:t>
      </w:r>
      <w:r>
        <w:rPr>
          <w:rFonts w:hint="default" w:ascii="楷体" w:hAnsi="楷体" w:eastAsia="楷体" w:cs="Arial"/>
          <w:color w:val="auto"/>
          <w:kern w:val="0"/>
          <w:sz w:val="24"/>
          <w:szCs w:val="24"/>
          <w:highlight w:val="none"/>
          <w:lang w:val="en-US" w:eastAsia="zh-CN" w:bidi="ar-SA"/>
        </w:rPr>
        <w:t>方式付清给乙方。乙方提供给甲方增值税普通发票，甲方按增值税普通发票金额给乙方进行结算。</w:t>
      </w:r>
    </w:p>
    <w:p>
      <w:pPr>
        <w:spacing w:line="360" w:lineRule="auto"/>
        <w:ind w:firstLine="480" w:firstLineChars="200"/>
        <w:jc w:val="both"/>
        <w:rPr>
          <w:rFonts w:ascii="楷体" w:hAnsi="楷体" w:eastAsia="楷体" w:cs="Arial"/>
          <w:color w:val="auto"/>
          <w:szCs w:val="24"/>
          <w:highlight w:val="none"/>
        </w:rPr>
      </w:pPr>
      <w:r>
        <w:rPr>
          <w:rFonts w:hint="eastAsia" w:ascii="楷体" w:hAnsi="楷体" w:eastAsia="楷体" w:cs="Arial"/>
          <w:color w:val="auto"/>
          <w:szCs w:val="24"/>
          <w:highlight w:val="none"/>
        </w:rPr>
        <w:t>4.增值税</w:t>
      </w:r>
      <w:r>
        <w:rPr>
          <w:rFonts w:hint="default" w:ascii="楷体" w:hAnsi="楷体" w:eastAsia="楷体" w:cs="Arial"/>
          <w:color w:val="auto"/>
          <w:kern w:val="0"/>
          <w:sz w:val="24"/>
          <w:szCs w:val="24"/>
          <w:highlight w:val="none"/>
          <w:lang w:val="en-US" w:eastAsia="zh-CN" w:bidi="ar-SA"/>
        </w:rPr>
        <w:t>普通</w:t>
      </w:r>
      <w:r>
        <w:rPr>
          <w:rFonts w:hint="eastAsia" w:ascii="楷体" w:hAnsi="楷体" w:eastAsia="楷体" w:cs="Arial"/>
          <w:color w:val="auto"/>
          <w:szCs w:val="24"/>
          <w:highlight w:val="none"/>
        </w:rPr>
        <w:t>发票的相关约定</w:t>
      </w:r>
    </w:p>
    <w:p>
      <w:pPr>
        <w:autoSpaceDE w:val="0"/>
        <w:autoSpaceDN w:val="0"/>
        <w:spacing w:line="360" w:lineRule="auto"/>
        <w:ind w:firstLine="470" w:firstLineChars="196"/>
        <w:jc w:val="both"/>
        <w:rPr>
          <w:rFonts w:ascii="楷体" w:hAnsi="楷体" w:eastAsia="楷体" w:cs="Arial"/>
          <w:color w:val="auto"/>
          <w:szCs w:val="24"/>
          <w:highlight w:val="none"/>
        </w:rPr>
      </w:pPr>
      <w:r>
        <w:rPr>
          <w:rFonts w:hint="eastAsia" w:ascii="楷体" w:hAnsi="楷体" w:eastAsia="楷体" w:cs="Arial"/>
          <w:color w:val="auto"/>
          <w:szCs w:val="24"/>
          <w:highlight w:val="none"/>
        </w:rPr>
        <w:t>（1）乙方应向甲方开具增值税</w:t>
      </w:r>
      <w:r>
        <w:rPr>
          <w:rFonts w:hint="default" w:ascii="楷体" w:hAnsi="楷体" w:eastAsia="楷体" w:cs="Arial"/>
          <w:color w:val="auto"/>
          <w:kern w:val="0"/>
          <w:sz w:val="24"/>
          <w:szCs w:val="24"/>
          <w:highlight w:val="none"/>
          <w:lang w:val="en-US" w:eastAsia="zh-CN" w:bidi="ar-SA"/>
        </w:rPr>
        <w:t>普通</w:t>
      </w:r>
      <w:r>
        <w:rPr>
          <w:rFonts w:hint="eastAsia" w:ascii="楷体" w:hAnsi="楷体" w:eastAsia="楷体" w:cs="Arial"/>
          <w:color w:val="auto"/>
          <w:szCs w:val="24"/>
          <w:highlight w:val="none"/>
        </w:rPr>
        <w:t xml:space="preserve">发票，甲方开票信息如下： </w:t>
      </w:r>
    </w:p>
    <w:p>
      <w:pPr>
        <w:autoSpaceDE w:val="0"/>
        <w:autoSpaceDN w:val="0"/>
        <w:spacing w:line="360" w:lineRule="auto"/>
        <w:ind w:firstLine="470" w:firstLineChars="196"/>
        <w:jc w:val="both"/>
        <w:rPr>
          <w:rFonts w:ascii="楷体" w:hAnsi="楷体" w:eastAsia="楷体" w:cs="Arial"/>
          <w:color w:val="auto"/>
          <w:szCs w:val="24"/>
          <w:highlight w:val="none"/>
        </w:rPr>
      </w:pPr>
      <w:r>
        <w:rPr>
          <w:rFonts w:hint="eastAsia" w:ascii="楷体" w:hAnsi="楷体" w:eastAsia="楷体" w:cs="Arial"/>
          <w:color w:val="auto"/>
          <w:szCs w:val="24"/>
          <w:highlight w:val="none"/>
        </w:rPr>
        <w:t xml:space="preserve">公司名称： </w:t>
      </w:r>
      <w:r>
        <w:rPr>
          <w:rFonts w:hint="eastAsia" w:ascii="楷体" w:hAnsi="楷体" w:eastAsia="楷体" w:cs="Arial"/>
          <w:color w:val="auto"/>
          <w:szCs w:val="24"/>
          <w:highlight w:val="none"/>
          <w:lang w:val="en-US" w:eastAsia="zh-CN"/>
        </w:rPr>
        <w:t>中国人民财产保险股份有限公司泸州市分公司</w:t>
      </w:r>
    </w:p>
    <w:p>
      <w:pPr>
        <w:autoSpaceDE w:val="0"/>
        <w:autoSpaceDN w:val="0"/>
        <w:spacing w:line="360" w:lineRule="auto"/>
        <w:ind w:firstLine="470" w:firstLineChars="196"/>
        <w:jc w:val="both"/>
        <w:rPr>
          <w:rFonts w:hint="eastAsia" w:ascii="楷体" w:hAnsi="楷体" w:eastAsia="楷体" w:cs="Arial"/>
          <w:color w:val="auto"/>
          <w:szCs w:val="24"/>
          <w:highlight w:val="none"/>
          <w:lang w:val="en-US" w:eastAsia="zh-CN"/>
        </w:rPr>
      </w:pPr>
      <w:r>
        <w:rPr>
          <w:rFonts w:hint="eastAsia" w:ascii="楷体" w:hAnsi="楷体" w:eastAsia="楷体" w:cs="Arial"/>
          <w:color w:val="auto"/>
          <w:szCs w:val="24"/>
          <w:highlight w:val="none"/>
        </w:rPr>
        <w:t xml:space="preserve">纳税识别号： </w:t>
      </w:r>
      <w:r>
        <w:rPr>
          <w:rFonts w:hint="eastAsia" w:ascii="楷体" w:hAnsi="楷体" w:eastAsia="楷体" w:cs="Arial"/>
          <w:color w:val="auto"/>
          <w:szCs w:val="24"/>
          <w:highlight w:val="none"/>
          <w:lang w:val="en-US" w:eastAsia="zh-CN"/>
        </w:rPr>
        <w:t>915105009047030323</w:t>
      </w:r>
    </w:p>
    <w:p>
      <w:pPr>
        <w:autoSpaceDE w:val="0"/>
        <w:autoSpaceDN w:val="0"/>
        <w:spacing w:line="360" w:lineRule="auto"/>
        <w:ind w:firstLine="470" w:firstLineChars="196"/>
        <w:jc w:val="both"/>
        <w:rPr>
          <w:rFonts w:hint="eastAsia" w:ascii="Times New Roman" w:hAnsi="Times New Roman" w:eastAsia="仿宋_GB2312" w:cs="Times New Roman"/>
          <w:color w:val="auto"/>
          <w:sz w:val="32"/>
          <w:szCs w:val="32"/>
          <w:highlight w:val="none"/>
          <w:lang w:val="en-US" w:eastAsia="zh-CN"/>
        </w:rPr>
      </w:pPr>
      <w:r>
        <w:rPr>
          <w:rFonts w:hint="eastAsia" w:ascii="楷体" w:hAnsi="楷体" w:eastAsia="楷体" w:cs="Arial"/>
          <w:color w:val="auto"/>
          <w:szCs w:val="24"/>
          <w:highlight w:val="none"/>
        </w:rPr>
        <w:t>银行账号：</w:t>
      </w:r>
      <w:r>
        <w:rPr>
          <w:rFonts w:hint="eastAsia" w:ascii="楷体" w:hAnsi="楷体" w:eastAsia="楷体" w:cs="Arial"/>
          <w:color w:val="auto"/>
          <w:szCs w:val="24"/>
          <w:highlight w:val="none"/>
          <w:lang w:val="en-US" w:eastAsia="zh-CN"/>
        </w:rPr>
        <w:t xml:space="preserve"> 2304342109023100136</w:t>
      </w:r>
    </w:p>
    <w:p>
      <w:pPr>
        <w:autoSpaceDE w:val="0"/>
        <w:autoSpaceDN w:val="0"/>
        <w:spacing w:line="360" w:lineRule="auto"/>
        <w:ind w:firstLine="470" w:firstLineChars="196"/>
        <w:jc w:val="both"/>
        <w:rPr>
          <w:rFonts w:ascii="楷体" w:hAnsi="楷体" w:eastAsia="楷体" w:cs="Arial"/>
          <w:color w:val="auto"/>
          <w:szCs w:val="24"/>
          <w:highlight w:val="none"/>
        </w:rPr>
      </w:pPr>
      <w:r>
        <w:rPr>
          <w:rFonts w:hint="eastAsia" w:ascii="楷体" w:hAnsi="楷体" w:eastAsia="楷体" w:cs="Arial"/>
          <w:color w:val="auto"/>
          <w:szCs w:val="24"/>
          <w:highlight w:val="none"/>
        </w:rPr>
        <w:t xml:space="preserve">开户银行： </w:t>
      </w:r>
      <w:r>
        <w:rPr>
          <w:rFonts w:hint="eastAsia" w:ascii="楷体" w:hAnsi="楷体" w:eastAsia="楷体" w:cs="Arial"/>
          <w:color w:val="auto"/>
          <w:szCs w:val="24"/>
          <w:highlight w:val="none"/>
          <w:lang w:val="en-US" w:eastAsia="zh-CN"/>
        </w:rPr>
        <w:t>中国工商银行泸州市大山坪支行</w:t>
      </w:r>
    </w:p>
    <w:p>
      <w:pPr>
        <w:autoSpaceDE w:val="0"/>
        <w:autoSpaceDN w:val="0"/>
        <w:spacing w:line="360" w:lineRule="auto"/>
        <w:ind w:firstLine="470" w:firstLineChars="196"/>
        <w:jc w:val="both"/>
        <w:rPr>
          <w:rFonts w:ascii="楷体" w:hAnsi="楷体" w:eastAsia="楷体" w:cs="Arial"/>
          <w:color w:val="auto"/>
          <w:szCs w:val="24"/>
          <w:highlight w:val="none"/>
        </w:rPr>
      </w:pPr>
      <w:r>
        <w:rPr>
          <w:rFonts w:hint="eastAsia" w:ascii="楷体" w:hAnsi="楷体" w:eastAsia="楷体" w:cs="Arial"/>
          <w:color w:val="auto"/>
          <w:szCs w:val="24"/>
          <w:highlight w:val="none"/>
        </w:rPr>
        <w:t xml:space="preserve">开票地址： </w:t>
      </w:r>
      <w:r>
        <w:rPr>
          <w:rFonts w:hint="eastAsia" w:ascii="楷体" w:hAnsi="楷体" w:eastAsia="楷体" w:cs="Arial"/>
          <w:color w:val="auto"/>
          <w:szCs w:val="24"/>
          <w:highlight w:val="none"/>
          <w:lang w:val="en-US" w:eastAsia="zh-CN"/>
        </w:rPr>
        <w:t>四川省泸州市江阳区江阳西路段163号1栋</w:t>
      </w:r>
    </w:p>
    <w:p>
      <w:pPr>
        <w:autoSpaceDE w:val="0"/>
        <w:autoSpaceDN w:val="0"/>
        <w:spacing w:line="360" w:lineRule="auto"/>
        <w:ind w:firstLine="470" w:firstLineChars="196"/>
        <w:jc w:val="both"/>
        <w:rPr>
          <w:rFonts w:ascii="楷体" w:hAnsi="楷体" w:eastAsia="楷体" w:cs="Arial"/>
          <w:color w:val="auto"/>
          <w:szCs w:val="24"/>
          <w:highlight w:val="none"/>
        </w:rPr>
      </w:pPr>
      <w:r>
        <w:rPr>
          <w:rFonts w:hint="eastAsia" w:ascii="楷体" w:hAnsi="楷体" w:eastAsia="楷体" w:cs="Arial"/>
          <w:color w:val="auto"/>
          <w:szCs w:val="24"/>
          <w:highlight w:val="none"/>
        </w:rPr>
        <w:t>开票电话：</w:t>
      </w:r>
      <w:r>
        <w:rPr>
          <w:rFonts w:hint="eastAsia" w:ascii="楷体" w:hAnsi="楷体" w:eastAsia="楷体" w:cs="Arial"/>
          <w:color w:val="auto"/>
          <w:szCs w:val="24"/>
          <w:highlight w:val="none"/>
          <w:lang w:val="en-US" w:eastAsia="zh-CN"/>
        </w:rPr>
        <w:t xml:space="preserve"> 0830-3198644</w:t>
      </w:r>
    </w:p>
    <w:p>
      <w:pPr>
        <w:pStyle w:val="3"/>
        <w:ind w:firstLine="482"/>
        <w:rPr>
          <w:rFonts w:hint="eastAsia" w:eastAsia="楷体"/>
          <w:color w:val="auto"/>
          <w:highlight w:val="none"/>
          <w:lang w:eastAsia="zh-CN"/>
        </w:rPr>
      </w:pPr>
    </w:p>
    <w:p>
      <w:pPr>
        <w:spacing w:line="360" w:lineRule="auto"/>
        <w:jc w:val="both"/>
        <w:rPr>
          <w:rFonts w:hint="eastAsia" w:ascii="楷体" w:hAnsi="楷体" w:eastAsia="楷体" w:cs="楷体"/>
          <w:b/>
          <w:color w:val="auto"/>
          <w:highlight w:val="none"/>
        </w:rPr>
      </w:pPr>
      <w:r>
        <w:rPr>
          <w:rFonts w:hint="eastAsia" w:ascii="楷体" w:hAnsi="楷体" w:eastAsia="楷体" w:cs="楷体"/>
          <w:b/>
          <w:color w:val="auto"/>
          <w:highlight w:val="none"/>
        </w:rPr>
        <w:t>附件三</w:t>
      </w:r>
    </w:p>
    <w:p>
      <w:pPr>
        <w:spacing w:line="360" w:lineRule="auto"/>
        <w:jc w:val="center"/>
        <w:rPr>
          <w:rFonts w:ascii="楷体" w:hAnsi="楷体" w:eastAsia="楷体" w:cs="楷体"/>
          <w:b/>
          <w:color w:val="auto"/>
          <w:highlight w:val="none"/>
        </w:rPr>
      </w:pPr>
      <w:r>
        <w:rPr>
          <w:rFonts w:hint="eastAsia" w:ascii="楷体" w:hAnsi="楷体" w:eastAsia="楷体" w:cs="楷体"/>
          <w:b/>
          <w:color w:val="auto"/>
          <w:highlight w:val="none"/>
        </w:rPr>
        <w:t>双方的权利和义务</w:t>
      </w:r>
    </w:p>
    <w:p>
      <w:pPr>
        <w:keepNext w:val="0"/>
        <w:keepLines w:val="0"/>
        <w:widowControl w:val="0"/>
        <w:suppressLineNumbers w:val="0"/>
        <w:spacing w:before="312" w:beforeLines="100" w:beforeAutospacing="0" w:after="312" w:afterLines="100" w:afterAutospacing="0" w:line="240" w:lineRule="auto"/>
        <w:ind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（一）甲方责任</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1、甲方向乙方订购的农牧产品、食材及辅材等品种，必须提前一天于17：00前以有效方式（如传真、邮件、微信等）告知乙方，并清楚说明品名、数量、质量及要求等。</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2、甲方应指定一人负责与乙方协商配合工作，如下单、收货等。</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（二）乙方责任</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1、乙方严格遵守食品卫生法及甲方有关规章制度，接受甲方监督检查。</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2、对不符合质量的品种，甲方有权退货或要求乙方换货。</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3、如遇暴雨等不可抗原因造成的个别品种数量、价格需临时调整,乙方应通知甲方，经双方确认后执行。</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4、蔬菜类、水产类、肉制品类、粮油类、调料干货类、蛋类、耗材类（如洗洁精</w:t>
      </w:r>
      <w:r>
        <w:rPr>
          <w:rFonts w:hint="eastAsia" w:ascii="楷体" w:hAnsi="楷体" w:eastAsia="楷体" w:cs="楷体"/>
          <w:color w:val="auto"/>
          <w:kern w:val="2"/>
          <w:sz w:val="24"/>
          <w:szCs w:val="24"/>
          <w:highlight w:val="none"/>
          <w:lang w:val="en-US" w:eastAsia="zh-CN" w:bidi="ar"/>
        </w:rPr>
        <w:t>、碗筷、油污清洁剂</w:t>
      </w:r>
      <w:r>
        <w:rPr>
          <w:rFonts w:hint="default" w:ascii="楷体" w:hAnsi="楷体" w:eastAsia="楷体" w:cs="楷体"/>
          <w:color w:val="auto"/>
          <w:kern w:val="2"/>
          <w:sz w:val="24"/>
          <w:szCs w:val="24"/>
          <w:highlight w:val="none"/>
          <w:lang w:val="en-US" w:eastAsia="zh-CN" w:bidi="ar"/>
        </w:rPr>
        <w:t>）等不得高于</w:t>
      </w:r>
      <w:r>
        <w:rPr>
          <w:rFonts w:hint="default" w:ascii="楷体" w:hAnsi="楷体" w:eastAsia="楷体" w:cs="Arial"/>
          <w:color w:val="auto"/>
          <w:szCs w:val="24"/>
          <w:highlight w:val="none"/>
          <w:lang w:val="en-US" w:eastAsia="zh-CN"/>
        </w:rPr>
        <w:t>泸县吉都汇百货超市</w:t>
      </w:r>
      <w:r>
        <w:rPr>
          <w:rFonts w:hint="eastAsia" w:ascii="楷体" w:hAnsi="楷体" w:eastAsia="楷体" w:cs="Arial"/>
          <w:color w:val="auto"/>
          <w:szCs w:val="24"/>
          <w:highlight w:val="none"/>
          <w:lang w:val="en-US" w:eastAsia="zh-CN"/>
        </w:rPr>
        <w:t>价格,</w:t>
      </w:r>
      <w:r>
        <w:rPr>
          <w:rFonts w:hint="default" w:ascii="楷体" w:hAnsi="楷体" w:eastAsia="楷体" w:cs="楷体"/>
          <w:color w:val="auto"/>
          <w:kern w:val="2"/>
          <w:sz w:val="24"/>
          <w:szCs w:val="24"/>
          <w:highlight w:val="none"/>
          <w:lang w:val="en-US" w:eastAsia="zh-CN" w:bidi="ar"/>
        </w:rPr>
        <w:t>乙方结算货款时,甲方应严格按订单确定的价格予以结算。</w:t>
      </w:r>
    </w:p>
    <w:p>
      <w:pPr>
        <w:spacing w:line="360" w:lineRule="auto"/>
        <w:jc w:val="left"/>
        <w:rPr>
          <w:rFonts w:hint="eastAsia" w:ascii="楷体" w:hAnsi="楷体" w:eastAsia="楷体"/>
          <w:b/>
          <w:color w:val="auto"/>
          <w:highlight w:val="none"/>
        </w:rPr>
      </w:pPr>
      <w:r>
        <w:rPr>
          <w:rFonts w:hint="eastAsia" w:ascii="楷体" w:hAnsi="楷体" w:eastAsia="楷体"/>
          <w:b/>
          <w:color w:val="auto"/>
          <w:highlight w:val="none"/>
        </w:rPr>
        <w:t>附件四</w:t>
      </w:r>
    </w:p>
    <w:p>
      <w:pPr>
        <w:spacing w:line="360" w:lineRule="auto"/>
        <w:jc w:val="center"/>
        <w:rPr>
          <w:rFonts w:ascii="楷体" w:hAnsi="楷体" w:eastAsia="楷体"/>
          <w:b/>
          <w:color w:val="auto"/>
          <w:highlight w:val="none"/>
        </w:rPr>
      </w:pPr>
      <w:r>
        <w:rPr>
          <w:rFonts w:hint="eastAsia" w:ascii="楷体" w:hAnsi="楷体" w:eastAsia="楷体"/>
          <w:b/>
          <w:color w:val="auto"/>
          <w:highlight w:val="none"/>
        </w:rPr>
        <w:t>违约责任</w:t>
      </w:r>
    </w:p>
    <w:p>
      <w:pPr>
        <w:spacing w:line="360" w:lineRule="auto"/>
        <w:ind w:firstLine="480" w:firstLineChars="200"/>
        <w:rPr>
          <w:rFonts w:ascii="楷体" w:hAnsi="楷体" w:eastAsia="楷体"/>
          <w:color w:val="auto"/>
          <w:highlight w:val="none"/>
        </w:rPr>
      </w:pP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（一）甲方未能按合同规定履行，出现下列情形的，责任全部由甲方承担。甲方按</w:t>
      </w:r>
      <w:r>
        <w:rPr>
          <w:rFonts w:hint="eastAsia" w:ascii="楷体" w:hAnsi="楷体" w:eastAsia="楷体" w:cs="楷体"/>
          <w:color w:val="auto"/>
          <w:kern w:val="2"/>
          <w:sz w:val="24"/>
          <w:szCs w:val="24"/>
          <w:highlight w:val="none"/>
          <w:lang w:val="en-US" w:eastAsia="zh-CN" w:bidi="ar"/>
        </w:rPr>
        <w:t>上个月结算总</w:t>
      </w:r>
      <w:r>
        <w:rPr>
          <w:rFonts w:hint="default" w:ascii="楷体" w:hAnsi="楷体" w:eastAsia="楷体" w:cs="楷体"/>
          <w:color w:val="auto"/>
          <w:kern w:val="2"/>
          <w:sz w:val="24"/>
          <w:szCs w:val="24"/>
          <w:highlight w:val="none"/>
          <w:lang w:val="en-US" w:eastAsia="zh-CN" w:bidi="ar"/>
        </w:rPr>
        <w:t>金额的2%向乙方支付违约金。</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1、甲方不按双方确定的价格或不按期支付乙方货款，乙方有权随时停止供货。</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eastAsia"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2、在合同期内</w:t>
      </w:r>
      <w:r>
        <w:rPr>
          <w:rFonts w:hint="eastAsia" w:ascii="楷体" w:hAnsi="楷体" w:eastAsia="楷体" w:cs="楷体"/>
          <w:color w:val="auto"/>
          <w:kern w:val="2"/>
          <w:sz w:val="24"/>
          <w:szCs w:val="24"/>
          <w:highlight w:val="none"/>
          <w:lang w:val="en-US" w:eastAsia="zh-CN" w:bidi="ar"/>
        </w:rPr>
        <w:t>，</w:t>
      </w:r>
      <w:r>
        <w:rPr>
          <w:rFonts w:hint="default" w:ascii="楷体" w:hAnsi="楷体" w:eastAsia="楷体" w:cs="楷体"/>
          <w:color w:val="auto"/>
          <w:kern w:val="2"/>
          <w:sz w:val="24"/>
          <w:szCs w:val="24"/>
          <w:highlight w:val="none"/>
          <w:lang w:val="en-US" w:eastAsia="zh-CN" w:bidi="ar"/>
        </w:rPr>
        <w:t>若上级公司统一采购我方食堂食材物资，我方提前15个工作日通知，可解除此合同，且不属于违约</w:t>
      </w:r>
      <w:r>
        <w:rPr>
          <w:rFonts w:hint="eastAsia" w:ascii="楷体" w:hAnsi="楷体" w:eastAsia="楷体" w:cs="楷体"/>
          <w:color w:val="auto"/>
          <w:kern w:val="2"/>
          <w:sz w:val="24"/>
          <w:szCs w:val="24"/>
          <w:highlight w:val="none"/>
          <w:lang w:val="en-US" w:eastAsia="zh-CN" w:bidi="ar"/>
        </w:rPr>
        <w:t>。</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（二）乙方未能按合同规定履行，出现下列情形的，其责任全部由乙方承担。</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eastAsia" w:ascii="楷体" w:hAnsi="楷体" w:eastAsia="楷体" w:cs="楷体"/>
          <w:color w:val="auto"/>
          <w:kern w:val="2"/>
          <w:sz w:val="24"/>
          <w:szCs w:val="24"/>
          <w:highlight w:val="none"/>
          <w:lang w:val="en-US" w:eastAsia="zh-CN" w:bidi="ar"/>
        </w:rPr>
        <w:t xml:space="preserve">   1、</w:t>
      </w:r>
      <w:r>
        <w:rPr>
          <w:rFonts w:hint="default" w:ascii="楷体" w:hAnsi="楷体" w:eastAsia="楷体" w:cs="楷体"/>
          <w:color w:val="auto"/>
          <w:kern w:val="2"/>
          <w:sz w:val="24"/>
          <w:szCs w:val="24"/>
          <w:highlight w:val="none"/>
          <w:lang w:val="en-US" w:eastAsia="zh-CN" w:bidi="ar"/>
        </w:rPr>
        <w:t xml:space="preserve">乙方延迟交付的违约责任 </w:t>
      </w:r>
      <w:r>
        <w:rPr>
          <w:rFonts w:hint="default" w:ascii="楷体" w:hAnsi="楷体" w:eastAsia="楷体" w:cs="楷体"/>
          <w:color w:val="auto"/>
          <w:kern w:val="2"/>
          <w:sz w:val="24"/>
          <w:szCs w:val="24"/>
          <w:highlight w:val="none"/>
          <w:lang w:val="en-US" w:eastAsia="zh-CN" w:bidi="ar"/>
        </w:rPr>
        <w:br w:type="textWrapping"/>
      </w:r>
      <w:r>
        <w:rPr>
          <w:rFonts w:hint="default" w:ascii="楷体" w:hAnsi="楷体" w:eastAsia="楷体" w:cs="楷体"/>
          <w:color w:val="auto"/>
          <w:kern w:val="2"/>
          <w:sz w:val="24"/>
          <w:szCs w:val="24"/>
          <w:highlight w:val="none"/>
          <w:lang w:val="en-US" w:eastAsia="zh-CN" w:bidi="ar"/>
        </w:rPr>
        <w:t>        </w:t>
      </w:r>
      <w:r>
        <w:rPr>
          <w:rFonts w:hint="eastAsia" w:ascii="楷体" w:hAnsi="楷体" w:eastAsia="楷体" w:cs="楷体"/>
          <w:color w:val="auto"/>
          <w:kern w:val="2"/>
          <w:sz w:val="24"/>
          <w:szCs w:val="24"/>
          <w:highlight w:val="none"/>
          <w:lang w:val="en-US" w:eastAsia="zh-CN" w:bidi="ar"/>
        </w:rPr>
        <w:t>乙方应于甲方要求送货时间内送达食材等物资，</w:t>
      </w:r>
      <w:r>
        <w:rPr>
          <w:rFonts w:hint="default" w:ascii="楷体" w:hAnsi="楷体" w:eastAsia="楷体" w:cs="楷体"/>
          <w:color w:val="auto"/>
          <w:kern w:val="2"/>
          <w:sz w:val="24"/>
          <w:szCs w:val="24"/>
          <w:highlight w:val="none"/>
          <w:lang w:val="en-US" w:eastAsia="zh-CN" w:bidi="ar"/>
        </w:rPr>
        <w:t>由于乙方原因造成</w:t>
      </w:r>
      <w:r>
        <w:rPr>
          <w:rFonts w:hint="eastAsia" w:ascii="楷体" w:hAnsi="楷体" w:eastAsia="楷体" w:cs="楷体"/>
          <w:color w:val="auto"/>
          <w:kern w:val="2"/>
          <w:sz w:val="24"/>
          <w:szCs w:val="24"/>
          <w:highlight w:val="none"/>
          <w:lang w:val="en-US" w:eastAsia="zh-CN" w:bidi="ar"/>
        </w:rPr>
        <w:t>送货</w:t>
      </w:r>
      <w:r>
        <w:rPr>
          <w:rFonts w:hint="default" w:ascii="楷体" w:hAnsi="楷体" w:eastAsia="楷体" w:cs="楷体"/>
          <w:color w:val="auto"/>
          <w:kern w:val="2"/>
          <w:sz w:val="24"/>
          <w:szCs w:val="24"/>
          <w:highlight w:val="none"/>
          <w:lang w:val="en-US" w:eastAsia="zh-CN" w:bidi="ar"/>
        </w:rPr>
        <w:t>延迟的，</w:t>
      </w:r>
      <w:r>
        <w:rPr>
          <w:rFonts w:hint="eastAsia" w:ascii="楷体" w:hAnsi="楷体" w:eastAsia="楷体" w:cs="楷体"/>
          <w:color w:val="auto"/>
          <w:kern w:val="2"/>
          <w:sz w:val="24"/>
          <w:szCs w:val="24"/>
          <w:highlight w:val="none"/>
          <w:lang w:val="en-US" w:eastAsia="zh-CN" w:bidi="ar"/>
        </w:rPr>
        <w:t>连续</w:t>
      </w:r>
      <w:r>
        <w:rPr>
          <w:rFonts w:hint="default" w:ascii="楷体" w:hAnsi="楷体" w:eastAsia="楷体" w:cs="楷体"/>
          <w:color w:val="auto"/>
          <w:kern w:val="2"/>
          <w:sz w:val="24"/>
          <w:szCs w:val="24"/>
          <w:highlight w:val="none"/>
          <w:lang w:val="en-US" w:eastAsia="zh-CN" w:bidi="ar"/>
        </w:rPr>
        <w:t>延迟</w:t>
      </w:r>
      <w:r>
        <w:rPr>
          <w:rFonts w:hint="eastAsia" w:ascii="楷体" w:hAnsi="楷体" w:eastAsia="楷体" w:cs="楷体"/>
          <w:color w:val="auto"/>
          <w:kern w:val="2"/>
          <w:sz w:val="24"/>
          <w:szCs w:val="24"/>
          <w:highlight w:val="none"/>
          <w:lang w:val="en-US" w:eastAsia="zh-CN" w:bidi="ar"/>
        </w:rPr>
        <w:t>3</w:t>
      </w:r>
      <w:r>
        <w:rPr>
          <w:rFonts w:hint="default" w:ascii="楷体" w:hAnsi="楷体" w:eastAsia="楷体" w:cs="楷体"/>
          <w:color w:val="auto"/>
          <w:kern w:val="2"/>
          <w:sz w:val="24"/>
          <w:szCs w:val="24"/>
          <w:highlight w:val="none"/>
          <w:lang w:val="en-US" w:eastAsia="zh-CN" w:bidi="ar"/>
        </w:rPr>
        <w:t>个工作日，乙方向甲方支付违约金为</w:t>
      </w:r>
      <w:r>
        <w:rPr>
          <w:rFonts w:hint="eastAsia" w:ascii="楷体" w:hAnsi="楷体" w:eastAsia="楷体" w:cs="楷体"/>
          <w:color w:val="auto"/>
          <w:kern w:val="2"/>
          <w:sz w:val="24"/>
          <w:szCs w:val="24"/>
          <w:highlight w:val="none"/>
          <w:lang w:val="en-US" w:eastAsia="zh-CN" w:bidi="ar"/>
        </w:rPr>
        <w:t>当月结算总</w:t>
      </w:r>
      <w:r>
        <w:rPr>
          <w:rFonts w:hint="default" w:ascii="楷体" w:hAnsi="楷体" w:eastAsia="楷体" w:cs="楷体"/>
          <w:color w:val="auto"/>
          <w:kern w:val="2"/>
          <w:sz w:val="24"/>
          <w:szCs w:val="24"/>
          <w:highlight w:val="none"/>
          <w:lang w:val="en-US" w:eastAsia="zh-CN" w:bidi="ar"/>
        </w:rPr>
        <w:t>金额的2%。经甲方催促后乙方继续延误的，甲方有权单方面解除合同，并赔偿由此引起的甲方全部损失。</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eastAsia" w:ascii="楷体" w:hAnsi="楷体" w:eastAsia="楷体" w:cs="楷体"/>
          <w:color w:val="auto"/>
          <w:kern w:val="2"/>
          <w:sz w:val="24"/>
          <w:szCs w:val="24"/>
          <w:highlight w:val="none"/>
          <w:lang w:val="en-US" w:eastAsia="zh-CN" w:bidi="ar"/>
        </w:rPr>
        <w:t>2、</w:t>
      </w:r>
      <w:r>
        <w:rPr>
          <w:rFonts w:hint="default" w:ascii="楷体" w:hAnsi="楷体" w:eastAsia="楷体" w:cs="楷体"/>
          <w:color w:val="auto"/>
          <w:kern w:val="2"/>
          <w:sz w:val="24"/>
          <w:szCs w:val="24"/>
          <w:highlight w:val="none"/>
          <w:lang w:val="en-US" w:eastAsia="zh-CN" w:bidi="ar"/>
        </w:rPr>
        <w:t>如经卫生检疫部门确认因乙方送货质量问题造成甲方人员食物中毒或损害健康的，由乙方负全部责任</w:t>
      </w:r>
      <w:r>
        <w:rPr>
          <w:rFonts w:hint="eastAsia" w:ascii="楷体" w:hAnsi="楷体" w:eastAsia="楷体" w:cs="楷体"/>
          <w:color w:val="auto"/>
          <w:kern w:val="2"/>
          <w:sz w:val="24"/>
          <w:szCs w:val="24"/>
          <w:highlight w:val="none"/>
          <w:lang w:val="en-US" w:eastAsia="zh-CN" w:bidi="ar"/>
        </w:rPr>
        <w:t>，</w:t>
      </w:r>
      <w:r>
        <w:rPr>
          <w:rFonts w:hint="default" w:ascii="楷体" w:hAnsi="楷体" w:eastAsia="楷体" w:cs="楷体"/>
          <w:color w:val="auto"/>
          <w:kern w:val="2"/>
          <w:sz w:val="24"/>
          <w:szCs w:val="24"/>
          <w:highlight w:val="none"/>
          <w:lang w:val="en-US" w:eastAsia="zh-CN" w:bidi="ar"/>
        </w:rPr>
        <w:t>乙方应向甲方支付</w:t>
      </w:r>
      <w:r>
        <w:rPr>
          <w:rFonts w:hint="eastAsia" w:ascii="楷体" w:hAnsi="楷体" w:eastAsia="楷体" w:cs="楷体"/>
          <w:color w:val="auto"/>
          <w:kern w:val="2"/>
          <w:sz w:val="24"/>
          <w:szCs w:val="24"/>
          <w:highlight w:val="none"/>
          <w:lang w:val="en-US" w:eastAsia="zh-CN" w:bidi="ar"/>
        </w:rPr>
        <w:t>当月结算总</w:t>
      </w:r>
      <w:r>
        <w:rPr>
          <w:rFonts w:hint="default" w:ascii="楷体" w:hAnsi="楷体" w:eastAsia="楷体" w:cs="楷体"/>
          <w:color w:val="auto"/>
          <w:kern w:val="2"/>
          <w:sz w:val="24"/>
          <w:szCs w:val="24"/>
          <w:highlight w:val="none"/>
          <w:lang w:val="en-US" w:eastAsia="zh-CN" w:bidi="ar"/>
        </w:rPr>
        <w:t>金额的2%的违约金并赔偿由此引起的甲方全部损失。</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eastAsia" w:ascii="楷体" w:hAnsi="楷体" w:eastAsia="楷体" w:cs="楷体"/>
          <w:color w:val="auto"/>
          <w:kern w:val="2"/>
          <w:sz w:val="24"/>
          <w:szCs w:val="24"/>
          <w:highlight w:val="none"/>
          <w:lang w:val="en-US" w:eastAsia="zh-CN" w:bidi="ar"/>
        </w:rPr>
        <w:t>3.</w:t>
      </w:r>
      <w:r>
        <w:rPr>
          <w:rFonts w:hint="default" w:ascii="楷体" w:hAnsi="楷体" w:eastAsia="楷体" w:cs="楷体"/>
          <w:color w:val="auto"/>
          <w:kern w:val="2"/>
          <w:sz w:val="24"/>
          <w:szCs w:val="24"/>
          <w:highlight w:val="none"/>
          <w:lang w:val="en-US" w:eastAsia="zh-CN" w:bidi="ar"/>
        </w:rPr>
        <w:t>如果乙方违反本合同约定的保密义务，乙方应向甲方支付相当于</w:t>
      </w:r>
      <w:r>
        <w:rPr>
          <w:rFonts w:hint="eastAsia" w:ascii="楷体" w:hAnsi="楷体" w:eastAsia="楷体" w:cs="楷体"/>
          <w:color w:val="auto"/>
          <w:kern w:val="2"/>
          <w:sz w:val="24"/>
          <w:szCs w:val="24"/>
          <w:highlight w:val="none"/>
          <w:lang w:val="en-US" w:eastAsia="zh-CN" w:bidi="ar"/>
        </w:rPr>
        <w:t>月结算总</w:t>
      </w:r>
      <w:r>
        <w:rPr>
          <w:rFonts w:hint="default" w:ascii="楷体" w:hAnsi="楷体" w:eastAsia="楷体" w:cs="楷体"/>
          <w:color w:val="auto"/>
          <w:kern w:val="2"/>
          <w:sz w:val="24"/>
          <w:szCs w:val="24"/>
          <w:highlight w:val="none"/>
          <w:lang w:val="en-US" w:eastAsia="zh-CN" w:bidi="ar"/>
        </w:rPr>
        <w:t>金额2%的违约金，甲方受到的损失超出违约金的部分，由乙方继续承担赔偿责任。</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eastAsia" w:ascii="楷体" w:hAnsi="楷体" w:eastAsia="楷体" w:cs="楷体"/>
          <w:color w:val="auto"/>
          <w:kern w:val="2"/>
          <w:sz w:val="24"/>
          <w:szCs w:val="24"/>
          <w:highlight w:val="none"/>
          <w:lang w:val="en-US" w:eastAsia="zh-CN" w:bidi="ar"/>
        </w:rPr>
      </w:pPr>
      <w:r>
        <w:rPr>
          <w:rFonts w:hint="eastAsia" w:ascii="楷体" w:hAnsi="楷体" w:eastAsia="楷体" w:cs="楷体"/>
          <w:color w:val="auto"/>
          <w:kern w:val="2"/>
          <w:sz w:val="24"/>
          <w:szCs w:val="24"/>
          <w:highlight w:val="none"/>
          <w:lang w:val="en-US" w:eastAsia="zh-CN" w:bidi="ar"/>
        </w:rPr>
        <w:t>4.</w:t>
      </w:r>
      <w:r>
        <w:rPr>
          <w:rFonts w:hint="default" w:ascii="楷体" w:hAnsi="楷体" w:eastAsia="楷体" w:cs="楷体"/>
          <w:color w:val="auto"/>
          <w:kern w:val="2"/>
          <w:sz w:val="24"/>
          <w:szCs w:val="24"/>
          <w:highlight w:val="none"/>
          <w:lang w:val="en-US" w:eastAsia="zh-CN" w:bidi="ar"/>
        </w:rPr>
        <w:t>除本合同的约定外，因乙方的违约行为给甲方造成损失的，乙方应向甲方支付相当于</w:t>
      </w:r>
      <w:r>
        <w:rPr>
          <w:rFonts w:hint="eastAsia" w:ascii="楷体" w:hAnsi="楷体" w:eastAsia="楷体" w:cs="楷体"/>
          <w:color w:val="auto"/>
          <w:kern w:val="2"/>
          <w:sz w:val="24"/>
          <w:szCs w:val="24"/>
          <w:highlight w:val="none"/>
          <w:lang w:val="en-US" w:eastAsia="zh-CN" w:bidi="ar"/>
        </w:rPr>
        <w:t>月结算总</w:t>
      </w:r>
      <w:r>
        <w:rPr>
          <w:rFonts w:hint="default" w:ascii="楷体" w:hAnsi="楷体" w:eastAsia="楷体" w:cs="楷体"/>
          <w:color w:val="auto"/>
          <w:kern w:val="2"/>
          <w:sz w:val="24"/>
          <w:szCs w:val="24"/>
          <w:highlight w:val="none"/>
          <w:lang w:val="en-US" w:eastAsia="zh-CN" w:bidi="ar"/>
        </w:rPr>
        <w:t>金额2%的违约金</w:t>
      </w:r>
      <w:r>
        <w:rPr>
          <w:rFonts w:hint="eastAsia" w:ascii="楷体" w:hAnsi="楷体" w:eastAsia="楷体" w:cs="楷体"/>
          <w:color w:val="auto"/>
          <w:kern w:val="2"/>
          <w:sz w:val="24"/>
          <w:szCs w:val="24"/>
          <w:highlight w:val="none"/>
          <w:lang w:val="en-US" w:eastAsia="zh-CN" w:bidi="ar"/>
        </w:rPr>
        <w:t>，</w:t>
      </w:r>
      <w:r>
        <w:rPr>
          <w:rFonts w:hint="default" w:ascii="楷体" w:hAnsi="楷体" w:eastAsia="楷体" w:cs="楷体"/>
          <w:color w:val="auto"/>
          <w:kern w:val="2"/>
          <w:sz w:val="24"/>
          <w:szCs w:val="24"/>
          <w:highlight w:val="none"/>
          <w:lang w:val="en-US" w:eastAsia="zh-CN" w:bidi="ar"/>
        </w:rPr>
        <w:t>如甲方受到的损失超过违约金的，超出部分由乙方继续承担赔偿责任。</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eastAsia" w:ascii="楷体" w:hAnsi="楷体" w:eastAsia="楷体" w:cs="楷体"/>
          <w:color w:val="auto"/>
          <w:kern w:val="2"/>
          <w:sz w:val="24"/>
          <w:szCs w:val="24"/>
          <w:highlight w:val="none"/>
          <w:lang w:val="en-US" w:eastAsia="zh-CN" w:bidi="ar"/>
        </w:rPr>
        <w:t>5.</w:t>
      </w:r>
      <w:r>
        <w:rPr>
          <w:rFonts w:hint="default" w:ascii="楷体" w:hAnsi="楷体" w:eastAsia="楷体" w:cs="楷体"/>
          <w:color w:val="auto"/>
          <w:kern w:val="2"/>
          <w:sz w:val="24"/>
          <w:szCs w:val="24"/>
          <w:highlight w:val="none"/>
          <w:lang w:val="en-US" w:eastAsia="zh-CN" w:bidi="ar"/>
        </w:rPr>
        <w:t>乙方中止合同，必须提前一个月通知甲方，待双方协商妥当后方可终止合同，若乙方单方面终止合同，属乙方违约。乙方应向甲方支付相当于</w:t>
      </w:r>
      <w:r>
        <w:rPr>
          <w:rFonts w:hint="eastAsia" w:ascii="楷体" w:hAnsi="楷体" w:eastAsia="楷体" w:cs="楷体"/>
          <w:color w:val="auto"/>
          <w:kern w:val="2"/>
          <w:sz w:val="24"/>
          <w:szCs w:val="24"/>
          <w:highlight w:val="none"/>
          <w:lang w:val="en-US" w:eastAsia="zh-CN" w:bidi="ar"/>
        </w:rPr>
        <w:t>月结算总</w:t>
      </w:r>
      <w:r>
        <w:rPr>
          <w:rFonts w:hint="default" w:ascii="楷体" w:hAnsi="楷体" w:eastAsia="楷体" w:cs="楷体"/>
          <w:color w:val="auto"/>
          <w:kern w:val="2"/>
          <w:sz w:val="24"/>
          <w:szCs w:val="24"/>
          <w:highlight w:val="none"/>
          <w:lang w:val="en-US" w:eastAsia="zh-CN" w:bidi="ar"/>
        </w:rPr>
        <w:t>金额2%的违约金</w:t>
      </w:r>
      <w:r>
        <w:rPr>
          <w:rFonts w:hint="eastAsia" w:ascii="楷体" w:hAnsi="楷体" w:eastAsia="楷体" w:cs="楷体"/>
          <w:color w:val="auto"/>
          <w:kern w:val="2"/>
          <w:sz w:val="24"/>
          <w:szCs w:val="24"/>
          <w:highlight w:val="none"/>
          <w:lang w:val="en-US" w:eastAsia="zh-CN" w:bidi="ar"/>
        </w:rPr>
        <w:t>。</w:t>
      </w:r>
    </w:p>
    <w:p>
      <w:pPr>
        <w:keepNext w:val="0"/>
        <w:keepLines w:val="0"/>
        <w:widowControl w:val="0"/>
        <w:suppressLineNumbers w:val="0"/>
        <w:spacing w:before="312" w:beforeLines="100" w:beforeAutospacing="0" w:after="312" w:afterLines="100" w:afterAutospacing="0" w:line="240" w:lineRule="auto"/>
        <w:ind w:left="0" w:right="0" w:firstLine="480" w:firstLineChars="200"/>
        <w:jc w:val="both"/>
        <w:rPr>
          <w:rFonts w:hint="default" w:ascii="楷体" w:hAnsi="楷体" w:eastAsia="楷体" w:cs="楷体"/>
          <w:color w:val="auto"/>
          <w:kern w:val="2"/>
          <w:sz w:val="24"/>
          <w:szCs w:val="24"/>
          <w:highlight w:val="none"/>
          <w:lang w:val="en-US" w:eastAsia="zh-CN" w:bidi="ar"/>
        </w:rPr>
      </w:pPr>
      <w:r>
        <w:rPr>
          <w:rFonts w:hint="default" w:ascii="楷体" w:hAnsi="楷体" w:eastAsia="楷体" w:cs="楷体"/>
          <w:color w:val="auto"/>
          <w:kern w:val="2"/>
          <w:sz w:val="24"/>
          <w:szCs w:val="24"/>
          <w:highlight w:val="none"/>
          <w:lang w:val="en-US" w:eastAsia="zh-CN" w:bidi="ar"/>
        </w:rPr>
        <w:t>（三）在合同有效期内，乙方送货质量有问题超过3次，甲方有权终止合同。</w:t>
      </w:r>
    </w:p>
    <w:p>
      <w:pPr>
        <w:pStyle w:val="2"/>
        <w:rPr>
          <w:rFonts w:hint="default"/>
          <w:color w:val="auto"/>
          <w:highlight w:val="none"/>
          <w:lang w:val="en-US" w:eastAsia="zh-CN"/>
        </w:rPr>
      </w:pPr>
      <w:r>
        <w:rPr>
          <w:rFonts w:hint="eastAsia" w:ascii="楷体" w:hAnsi="楷体" w:eastAsia="楷体" w:cs="楷体"/>
          <w:color w:val="auto"/>
          <w:kern w:val="2"/>
          <w:sz w:val="24"/>
          <w:szCs w:val="24"/>
          <w:highlight w:val="none"/>
          <w:lang w:val="en-US" w:eastAsia="zh-CN" w:bidi="ar"/>
        </w:rPr>
        <w:t xml:space="preserve">    （四）</w:t>
      </w:r>
      <w:r>
        <w:rPr>
          <w:rFonts w:hint="default" w:ascii="楷体" w:hAnsi="楷体" w:eastAsia="楷体" w:cs="楷体"/>
          <w:color w:val="auto"/>
          <w:kern w:val="2"/>
          <w:sz w:val="24"/>
          <w:szCs w:val="24"/>
          <w:highlight w:val="none"/>
          <w:lang w:val="en-US" w:eastAsia="zh-CN" w:bidi="ar"/>
        </w:rPr>
        <w:t>在合同有效期内</w:t>
      </w:r>
      <w:r>
        <w:rPr>
          <w:rFonts w:hint="eastAsia" w:ascii="楷体" w:hAnsi="楷体" w:eastAsia="楷体" w:cs="楷体"/>
          <w:color w:val="auto"/>
          <w:kern w:val="2"/>
          <w:sz w:val="24"/>
          <w:szCs w:val="24"/>
          <w:highlight w:val="none"/>
          <w:lang w:val="en-US" w:eastAsia="zh-CN" w:bidi="ar"/>
        </w:rPr>
        <w:t>，若乙方未参照泸县吉都汇百货超市同款货品单价的折扣价结算的，发现一次扣罚3000元，超过3次，甲方有权终止合同。</w:t>
      </w:r>
    </w:p>
    <w:p>
      <w:pPr>
        <w:rPr>
          <w:rFonts w:hint="eastAsia" w:ascii="楷体" w:hAnsi="楷体" w:eastAsia="楷体"/>
          <w:color w:val="auto"/>
          <w:highlight w:val="none"/>
        </w:rPr>
      </w:pPr>
      <w:r>
        <w:rPr>
          <w:rFonts w:hint="eastAsia" w:ascii="楷体" w:hAnsi="楷体" w:eastAsia="楷体"/>
          <w:color w:val="auto"/>
          <w:highlight w:val="none"/>
        </w:rPr>
        <w:br w:type="page"/>
      </w:r>
    </w:p>
    <w:p>
      <w:pPr>
        <w:keepNext w:val="0"/>
        <w:keepLines w:val="0"/>
        <w:widowControl w:val="0"/>
        <w:suppressLineNumbers w:val="0"/>
        <w:spacing w:before="312" w:beforeLines="100" w:beforeAutospacing="0" w:after="312" w:afterLines="100" w:afterAutospacing="0" w:line="300" w:lineRule="auto"/>
        <w:ind w:left="0" w:right="0"/>
        <w:jc w:val="left"/>
        <w:rPr>
          <w:rFonts w:hint="eastAsia" w:ascii="楷体" w:hAnsi="楷体" w:eastAsia="楷体" w:cs="楷体"/>
          <w:b/>
          <w:bCs/>
          <w:color w:val="auto"/>
          <w:spacing w:val="20"/>
          <w:kern w:val="2"/>
          <w:sz w:val="28"/>
          <w:szCs w:val="28"/>
          <w:highlight w:val="none"/>
          <w:lang w:val="en-US" w:eastAsia="zh-CN" w:bidi="ar"/>
        </w:rPr>
      </w:pPr>
      <w:r>
        <w:rPr>
          <w:rFonts w:hint="eastAsia" w:ascii="楷体" w:hAnsi="楷体" w:eastAsia="楷体" w:cs="楷体"/>
          <w:b/>
          <w:bCs/>
          <w:color w:val="auto"/>
          <w:spacing w:val="20"/>
          <w:kern w:val="2"/>
          <w:sz w:val="28"/>
          <w:szCs w:val="28"/>
          <w:highlight w:val="none"/>
          <w:lang w:val="en-US" w:eastAsia="zh-CN" w:bidi="ar"/>
        </w:rPr>
        <w:t>附件五</w:t>
      </w:r>
    </w:p>
    <w:p>
      <w:pPr>
        <w:keepNext w:val="0"/>
        <w:keepLines w:val="0"/>
        <w:widowControl w:val="0"/>
        <w:suppressLineNumbers w:val="0"/>
        <w:spacing w:before="312" w:beforeLines="100" w:beforeAutospacing="0" w:after="312" w:afterLines="100" w:afterAutospacing="0" w:line="300" w:lineRule="auto"/>
        <w:ind w:left="0" w:right="0"/>
        <w:jc w:val="center"/>
        <w:rPr>
          <w:rFonts w:hint="eastAsia" w:ascii="楷体" w:hAnsi="楷体" w:eastAsia="楷体" w:cs="楷体"/>
          <w:b/>
          <w:bCs/>
          <w:color w:val="auto"/>
          <w:spacing w:val="20"/>
          <w:sz w:val="28"/>
          <w:szCs w:val="28"/>
          <w:highlight w:val="none"/>
          <w:lang w:val="en-US"/>
        </w:rPr>
      </w:pPr>
      <w:r>
        <w:rPr>
          <w:rFonts w:hint="eastAsia" w:ascii="楷体" w:hAnsi="楷体" w:eastAsia="楷体" w:cs="楷体"/>
          <w:b/>
          <w:bCs/>
          <w:color w:val="auto"/>
          <w:spacing w:val="20"/>
          <w:kern w:val="2"/>
          <w:sz w:val="28"/>
          <w:szCs w:val="28"/>
          <w:highlight w:val="none"/>
          <w:lang w:val="en-US" w:eastAsia="zh-CN" w:bidi="ar"/>
        </w:rPr>
        <w:t>廉洁诚信协议</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第一条  总则</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1.1甲乙双方均应当严格遵守国家法律法规和甲方集中采购管理、供应商管理的相关要求，不从事任何违法违规违纪行为。坚持诚实守信原则，恪守商业道德和职业道德，规范商务人员廉洁从业行为。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1.2采取有效措施，约束双方及双方相关主体自觉履行廉洁从业义务，不得弄虚作假、串通操纵、损公肥私，防止商业贿赂、利益输送、关联交易等各种谋取不正当利益行为发生，维护好双方企业形象、产品品牌和合法权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1.3本协议所称相关主体，对任何一方而言，包括但不限于以下单位或者个人：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（1）一方或其关联方之工作人员；</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（2）受一方委托办理相关事务的单位或者个人；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（3）利用职权或者影响力影响交易的单位或者个人；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（4）前述相关人员的亲属；</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（5）与前述相关主体存在利害关系的其他单位或者人员。</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乙方相关主体实施违反本协议约定之行为的，均应视为乙方实施行为。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1.4一方监督发现对方相关主体在业务合作中存在违规行为的，应当及时提醒并有权向对方纪检部门举报。情节严重构成犯罪的，任何一方均有权向司法机关报案，追究相关单位或者人员的刑事责任。</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第二条  商业贿赂</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2.1本协议所称商业贿赂，是指乙方或乙方相关主体为获取或意图获取交易机会或者竞争优势，采用财物或者其他形式贿赂甲方或甲方相关主体的行为。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2.3本条第1款所称其他形式，包括但不限于：</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（1）以任何方式实施商业贿赂或违规提供回扣、折扣、宴请与游玩活动或其他不正当利益；</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（2）为甲方或甲方相关主体安排有可能影响公平、公正交易的宴请、健身、娱乐等活动；</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（3）为甲方或甲方相关主体投资入股、个人借款或买卖股票、债券等提供方便；</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（4）为甲方或甲方相关主体购买或装修住房、婚丧嫁娶、配偶子女上学或工作安排以及出国出境、旅游等提供方便；</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（5）违反规定为甲方或甲方相关主体在乙方相关企业工作、挂名兼职、合伙经营、介绍承揽业务等提供方便；</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（6）向甲方或甲方相关主体提供借款、融资、担保等；</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（7）给予或承诺给予其不正当利益的其他行为；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（8）其他违反国家法律法规或商业道德准则的影响公正交易的行为。</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第三条  回扣</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3.1本协议所称回扣，是指乙方促成合作时在账外暗中以现金、实物或者其他方式退给甲方或甲方相关主体一定比例的商品或服务价款。</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3.2本条第1款所称账外，是指未在依法设立的反映其生产经营活动或者行政事业经费收支的财务账上按照财务会计制度规定明确如实记载，包括不记入财务账、转入其他财务账或者做假账等。</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3.3乙方在账外暗中给予甲方相关主体回扣的，视为实施商业贿赂行为。</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第四条  折扣</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4.1本协议所称折扣，是指乙方在销售商品或提供服务时，以明示并如实入账的方式给予甲方的价格优惠，包括支付价款时对价款总额按一定比例即时予以扣除和支付价款总额后再按一定比例予以退还两种形式。</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4.2乙方提供的商品或服务，可以以明示方式给予甲方折扣。乙方给予甲方折扣的，必须在采购协议中予以明确并如实入账。</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4.3本条第1款所称如实入账，是指根据采购或合作协议约定的金额和支付方式，在依法设立的反映甲方生产经营活动收支的财务账上按照财务会计制度规定明确如实记载。</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4.4乙方违反本条约定的，视为实施商业贿赂行为。</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第五条  宴请与游玩活动</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5.2乙方不得为甲方相关主体提供各种形式的旅游、健身、KTV、酒吧、按摩、赌博、色情等娱乐休闲活动。</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5.3乙方违反本条约定的，视为实施商业贿赂行为。</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第六条  禁止行为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双方一致同意双方或双方相关主体的如下行为是应当禁止的营私舞弊或腐败行为：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6.1甲方及甲方相关主体向乙方索要或收受财物或其他形式的财产性利益、非财产性利益。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6.2乙方及乙方相关主体向甲方或甲方相关主体提供财物或其他形式的财产性利益、非财产性利益，包括但不限于：</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（1）报销甲方相关主体的私人费用；</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（2）提供超过宴请标准的宴请或娱乐活动；</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（3）介绍甲方相关主体亲友到乙方处工作；</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（4）提出、邀请或事实上接受甲方相关主体在乙方参股或参与乙方经营活动；</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（5）组织或向甲方相关主体提供旅游等代偿活动利益；</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（6）向甲方相关主体提供借款、融资、担保等；</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（7）给予或承诺给予甲方相关主体不正当利益的其他行为；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（8）其他违反本协议约定、国家法律法规或商业道德准则的影响公正交易的行为。</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第七条  乙方承诺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乙方承诺在双方的商务接洽、合同关系、交易过程中遵守如下要求：</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7.1 避免利害关系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7.2 恪守廉洁自律原则</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7.2.1不以任何方式实施本协议所述的商业贿赂行为、营私舞弊或腐败行为等禁止行为，也不会以任何方式向甲方或甲方相关主体索要金钱、实物等不正当利益，或收受甲方或甲方相关主体给予的金钱、实物等不正当利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7.2.2支持甲方的廉洁诚信建设，承诺承担实名举报的义务，若乙方或乙方相关主体对甲方或甲方相关主体的索贿行为不拒绝、不申报，并满足其要求的，则该行为视同乙方实施商业贿赂行为。</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7.3 恪守诚实信用原则</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7.3.2严格遵守向甲方做出的承诺、双方签署的合同、协议和备忘录等，确保产品质量和服务质量，不隐瞒任何可能对甲方利益造成影响的信息，积极配合甲方的审计。</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7.3.3严格遵守甲方的供应商行为准则、合作协议、保密承诺书等政策文件中的相关规定。</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7.3.4严格遵守甲方的品牌管理的相关规定，未经甲方授权不擅自使用甲方字样、授权合作伙伴等类似容易对外产生混淆的字样。</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7.3.5严格遵守国家相关法律法规及甲方的管理规定，不参与任何违法活动。</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7.3.6承诺实事求是，不对内部或社会传递任何虚假信息，严格遵守保密协议，不透露任何甲方的商业机密。</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7.3.7未经甲方同意，不向任何新闻媒体、第三方述及有关甲方工作人员恪守商业道德方面的评价、信息。</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7.4 确保信息公开透明</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7.4.1主动向甲方披露与采购项目相关的信息，包括乙方真实情况、产品价格、技术参数、服务团队信息、履约情况等。</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7.4.2不利用非法手段向甲方及甲方相关主体打探有关涉及甲方及甲方相关主体的商业秘密、人员信息、采购信息等。</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7.5 积极配合监督举报</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7.5.2如乙方有知悉或怀疑甲方相关主体有违反上述约定的，应及时采取措施并有权向甲方纪检部门举报。甲方会对所有信息提供者及所提供的全部资料严格保密。</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7.6 加强内部廉洁管理</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7.6.1加强内部管理：加强对员工的廉洁教育和培训，提高员工的道德素质和法律意识，建立健全内部管理制度，确保员工行为的合规性和廉洁性。</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7.6.2设立监督机制：通过专门的监督机构或人员，对乙方的业务活动进行实时监督，确保员工行为的合规性。</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7.6.3建立举报制度：鼓励员工积极举报违规行为，对举报人予以保护并给予奖励。</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第八条  违约责任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8.1若甲方人员违反本协议第六条规定的，按照甲方内部管理权限，依据有关法律和规定给予处分或组织处理，涉嫌犯罪的，移交司法机关追究刑事责任。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8.2如乙方违反本协议任何约定或承诺，甲方有权依据甲方采购管理、供应商管理和采购文件相关要求，对乙方进行严肃处理，相关处罚结果记入供应商诚信档案。</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8.3 如乙方违反本协议任何约定或承诺，</w:t>
      </w:r>
      <w:r>
        <w:rPr>
          <w:rFonts w:hint="eastAsia" w:ascii="楷体" w:hAnsi="楷体" w:eastAsia="楷体" w:cs="楷体"/>
          <w:b/>
          <w:bCs/>
          <w:color w:val="auto"/>
          <w:kern w:val="2"/>
          <w:sz w:val="24"/>
          <w:szCs w:val="24"/>
          <w:highlight w:val="none"/>
          <w:lang w:val="en-US" w:eastAsia="zh-CN" w:bidi="ar"/>
        </w:rPr>
        <w:t>甲方及甲方子公司有权根据情节严重程度选择单方全面终止与乙方的合同及合作，且无需承担任何责任。乙方给甲方造成损失的，甲方有权要求乙方承担全部赔偿责任。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8.4</w:t>
      </w:r>
      <w:r>
        <w:rPr>
          <w:rFonts w:hint="eastAsia" w:ascii="楷体" w:hAnsi="楷体" w:eastAsia="楷体" w:cs="楷体"/>
          <w:b/>
          <w:bCs/>
          <w:color w:val="auto"/>
          <w:kern w:val="2"/>
          <w:sz w:val="24"/>
          <w:szCs w:val="24"/>
          <w:highlight w:val="none"/>
          <w:lang w:val="en-US" w:eastAsia="zh-CN" w:bidi="ar"/>
        </w:rPr>
        <w:t>甲方及甲方子公司按照前述条款要求乙方承担赔偿责任的，</w:t>
      </w:r>
      <w:r>
        <w:rPr>
          <w:rFonts w:hint="eastAsia" w:ascii="楷体" w:hAnsi="楷体" w:eastAsia="楷体" w:cs="楷体"/>
          <w:color w:val="auto"/>
          <w:kern w:val="2"/>
          <w:sz w:val="24"/>
          <w:szCs w:val="24"/>
          <w:highlight w:val="none"/>
          <w:lang w:val="en-US" w:eastAsia="zh-CN" w:bidi="ar"/>
        </w:rPr>
        <w:t>乙方应于甲方发出赔偿通知之日起【10】个工作日内支付，如未及时支付，甲方及甲方子公司有权从主合同款项中直接扣除。</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8.5乙方知悉并同意，对于上述情形的处理甲方有完全的判断权和自主权。</w:t>
      </w:r>
    </w:p>
    <w:p>
      <w:pPr>
        <w:keepNext w:val="0"/>
        <w:keepLines w:val="0"/>
        <w:widowControl w:val="0"/>
        <w:suppressLineNumbers w:val="0"/>
        <w:spacing w:before="312" w:beforeLines="100" w:beforeAutospacing="0" w:after="312" w:afterLines="100" w:afterAutospacing="0" w:line="300" w:lineRule="auto"/>
        <w:ind w:left="0" w:right="0" w:firstLine="482" w:firstLineChars="200"/>
        <w:jc w:val="both"/>
        <w:rPr>
          <w:rFonts w:hint="eastAsia" w:ascii="楷体" w:hAnsi="楷体" w:eastAsia="楷体" w:cs="楷体"/>
          <w:b/>
          <w:bCs/>
          <w:color w:val="auto"/>
          <w:sz w:val="24"/>
          <w:szCs w:val="24"/>
          <w:highlight w:val="none"/>
          <w:lang w:val="en-US"/>
        </w:rPr>
      </w:pPr>
      <w:r>
        <w:rPr>
          <w:rFonts w:hint="eastAsia" w:ascii="楷体" w:hAnsi="楷体" w:eastAsia="楷体" w:cs="楷体"/>
          <w:b/>
          <w:bCs/>
          <w:color w:val="auto"/>
          <w:kern w:val="2"/>
          <w:sz w:val="24"/>
          <w:szCs w:val="24"/>
          <w:highlight w:val="none"/>
          <w:lang w:val="en-US" w:eastAsia="zh-CN" w:bidi="ar"/>
        </w:rPr>
        <w:t>第九条  附则</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9.1本协议的标题及各条款的标题仅为检索方便而设置，具体内容应当以各条款的具体规定为准，而不应参考该标题进行解释。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9.4本协议未尽事宜以双方签订的主合同为准。本协议与主合同约定不一致的，根据约定内容对双方提出的廉洁诚信要求，以较为严格的约定为准。若双方未签订主合同或主合同终止、解除的，本协议应独立执行。</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color w:val="auto"/>
          <w:sz w:val="24"/>
          <w:szCs w:val="24"/>
          <w:highlight w:val="none"/>
          <w:lang w:val="en-US"/>
        </w:rPr>
      </w:pPr>
      <w:r>
        <w:rPr>
          <w:rFonts w:hint="eastAsia" w:ascii="楷体" w:hAnsi="楷体" w:eastAsia="楷体" w:cs="楷体"/>
          <w:color w:val="auto"/>
          <w:kern w:val="2"/>
          <w:sz w:val="24"/>
          <w:szCs w:val="24"/>
          <w:highlight w:val="none"/>
          <w:lang w:val="en-US" w:eastAsia="zh-CN" w:bidi="ar"/>
        </w:rPr>
        <w:t>9.5本协议长期有效。</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default"/>
          <w:color w:val="auto"/>
          <w:highlight w:val="none"/>
          <w:lang w:val="en-US" w:eastAsia="zh-CN"/>
        </w:rPr>
      </w:pPr>
    </w:p>
    <w:p>
      <w:pPr>
        <w:pStyle w:val="2"/>
        <w:rPr>
          <w:rFonts w:hint="eastAsia"/>
          <w:color w:val="auto"/>
          <w:highlight w:val="none"/>
          <w:lang w:eastAsia="zh-CN"/>
        </w:rPr>
      </w:pPr>
    </w:p>
    <w:p>
      <w:pPr>
        <w:pStyle w:val="2"/>
        <w:rPr>
          <w:rFonts w:hint="eastAsia" w:ascii="宋体" w:hAnsi="宋体" w:eastAsia="宋体" w:cs="宋体"/>
          <w:color w:val="auto"/>
          <w:sz w:val="28"/>
          <w:szCs w:val="28"/>
          <w:highlight w:val="none"/>
          <w:lang w:eastAsia="zh-CN"/>
        </w:rPr>
      </w:pPr>
    </w:p>
    <w:p>
      <w:pPr>
        <w:rPr>
          <w:rFonts w:hint="eastAsia" w:ascii="宋体" w:hAnsi="宋体" w:eastAsia="宋体" w:cs="宋体"/>
          <w:color w:val="auto"/>
          <w:sz w:val="28"/>
          <w:szCs w:val="28"/>
          <w:highlight w:val="none"/>
          <w:lang w:eastAsia="zh-CN"/>
        </w:rPr>
      </w:pPr>
    </w:p>
    <w:p>
      <w:pPr>
        <w:pStyle w:val="2"/>
        <w:rPr>
          <w:rFonts w:hint="eastAsia" w:ascii="宋体" w:hAnsi="宋体" w:eastAsia="宋体" w:cs="宋体"/>
          <w:color w:val="auto"/>
          <w:sz w:val="28"/>
          <w:szCs w:val="28"/>
          <w:highlight w:val="none"/>
          <w:lang w:eastAsia="zh-CN"/>
        </w:rPr>
      </w:pPr>
    </w:p>
    <w:bookmarkEnd w:id="109"/>
    <w:p>
      <w:pPr>
        <w:pStyle w:val="3"/>
        <w:pageBreakBefore/>
        <w:ind w:left="0" w:firstLine="3064" w:firstLineChars="1090"/>
        <w:jc w:val="left"/>
        <w:rPr>
          <w:rFonts w:ascii="仿宋_GB2312" w:hAnsi="宋体" w:eastAsia="仿宋_GB2312"/>
          <w:color w:val="auto"/>
          <w:sz w:val="28"/>
          <w:szCs w:val="28"/>
          <w:highlight w:val="none"/>
        </w:rPr>
      </w:pPr>
      <w:bookmarkStart w:id="125" w:name="_Toc4181"/>
      <w:bookmarkStart w:id="126" w:name="_Toc26546"/>
      <w:bookmarkStart w:id="127" w:name="_Toc7665"/>
      <w:bookmarkStart w:id="128" w:name="_Toc13880"/>
      <w:bookmarkStart w:id="129" w:name="_Toc15990"/>
      <w:r>
        <w:rPr>
          <w:rFonts w:hint="eastAsia" w:ascii="仿宋_GB2312" w:hAnsi="宋体" w:eastAsia="仿宋_GB2312"/>
          <w:color w:val="auto"/>
          <w:sz w:val="28"/>
          <w:szCs w:val="28"/>
          <w:highlight w:val="none"/>
        </w:rPr>
        <w:t>第五章 采购</w:t>
      </w:r>
      <w:bookmarkEnd w:id="125"/>
      <w:r>
        <w:rPr>
          <w:rFonts w:hint="eastAsia" w:ascii="仿宋_GB2312" w:hAnsi="宋体" w:eastAsia="仿宋_GB2312"/>
          <w:color w:val="auto"/>
          <w:sz w:val="28"/>
          <w:szCs w:val="28"/>
          <w:highlight w:val="none"/>
        </w:rPr>
        <w:t>需求</w:t>
      </w:r>
      <w:bookmarkEnd w:id="126"/>
      <w:bookmarkEnd w:id="127"/>
      <w:bookmarkEnd w:id="128"/>
      <w:bookmarkEnd w:id="129"/>
    </w:p>
    <w:p>
      <w:pPr>
        <w:pStyle w:val="51"/>
        <w:numPr>
          <w:ilvl w:val="0"/>
          <w:numId w:val="5"/>
        </w:numPr>
        <w:spacing w:line="360" w:lineRule="auto"/>
        <w:ind w:firstLineChars="0"/>
        <w:outlineLvl w:val="1"/>
        <w:rPr>
          <w:rFonts w:ascii="楷体" w:hAnsi="楷体" w:eastAsia="楷体" w:cs="仿宋_GB2312"/>
          <w:i w:val="0"/>
          <w:iCs/>
          <w:color w:val="auto"/>
          <w:sz w:val="24"/>
          <w:szCs w:val="40"/>
          <w:highlight w:val="none"/>
        </w:rPr>
      </w:pPr>
      <w:bookmarkStart w:id="130" w:name="_Toc31298"/>
      <w:bookmarkStart w:id="131" w:name="_Toc20239"/>
      <w:bookmarkStart w:id="132" w:name="_Toc8645"/>
      <w:bookmarkStart w:id="133" w:name="_Toc16115"/>
      <w:r>
        <w:rPr>
          <w:rFonts w:ascii="楷体" w:hAnsi="楷体" w:eastAsia="楷体" w:cs="仿宋_GB2312"/>
          <w:i w:val="0"/>
          <w:iCs/>
          <w:color w:val="auto"/>
          <w:sz w:val="24"/>
          <w:szCs w:val="40"/>
          <w:highlight w:val="none"/>
        </w:rPr>
        <w:t>采购项目背景</w:t>
      </w:r>
      <w:bookmarkEnd w:id="130"/>
      <w:bookmarkEnd w:id="131"/>
      <w:bookmarkEnd w:id="132"/>
      <w:bookmarkEnd w:id="133"/>
    </w:p>
    <w:p>
      <w:pPr>
        <w:pStyle w:val="2"/>
        <w:rPr>
          <w:rFonts w:hint="eastAsia" w:ascii="楷体" w:hAnsi="楷体" w:eastAsia="楷体" w:cs="楷体"/>
          <w:color w:val="auto"/>
          <w:sz w:val="24"/>
          <w:szCs w:val="24"/>
          <w:highlight w:val="none"/>
          <w:lang w:val="en-US" w:eastAsia="zh-CN"/>
        </w:rPr>
      </w:pPr>
      <w:r>
        <w:rPr>
          <w:rFonts w:hint="eastAsia"/>
          <w:color w:val="auto"/>
          <w:highlight w:val="none"/>
        </w:rPr>
        <w:t xml:space="preserve"> </w:t>
      </w:r>
      <w:r>
        <w:rPr>
          <w:color w:val="auto"/>
          <w:highlight w:val="none"/>
        </w:rPr>
        <w:t xml:space="preserve"> </w:t>
      </w:r>
      <w:r>
        <w:rPr>
          <w:rFonts w:hint="eastAsia" w:ascii="楷体" w:hAnsi="楷体" w:eastAsia="楷体" w:cs="楷体"/>
          <w:color w:val="auto"/>
          <w:highlight w:val="none"/>
        </w:rPr>
        <w:t xml:space="preserve">  </w:t>
      </w:r>
      <w:r>
        <w:rPr>
          <w:rFonts w:hint="eastAsia" w:ascii="楷体" w:hAnsi="楷体" w:eastAsia="楷体" w:cs="楷体"/>
          <w:color w:val="auto"/>
          <w:sz w:val="24"/>
          <w:szCs w:val="24"/>
          <w:highlight w:val="none"/>
          <w:lang w:val="en-US" w:eastAsia="zh-CN"/>
        </w:rPr>
        <w:t>为满足我司员工工作日正常就餐的需求，同时也为了确保食品安全和员工的身体健康，此次采购拟选择一家有资质的供应商为我司食堂提供早餐和午餐的食材物资。包含蔬菜类、水产类、肉制品类、粮油类、蛋类、调料干货类、耗材类（如洗洁精、碗筷、油污清洁剂）等。</w:t>
      </w:r>
    </w:p>
    <w:p>
      <w:pPr>
        <w:pStyle w:val="51"/>
        <w:numPr>
          <w:ilvl w:val="0"/>
          <w:numId w:val="5"/>
        </w:numPr>
        <w:spacing w:line="360" w:lineRule="auto"/>
        <w:ind w:firstLineChars="0"/>
        <w:outlineLvl w:val="1"/>
        <w:rPr>
          <w:rFonts w:ascii="楷体" w:hAnsi="楷体" w:eastAsia="楷体" w:cs="仿宋_GB2312"/>
          <w:i w:val="0"/>
          <w:iCs/>
          <w:color w:val="auto"/>
          <w:sz w:val="24"/>
          <w:szCs w:val="40"/>
          <w:highlight w:val="none"/>
        </w:rPr>
      </w:pPr>
      <w:bookmarkStart w:id="134" w:name="_Toc13209"/>
      <w:bookmarkStart w:id="135" w:name="_Toc26203"/>
      <w:bookmarkStart w:id="136" w:name="_Toc15416"/>
      <w:bookmarkStart w:id="137" w:name="_Toc17259"/>
      <w:r>
        <w:rPr>
          <w:rFonts w:ascii="楷体" w:hAnsi="楷体" w:eastAsia="楷体" w:cs="仿宋_GB2312"/>
          <w:i w:val="0"/>
          <w:iCs/>
          <w:color w:val="auto"/>
          <w:sz w:val="24"/>
          <w:szCs w:val="40"/>
          <w:highlight w:val="none"/>
        </w:rPr>
        <w:t>采购内容</w:t>
      </w:r>
      <w:bookmarkEnd w:id="134"/>
      <w:bookmarkEnd w:id="135"/>
      <w:bookmarkEnd w:id="136"/>
      <w:bookmarkEnd w:id="137"/>
    </w:p>
    <w:p>
      <w:pPr>
        <w:spacing w:line="560" w:lineRule="exact"/>
        <w:ind w:firstLine="480" w:firstLineChars="200"/>
        <w:rPr>
          <w:rFonts w:ascii="楷体" w:hAnsi="楷体" w:eastAsia="楷体" w:cs="仿宋_GB2312"/>
          <w:i w:val="0"/>
          <w:iCs/>
          <w:color w:val="auto"/>
          <w:sz w:val="24"/>
          <w:szCs w:val="40"/>
          <w:highlight w:val="none"/>
        </w:rPr>
      </w:pPr>
      <w:r>
        <w:rPr>
          <w:rFonts w:hint="eastAsia" w:ascii="楷体" w:hAnsi="楷体" w:eastAsia="楷体" w:cs="楷体"/>
          <w:color w:val="auto"/>
          <w:sz w:val="24"/>
          <w:szCs w:val="24"/>
          <w:highlight w:val="none"/>
          <w:lang w:val="en-US" w:eastAsia="zh-CN" w:bidi="ar-SA"/>
        </w:rPr>
        <w:t>此次采购拟选择一家有资质的供应商为我司食堂提供食材物资。包含蔬菜类、水产类、肉制品类、粮油类、蛋类、调料干货类、耗材类（如洗洁精、碗筷、油污清洁剂）等，项目拟采购2年期服务。</w:t>
      </w:r>
    </w:p>
    <w:p>
      <w:pPr>
        <w:pStyle w:val="51"/>
        <w:numPr>
          <w:ilvl w:val="0"/>
          <w:numId w:val="5"/>
        </w:numPr>
        <w:spacing w:line="360" w:lineRule="auto"/>
        <w:ind w:firstLineChars="0"/>
        <w:outlineLvl w:val="1"/>
        <w:rPr>
          <w:rFonts w:ascii="楷体" w:hAnsi="楷体" w:eastAsia="楷体" w:cs="仿宋_GB2312"/>
          <w:i w:val="0"/>
          <w:iCs/>
          <w:color w:val="auto"/>
          <w:sz w:val="24"/>
          <w:szCs w:val="40"/>
          <w:highlight w:val="none"/>
        </w:rPr>
      </w:pPr>
      <w:bookmarkStart w:id="138" w:name="_Toc14820"/>
      <w:bookmarkStart w:id="139" w:name="_Toc22122"/>
      <w:bookmarkStart w:id="140" w:name="_Toc266"/>
      <w:bookmarkStart w:id="141" w:name="_Toc19509"/>
      <w:r>
        <w:rPr>
          <w:rFonts w:hint="eastAsia" w:ascii="楷体" w:hAnsi="楷体" w:eastAsia="楷体" w:cs="仿宋_GB2312"/>
          <w:i w:val="0"/>
          <w:iCs/>
          <w:color w:val="auto"/>
          <w:sz w:val="24"/>
          <w:szCs w:val="40"/>
          <w:highlight w:val="none"/>
        </w:rPr>
        <w:t>采购数量</w:t>
      </w:r>
      <w:bookmarkEnd w:id="138"/>
      <w:bookmarkEnd w:id="139"/>
      <w:bookmarkEnd w:id="140"/>
      <w:bookmarkEnd w:id="141"/>
    </w:p>
    <w:p>
      <w:pPr>
        <w:pStyle w:val="2"/>
        <w:ind w:firstLine="480" w:firstLineChars="200"/>
        <w:rPr>
          <w:rFonts w:hint="eastAsia" w:ascii="楷体" w:hAnsi="楷体" w:eastAsia="楷体" w:cs="楷体"/>
          <w:color w:val="auto"/>
          <w:sz w:val="24"/>
          <w:szCs w:val="24"/>
          <w:highlight w:val="none"/>
          <w:lang w:val="en-US" w:eastAsia="zh-CN" w:bidi="ar-SA"/>
        </w:rPr>
      </w:pPr>
      <w:bookmarkStart w:id="142" w:name="_Toc27865"/>
      <w:bookmarkStart w:id="143" w:name="_Toc11709"/>
      <w:bookmarkStart w:id="144" w:name="_Toc24167"/>
      <w:r>
        <w:rPr>
          <w:rFonts w:hint="eastAsia" w:ascii="楷体" w:hAnsi="楷体" w:eastAsia="楷体" w:cs="楷体"/>
          <w:color w:val="auto"/>
          <w:sz w:val="24"/>
          <w:szCs w:val="24"/>
          <w:highlight w:val="none"/>
          <w:lang w:val="en-US" w:eastAsia="zh-CN" w:bidi="ar-SA"/>
        </w:rPr>
        <w:t>本次采购预算约为37.74万元，具体费用将根据实际就餐人数结算。</w:t>
      </w:r>
    </w:p>
    <w:p>
      <w:pPr>
        <w:pStyle w:val="51"/>
        <w:numPr>
          <w:ilvl w:val="0"/>
          <w:numId w:val="5"/>
        </w:numPr>
        <w:spacing w:line="360" w:lineRule="auto"/>
        <w:ind w:firstLineChars="0"/>
        <w:outlineLvl w:val="1"/>
        <w:rPr>
          <w:rFonts w:hint="eastAsia" w:ascii="楷体" w:hAnsi="楷体" w:eastAsia="楷体" w:cs="仿宋_GB2312"/>
          <w:i w:val="0"/>
          <w:iCs/>
          <w:color w:val="auto"/>
          <w:sz w:val="24"/>
          <w:szCs w:val="40"/>
          <w:highlight w:val="none"/>
        </w:rPr>
      </w:pPr>
      <w:bookmarkStart w:id="145" w:name="_Toc14133"/>
      <w:r>
        <w:rPr>
          <w:rFonts w:hint="eastAsia" w:ascii="楷体" w:hAnsi="楷体" w:eastAsia="楷体" w:cs="仿宋_GB2312"/>
          <w:i w:val="0"/>
          <w:iCs/>
          <w:color w:val="auto"/>
          <w:sz w:val="24"/>
          <w:szCs w:val="40"/>
          <w:highlight w:val="none"/>
        </w:rPr>
        <w:t>付款方式</w:t>
      </w:r>
      <w:bookmarkEnd w:id="142"/>
      <w:bookmarkEnd w:id="143"/>
      <w:bookmarkEnd w:id="144"/>
      <w:bookmarkEnd w:id="145"/>
    </w:p>
    <w:p>
      <w:pPr>
        <w:pStyle w:val="51"/>
        <w:numPr>
          <w:ilvl w:val="0"/>
          <w:numId w:val="0"/>
        </w:numPr>
        <w:spacing w:line="360" w:lineRule="auto"/>
        <w:ind w:firstLine="480" w:firstLineChars="200"/>
        <w:outlineLvl w:val="1"/>
        <w:rPr>
          <w:rFonts w:hint="eastAsia" w:ascii="Times New Roman" w:hAnsi="Times New Roman" w:eastAsia="楷体" w:cs="Times New Roman"/>
          <w:i w:val="0"/>
          <w:iCs w:val="0"/>
          <w:color w:val="auto"/>
          <w:szCs w:val="32"/>
          <w:highlight w:val="none"/>
          <w:lang w:val="en-US" w:eastAsia="zh-CN"/>
        </w:rPr>
      </w:pPr>
      <w:bookmarkStart w:id="146" w:name="_Toc26008"/>
      <w:bookmarkStart w:id="147" w:name="_Toc18145"/>
      <w:bookmarkStart w:id="148" w:name="_Toc3985"/>
      <w:r>
        <w:rPr>
          <w:rFonts w:hint="eastAsia" w:ascii="Times New Roman" w:hAnsi="Times New Roman" w:eastAsia="楷体" w:cs="Times New Roman"/>
          <w:i w:val="0"/>
          <w:iCs w:val="0"/>
          <w:color w:val="auto"/>
          <w:szCs w:val="32"/>
          <w:highlight w:val="none"/>
          <w:lang w:val="en-US" w:eastAsia="zh-CN"/>
        </w:rPr>
        <w:t>每月25日左右由乙方开具合法、真实、有效的增值税发票给甲方，甲方收到审查合格的包含发票等结算资料后于15个工作日内转账支付给乙方。</w:t>
      </w:r>
      <w:bookmarkEnd w:id="146"/>
      <w:bookmarkEnd w:id="147"/>
      <w:bookmarkEnd w:id="148"/>
    </w:p>
    <w:p>
      <w:pPr>
        <w:pStyle w:val="2"/>
        <w:keepNext w:val="0"/>
        <w:keepLines w:val="0"/>
        <w:pageBreakBefore w:val="0"/>
        <w:widowControl/>
        <w:numPr>
          <w:ilvl w:val="0"/>
          <w:numId w:val="6"/>
        </w:numPr>
        <w:kinsoku/>
        <w:wordWrap/>
        <w:overflowPunct/>
        <w:topLinePunct w:val="0"/>
        <w:autoSpaceDE/>
        <w:autoSpaceDN/>
        <w:bidi w:val="0"/>
        <w:adjustRightInd/>
        <w:snapToGrid/>
        <w:spacing w:line="360" w:lineRule="auto"/>
        <w:ind w:firstLine="480"/>
        <w:textAlignment w:val="auto"/>
        <w:rPr>
          <w:rFonts w:hint="eastAsia" w:ascii="楷体" w:hAnsi="楷体" w:eastAsia="楷体" w:cs="仿宋_GB2312"/>
          <w:i w:val="0"/>
          <w:iCs/>
          <w:color w:val="auto"/>
          <w:kern w:val="2"/>
          <w:sz w:val="24"/>
          <w:szCs w:val="40"/>
          <w:highlight w:val="none"/>
          <w:lang w:val="en-US" w:eastAsia="zh-CN" w:bidi="ar-SA"/>
        </w:rPr>
      </w:pPr>
      <w:r>
        <w:rPr>
          <w:rFonts w:hint="eastAsia" w:ascii="楷体" w:hAnsi="楷体" w:eastAsia="楷体" w:cs="仿宋_GB2312"/>
          <w:i w:val="0"/>
          <w:iCs/>
          <w:color w:val="auto"/>
          <w:kern w:val="2"/>
          <w:sz w:val="24"/>
          <w:szCs w:val="40"/>
          <w:highlight w:val="none"/>
          <w:lang w:val="en-US" w:eastAsia="zh-CN" w:bidi="ar-SA"/>
        </w:rPr>
        <w:t>采购要求</w:t>
      </w:r>
    </w:p>
    <w:p>
      <w:pPr>
        <w:pStyle w:val="2"/>
        <w:keepNext w:val="0"/>
        <w:keepLines w:val="0"/>
        <w:pageBreakBefore w:val="0"/>
        <w:widowControl/>
        <w:numPr>
          <w:ilvl w:val="0"/>
          <w:numId w:val="0"/>
        </w:numPr>
        <w:kinsoku/>
        <w:wordWrap/>
        <w:overflowPunct/>
        <w:topLinePunct w:val="0"/>
        <w:autoSpaceDE/>
        <w:autoSpaceDN/>
        <w:bidi w:val="0"/>
        <w:adjustRightInd/>
        <w:snapToGrid/>
        <w:spacing w:line="360" w:lineRule="auto"/>
        <w:ind w:firstLine="720" w:firstLineChars="300"/>
        <w:textAlignment w:val="auto"/>
        <w:rPr>
          <w:rFonts w:hint="eastAsia" w:ascii="楷体" w:hAnsi="楷体" w:eastAsia="楷体" w:cs="楷体"/>
          <w:color w:val="auto"/>
          <w:kern w:val="2"/>
          <w:sz w:val="24"/>
          <w:szCs w:val="24"/>
          <w:highlight w:val="none"/>
          <w:lang w:val="en-US" w:eastAsia="zh-CN" w:bidi="ar-SA"/>
        </w:rPr>
      </w:pPr>
      <w:r>
        <w:rPr>
          <w:rFonts w:hint="eastAsia" w:ascii="楷体" w:hAnsi="楷体" w:eastAsia="楷体" w:cs="楷体"/>
          <w:color w:val="auto"/>
          <w:kern w:val="2"/>
          <w:sz w:val="24"/>
          <w:szCs w:val="24"/>
          <w:highlight w:val="none"/>
          <w:lang w:val="en-US" w:eastAsia="zh-CN" w:bidi="ar-SA"/>
        </w:rPr>
        <w:t>★本项目禁止转包分包。</w:t>
      </w:r>
    </w:p>
    <w:p>
      <w:pPr>
        <w:rPr>
          <w:rFonts w:hint="default"/>
          <w:color w:val="auto"/>
          <w:highlight w:val="none"/>
          <w:lang w:val="en-US" w:eastAsia="zh-CN"/>
        </w:rPr>
      </w:pPr>
    </w:p>
    <w:p>
      <w:pPr>
        <w:pStyle w:val="2"/>
        <w:rPr>
          <w:color w:val="auto"/>
          <w:highlight w:val="none"/>
        </w:rPr>
      </w:pPr>
    </w:p>
    <w:p>
      <w:pPr>
        <w:pStyle w:val="2"/>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rPr>
          <w:color w:val="auto"/>
          <w:highlight w:val="none"/>
        </w:rPr>
      </w:pPr>
    </w:p>
    <w:p>
      <w:pPr>
        <w:pStyle w:val="2"/>
        <w:rPr>
          <w:color w:val="auto"/>
          <w:highlight w:val="none"/>
        </w:rPr>
      </w:pPr>
    </w:p>
    <w:p>
      <w:pPr>
        <w:pStyle w:val="2"/>
        <w:rPr>
          <w:color w:val="auto"/>
          <w:highlight w:val="none"/>
        </w:rPr>
      </w:pPr>
    </w:p>
    <w:p>
      <w:pPr>
        <w:pStyle w:val="3"/>
        <w:spacing w:before="0" w:after="0"/>
        <w:jc w:val="left"/>
        <w:rPr>
          <w:rFonts w:ascii="仿宋" w:hAnsi="仿宋" w:eastAsia="仿宋" w:cs="仿宋"/>
          <w:color w:val="auto"/>
          <w:sz w:val="28"/>
          <w:szCs w:val="28"/>
          <w:highlight w:val="none"/>
        </w:rPr>
      </w:pPr>
      <w:bookmarkStart w:id="149" w:name="_Toc3675"/>
      <w:bookmarkStart w:id="150" w:name="_Toc32278"/>
      <w:bookmarkStart w:id="151" w:name="_Toc9891"/>
      <w:r>
        <w:rPr>
          <w:rFonts w:hint="eastAsia" w:ascii="仿宋" w:hAnsi="仿宋" w:eastAsia="仿宋" w:cs="仿宋"/>
          <w:color w:val="auto"/>
          <w:sz w:val="28"/>
          <w:szCs w:val="28"/>
          <w:highlight w:val="none"/>
        </w:rPr>
        <w:t>第六章 响应文件格式</w:t>
      </w:r>
      <w:bookmarkEnd w:id="149"/>
      <w:bookmarkEnd w:id="150"/>
    </w:p>
    <w:p>
      <w:pPr>
        <w:spacing w:line="360" w:lineRule="auto"/>
        <w:rPr>
          <w:rFonts w:ascii="仿宋" w:hAnsi="仿宋" w:eastAsia="仿宋" w:cs="仿宋"/>
          <w:b/>
          <w:color w:val="auto"/>
          <w:highlight w:val="none"/>
        </w:rPr>
      </w:pPr>
      <w:r>
        <w:rPr>
          <w:rFonts w:hint="eastAsia" w:ascii="仿宋" w:hAnsi="仿宋" w:eastAsia="仿宋" w:cs="宋体"/>
          <w:b/>
          <w:color w:val="auto"/>
          <w:highlight w:val="none"/>
        </w:rPr>
        <w:t>封面格式</w:t>
      </w:r>
    </w:p>
    <w:tbl>
      <w:tblPr>
        <w:tblStyle w:val="29"/>
        <w:tblW w:w="5000" w:type="pct"/>
        <w:jc w:val="center"/>
        <w:tblLayout w:type="autofit"/>
        <w:tblCellMar>
          <w:top w:w="0" w:type="dxa"/>
          <w:left w:w="108" w:type="dxa"/>
          <w:bottom w:w="0" w:type="dxa"/>
          <w:right w:w="108" w:type="dxa"/>
        </w:tblCellMar>
      </w:tblPr>
      <w:tblGrid>
        <w:gridCol w:w="9854"/>
      </w:tblGrid>
      <w:tr>
        <w:tblPrEx>
          <w:tblCellMar>
            <w:top w:w="0" w:type="dxa"/>
            <w:left w:w="108" w:type="dxa"/>
            <w:bottom w:w="0" w:type="dxa"/>
            <w:right w:w="108" w:type="dxa"/>
          </w:tblCellMar>
        </w:tblPrEx>
        <w:trPr>
          <w:trHeight w:val="10007" w:hRule="atLeast"/>
          <w:jc w:val="center"/>
        </w:trPr>
        <w:tc>
          <w:tcPr>
            <w:tcW w:w="5000" w:type="pct"/>
            <w:tcBorders>
              <w:top w:val="single" w:color="000000" w:sz="4" w:space="0"/>
              <w:left w:val="single" w:color="000000" w:sz="4" w:space="0"/>
              <w:bottom w:val="single" w:color="000000" w:sz="4" w:space="0"/>
              <w:right w:val="single" w:color="000000" w:sz="4" w:space="0"/>
            </w:tcBorders>
          </w:tcPr>
          <w:p>
            <w:pPr>
              <w:pStyle w:val="61"/>
              <w:spacing w:before="156" w:after="312"/>
              <w:ind w:right="508"/>
              <w:jc w:val="right"/>
              <w:rPr>
                <w:rFonts w:ascii="仿宋" w:hAnsi="仿宋" w:eastAsia="仿宋" w:cs="仿宋"/>
                <w:color w:val="auto"/>
                <w:sz w:val="32"/>
                <w:highlight w:val="none"/>
              </w:rPr>
            </w:pPr>
            <w:r>
              <w:rPr>
                <w:rFonts w:hint="eastAsia" w:ascii="仿宋" w:hAnsi="仿宋" w:eastAsia="仿宋" w:cs="仿宋"/>
                <w:color w:val="auto"/>
                <w:sz w:val="32"/>
                <w:highlight w:val="none"/>
              </w:rPr>
              <w:t>正本/副本</w:t>
            </w:r>
          </w:p>
          <w:p>
            <w:pPr>
              <w:pStyle w:val="61"/>
              <w:ind w:right="-284" w:firstLine="960" w:firstLineChars="300"/>
              <w:rPr>
                <w:rFonts w:ascii="仿宋" w:hAnsi="仿宋" w:eastAsia="仿宋" w:cs="仿宋"/>
                <w:color w:val="auto"/>
                <w:sz w:val="28"/>
                <w:highlight w:val="none"/>
                <w:u w:val="single"/>
              </w:rPr>
            </w:pPr>
            <w:r>
              <w:rPr>
                <w:rFonts w:hint="eastAsia" w:ascii="仿宋" w:hAnsi="仿宋" w:eastAsia="仿宋" w:cs="仿宋"/>
                <w:color w:val="auto"/>
                <w:sz w:val="32"/>
                <w:highlight w:val="none"/>
              </w:rPr>
              <w:t>人保财险四川省泸州市泸县支公司食堂食材物资采购项目</w:t>
            </w:r>
          </w:p>
          <w:p>
            <w:pPr>
              <w:pStyle w:val="61"/>
              <w:spacing w:before="624" w:after="156" w:line="160" w:lineRule="atLeast"/>
              <w:ind w:right="-284"/>
              <w:jc w:val="center"/>
              <w:rPr>
                <w:rFonts w:ascii="仿宋" w:hAnsi="仿宋" w:eastAsia="仿宋" w:cs="仿宋"/>
                <w:color w:val="auto"/>
                <w:sz w:val="52"/>
                <w:highlight w:val="none"/>
              </w:rPr>
            </w:pPr>
            <w:r>
              <w:rPr>
                <w:rFonts w:hint="eastAsia" w:ascii="仿宋" w:hAnsi="仿宋" w:eastAsia="仿宋" w:cs="仿宋"/>
                <w:color w:val="auto"/>
                <w:sz w:val="52"/>
                <w:highlight w:val="none"/>
              </w:rPr>
              <w:t>比选响应文件</w:t>
            </w:r>
          </w:p>
          <w:p>
            <w:pPr>
              <w:pStyle w:val="61"/>
              <w:spacing w:before="624" w:after="156" w:line="160" w:lineRule="atLeast"/>
              <w:ind w:right="-284"/>
              <w:jc w:val="center"/>
              <w:rPr>
                <w:rFonts w:ascii="仿宋" w:hAnsi="仿宋" w:eastAsia="仿宋" w:cs="仿宋"/>
                <w:color w:val="auto"/>
                <w:sz w:val="52"/>
                <w:highlight w:val="none"/>
              </w:rPr>
            </w:pPr>
          </w:p>
          <w:p>
            <w:pPr>
              <w:pStyle w:val="61"/>
              <w:spacing w:before="624" w:after="156" w:line="240" w:lineRule="atLeast"/>
              <w:jc w:val="center"/>
              <w:rPr>
                <w:rFonts w:ascii="仿宋" w:hAnsi="仿宋" w:eastAsia="仿宋" w:cs="仿宋"/>
                <w:color w:val="auto"/>
                <w:sz w:val="40"/>
                <w:highlight w:val="none"/>
              </w:rPr>
            </w:pPr>
            <w:r>
              <w:rPr>
                <w:rFonts w:hint="eastAsia" w:ascii="仿宋" w:hAnsi="仿宋" w:eastAsia="仿宋" w:cs="仿宋"/>
                <w:color w:val="auto"/>
                <w:sz w:val="40"/>
                <w:highlight w:val="none"/>
              </w:rPr>
              <w:t>（商务文件/技术文件/报价文件）</w:t>
            </w:r>
          </w:p>
          <w:p>
            <w:pPr>
              <w:pStyle w:val="61"/>
              <w:spacing w:before="1560" w:line="400" w:lineRule="atLeast"/>
              <w:ind w:right="-284" w:firstLine="2520" w:firstLineChars="1050"/>
              <w:rPr>
                <w:rFonts w:ascii="仿宋" w:hAnsi="仿宋" w:eastAsia="仿宋" w:cs="仿宋"/>
                <w:color w:val="auto"/>
                <w:sz w:val="24"/>
                <w:highlight w:val="none"/>
              </w:rPr>
            </w:pPr>
            <w:r>
              <w:rPr>
                <w:rFonts w:hint="eastAsia" w:ascii="仿宋" w:hAnsi="仿宋" w:eastAsia="仿宋" w:cs="仿宋"/>
                <w:color w:val="auto"/>
                <w:sz w:val="24"/>
                <w:highlight w:val="none"/>
              </w:rPr>
              <w:t>供应商：</w:t>
            </w:r>
            <w:r>
              <w:rPr>
                <w:rFonts w:hint="eastAsia" w:ascii="仿宋" w:hAnsi="仿宋" w:eastAsia="仿宋" w:cs="仿宋"/>
                <w:color w:val="auto"/>
                <w:sz w:val="24"/>
                <w:highlight w:val="none"/>
                <w:u w:val="single"/>
              </w:rPr>
              <w:t>（盖章）</w:t>
            </w:r>
          </w:p>
          <w:p>
            <w:pPr>
              <w:pStyle w:val="61"/>
              <w:spacing w:after="156" w:line="400" w:lineRule="atLeast"/>
              <w:ind w:right="-284"/>
              <w:jc w:val="center"/>
              <w:rPr>
                <w:rFonts w:ascii="仿宋" w:hAnsi="仿宋" w:eastAsia="仿宋" w:cs="仿宋"/>
                <w:color w:val="auto"/>
                <w:sz w:val="24"/>
                <w:highlight w:val="none"/>
                <w:u w:val="single"/>
              </w:rPr>
            </w:pPr>
            <w:r>
              <w:rPr>
                <w:rFonts w:hint="eastAsia" w:ascii="仿宋" w:hAnsi="仿宋" w:eastAsia="仿宋" w:cs="仿宋"/>
                <w:color w:val="auto"/>
                <w:sz w:val="24"/>
                <w:highlight w:val="none"/>
              </w:rPr>
              <w:t>法定代表人或其委托的代理人：（签字或盖章）</w:t>
            </w:r>
          </w:p>
          <w:p>
            <w:pPr>
              <w:pStyle w:val="61"/>
              <w:spacing w:after="624"/>
              <w:ind w:right="-284"/>
              <w:jc w:val="center"/>
              <w:rPr>
                <w:rFonts w:ascii="仿宋" w:hAnsi="仿宋" w:eastAsia="仿宋" w:cs="仿宋"/>
                <w:color w:val="auto"/>
                <w:sz w:val="24"/>
                <w:highlight w:val="none"/>
              </w:rPr>
            </w:pPr>
          </w:p>
          <w:p>
            <w:pPr>
              <w:pStyle w:val="61"/>
              <w:spacing w:after="624"/>
              <w:ind w:right="-284"/>
              <w:jc w:val="center"/>
              <w:rPr>
                <w:rFonts w:ascii="仿宋" w:hAnsi="仿宋" w:eastAsia="仿宋" w:cs="仿宋"/>
                <w:color w:val="auto"/>
                <w:highlight w:val="none"/>
              </w:rPr>
            </w:pPr>
            <w:r>
              <w:rPr>
                <w:rFonts w:hint="eastAsia" w:ascii="仿宋" w:hAnsi="仿宋" w:eastAsia="仿宋" w:cs="仿宋"/>
                <w:color w:val="auto"/>
                <w:sz w:val="24"/>
                <w:highlight w:val="none"/>
              </w:rPr>
              <w:t>年     月      日</w:t>
            </w:r>
          </w:p>
        </w:tc>
      </w:tr>
    </w:tbl>
    <w:p>
      <w:pPr>
        <w:spacing w:line="360" w:lineRule="auto"/>
        <w:rPr>
          <w:rFonts w:ascii="仿宋" w:hAnsi="仿宋" w:eastAsia="仿宋" w:cs="仿宋"/>
          <w:b/>
          <w:color w:val="auto"/>
          <w:highlight w:val="none"/>
        </w:rPr>
      </w:pPr>
      <w:r>
        <w:rPr>
          <w:rFonts w:hint="eastAsia" w:ascii="仿宋" w:hAnsi="仿宋" w:eastAsia="仿宋" w:cs="仿宋"/>
          <w:b/>
          <w:color w:val="auto"/>
          <w:highlight w:val="none"/>
        </w:rPr>
        <w:t>格式：封口</w:t>
      </w:r>
    </w:p>
    <w:tbl>
      <w:tblPr>
        <w:tblStyle w:val="29"/>
        <w:tblW w:w="5000" w:type="pct"/>
        <w:tblInd w:w="0" w:type="dxa"/>
        <w:tblLayout w:type="autofit"/>
        <w:tblCellMar>
          <w:top w:w="0" w:type="dxa"/>
          <w:left w:w="108" w:type="dxa"/>
          <w:bottom w:w="0" w:type="dxa"/>
          <w:right w:w="108" w:type="dxa"/>
        </w:tblCellMar>
      </w:tblPr>
      <w:tblGrid>
        <w:gridCol w:w="9854"/>
      </w:tblGrid>
      <w:tr>
        <w:tblPrEx>
          <w:tblCellMar>
            <w:top w:w="0" w:type="dxa"/>
            <w:left w:w="108" w:type="dxa"/>
            <w:bottom w:w="0" w:type="dxa"/>
            <w:right w:w="108" w:type="dxa"/>
          </w:tblCellMar>
        </w:tblPrEx>
        <w:trPr>
          <w:trHeight w:val="1503" w:hRule="atLeast"/>
        </w:trPr>
        <w:tc>
          <w:tcPr>
            <w:tcW w:w="5000" w:type="pct"/>
            <w:tcBorders>
              <w:top w:val="single" w:color="000000" w:sz="4" w:space="0"/>
              <w:left w:val="single" w:color="000000" w:sz="4" w:space="0"/>
              <w:bottom w:val="single" w:color="000000" w:sz="4" w:space="0"/>
              <w:right w:val="single" w:color="000000" w:sz="4" w:space="0"/>
            </w:tcBorders>
            <w:vAlign w:val="center"/>
          </w:tcPr>
          <w:p>
            <w:pPr>
              <w:pStyle w:val="61"/>
              <w:ind w:right="-284"/>
              <w:jc w:val="center"/>
              <w:rPr>
                <w:rFonts w:ascii="仿宋" w:hAnsi="仿宋" w:eastAsia="仿宋" w:cs="仿宋"/>
                <w:b/>
                <w:color w:val="auto"/>
                <w:highlight w:val="none"/>
              </w:rPr>
            </w:pPr>
            <w:r>
              <w:rPr>
                <w:rFonts w:hint="eastAsia" w:ascii="仿宋" w:hAnsi="仿宋" w:eastAsia="仿宋" w:cs="仿宋"/>
                <w:b/>
                <w:color w:val="auto"/>
                <w:highlight w:val="none"/>
              </w:rPr>
              <w:t>-------------于年月日时分之前不准启封（公章）------------</w:t>
            </w:r>
          </w:p>
        </w:tc>
      </w:tr>
    </w:tbl>
    <w:p>
      <w:pPr>
        <w:rPr>
          <w:rFonts w:ascii="仿宋" w:hAnsi="仿宋" w:eastAsia="仿宋" w:cs="仿宋"/>
          <w:color w:val="auto"/>
          <w:szCs w:val="21"/>
          <w:highlight w:val="none"/>
        </w:rPr>
      </w:pPr>
    </w:p>
    <w:p>
      <w:pPr>
        <w:pStyle w:val="4"/>
        <w:jc w:val="both"/>
        <w:rPr>
          <w:rFonts w:ascii="仿宋" w:hAnsi="仿宋" w:eastAsia="仿宋" w:cs="仿宋"/>
          <w:color w:val="auto"/>
          <w:sz w:val="24"/>
          <w:szCs w:val="24"/>
          <w:highlight w:val="none"/>
        </w:rPr>
      </w:pPr>
      <w:bookmarkStart w:id="152" w:name="_Toc3936"/>
      <w:bookmarkStart w:id="153" w:name="_Toc17191"/>
      <w:bookmarkStart w:id="154" w:name="_Toc16556"/>
      <w:bookmarkStart w:id="155" w:name="_Toc21280"/>
      <w:bookmarkStart w:id="156" w:name="_Toc287600131"/>
      <w:bookmarkStart w:id="157" w:name="_Toc11783"/>
      <w:bookmarkStart w:id="158" w:name="_Toc19910"/>
      <w:bookmarkStart w:id="159" w:name="_Toc444891353"/>
      <w:bookmarkStart w:id="160" w:name="_Toc19783362"/>
      <w:bookmarkStart w:id="161" w:name="_Toc25957"/>
      <w:bookmarkStart w:id="162" w:name="_Toc517281836"/>
      <w:bookmarkStart w:id="163" w:name="_Toc287600129"/>
      <w:bookmarkStart w:id="164" w:name="_Toc19783360"/>
      <w:r>
        <w:rPr>
          <w:rFonts w:hint="eastAsia" w:ascii="仿宋" w:hAnsi="仿宋" w:eastAsia="仿宋" w:cs="仿宋"/>
          <w:color w:val="auto"/>
          <w:sz w:val="24"/>
          <w:szCs w:val="24"/>
          <w:highlight w:val="none"/>
        </w:rPr>
        <w:t>一、商务文件</w:t>
      </w:r>
      <w:bookmarkEnd w:id="152"/>
      <w:bookmarkEnd w:id="153"/>
      <w:bookmarkEnd w:id="154"/>
    </w:p>
    <w:p>
      <w:pPr>
        <w:jc w:val="center"/>
        <w:rPr>
          <w:color w:val="auto"/>
          <w:highlight w:val="none"/>
        </w:rPr>
      </w:pPr>
      <w:bookmarkStart w:id="165" w:name="_Toc26744"/>
      <w:r>
        <w:rPr>
          <w:rFonts w:hint="eastAsia" w:ascii="仿宋" w:hAnsi="仿宋" w:eastAsia="仿宋" w:cs="仿宋"/>
          <w:b/>
          <w:bCs/>
          <w:color w:val="auto"/>
          <w:highlight w:val="none"/>
        </w:rPr>
        <w:t>初步评审索引表</w:t>
      </w:r>
      <w:bookmarkEnd w:id="165"/>
    </w:p>
    <w:tbl>
      <w:tblPr>
        <w:tblStyle w:val="29"/>
        <w:tblW w:w="5088"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815"/>
        <w:gridCol w:w="1701"/>
        <w:gridCol w:w="3297"/>
        <w:gridCol w:w="4214"/>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Align w:val="center"/>
          </w:tcPr>
          <w:p>
            <w:pPr>
              <w:spacing w:line="360" w:lineRule="auto"/>
              <w:jc w:val="center"/>
              <w:rPr>
                <w:rFonts w:ascii="仿宋" w:hAnsi="仿宋" w:eastAsia="仿宋" w:cs="仿宋"/>
                <w:color w:val="auto"/>
                <w:szCs w:val="21"/>
                <w:highlight w:val="none"/>
              </w:rPr>
            </w:pPr>
            <w:r>
              <w:rPr>
                <w:rFonts w:hint="eastAsia" w:ascii="仿宋" w:hAnsi="仿宋" w:eastAsia="仿宋" w:cs="仿宋"/>
                <w:b/>
                <w:color w:val="auto"/>
                <w:szCs w:val="21"/>
                <w:highlight w:val="none"/>
              </w:rPr>
              <w:t>序号</w:t>
            </w:r>
          </w:p>
        </w:tc>
        <w:tc>
          <w:tcPr>
            <w:tcW w:w="1701" w:type="dxa"/>
          </w:tcPr>
          <w:p>
            <w:pPr>
              <w:spacing w:before="24" w:after="24" w:line="360" w:lineRule="auto"/>
              <w:jc w:val="center"/>
              <w:rPr>
                <w:rFonts w:ascii="仿宋" w:hAnsi="仿宋" w:eastAsia="仿宋" w:cs="仿宋"/>
                <w:color w:val="auto"/>
                <w:szCs w:val="21"/>
                <w:highlight w:val="none"/>
              </w:rPr>
            </w:pPr>
            <w:r>
              <w:rPr>
                <w:rFonts w:hint="eastAsia" w:ascii="仿宋" w:hAnsi="仿宋" w:eastAsia="仿宋" w:cs="仿宋"/>
                <w:b/>
                <w:color w:val="auto"/>
                <w:szCs w:val="21"/>
                <w:highlight w:val="none"/>
              </w:rPr>
              <w:t>评审环节</w:t>
            </w:r>
          </w:p>
        </w:tc>
        <w:tc>
          <w:tcPr>
            <w:tcW w:w="3298" w:type="dxa"/>
            <w:vAlign w:val="center"/>
          </w:tcPr>
          <w:p>
            <w:pPr>
              <w:spacing w:before="24" w:after="24" w:line="360" w:lineRule="auto"/>
              <w:jc w:val="center"/>
              <w:rPr>
                <w:rFonts w:ascii="仿宋" w:hAnsi="仿宋" w:eastAsia="仿宋" w:cs="仿宋"/>
                <w:color w:val="auto"/>
                <w:szCs w:val="21"/>
                <w:highlight w:val="none"/>
              </w:rPr>
            </w:pPr>
            <w:r>
              <w:rPr>
                <w:rFonts w:hint="eastAsia" w:ascii="仿宋" w:hAnsi="仿宋" w:eastAsia="仿宋" w:cs="仿宋"/>
                <w:b/>
                <w:color w:val="auto"/>
                <w:szCs w:val="21"/>
                <w:highlight w:val="none"/>
              </w:rPr>
              <w:t>评审因素</w:t>
            </w:r>
          </w:p>
        </w:tc>
        <w:tc>
          <w:tcPr>
            <w:tcW w:w="4215" w:type="dxa"/>
            <w:vAlign w:val="center"/>
          </w:tcPr>
          <w:p>
            <w:pPr>
              <w:spacing w:line="360" w:lineRule="auto"/>
              <w:jc w:val="center"/>
              <w:rPr>
                <w:rFonts w:ascii="仿宋" w:hAnsi="仿宋" w:eastAsia="仿宋" w:cs="仿宋"/>
                <w:color w:val="auto"/>
                <w:szCs w:val="21"/>
                <w:highlight w:val="none"/>
              </w:rPr>
            </w:pPr>
            <w:r>
              <w:rPr>
                <w:rFonts w:hint="eastAsia" w:ascii="仿宋" w:hAnsi="仿宋" w:eastAsia="仿宋" w:cs="仿宋"/>
                <w:b/>
                <w:color w:val="auto"/>
                <w:szCs w:val="21"/>
                <w:highlight w:val="none"/>
              </w:rPr>
              <w:t>页码范围及说明</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vAlign w:val="center"/>
          </w:tcPr>
          <w:p>
            <w:pPr>
              <w:spacing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1</w:t>
            </w:r>
          </w:p>
        </w:tc>
        <w:tc>
          <w:tcPr>
            <w:tcW w:w="1701" w:type="dxa"/>
            <w:vMerge w:val="restart"/>
            <w:vAlign w:val="center"/>
          </w:tcPr>
          <w:p>
            <w:pPr>
              <w:spacing w:before="24" w:after="24"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形式评审标准</w:t>
            </w:r>
          </w:p>
        </w:tc>
        <w:tc>
          <w:tcPr>
            <w:tcW w:w="3298" w:type="dxa"/>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供应商名称</w:t>
            </w:r>
          </w:p>
        </w:tc>
        <w:tc>
          <w:tcPr>
            <w:tcW w:w="4215" w:type="dxa"/>
            <w:vAlign w:val="center"/>
          </w:tcPr>
          <w:p>
            <w:pPr>
              <w:spacing w:before="24" w:after="24" w:line="276" w:lineRule="auto"/>
              <w:rPr>
                <w:rFonts w:ascii="仿宋" w:hAnsi="仿宋" w:eastAsia="仿宋" w:cs="仿宋"/>
                <w:color w:val="auto"/>
                <w:szCs w:val="21"/>
                <w:highlight w:val="none"/>
              </w:rPr>
            </w:pPr>
            <w:r>
              <w:rPr>
                <w:rFonts w:hint="eastAsia" w:ascii="仿宋" w:hAnsi="仿宋" w:eastAsia="仿宋" w:cs="仿宋"/>
                <w:color w:val="auto"/>
                <w:szCs w:val="21"/>
                <w:highlight w:val="none"/>
              </w:rPr>
              <w:t>详见N-M页，补充说明（如有）</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line="276" w:lineRule="auto"/>
              <w:jc w:val="center"/>
              <w:rPr>
                <w:rFonts w:ascii="仿宋" w:hAnsi="仿宋" w:eastAsia="仿宋" w:cs="宋体"/>
                <w:color w:val="auto"/>
                <w:szCs w:val="21"/>
                <w:highlight w:val="none"/>
              </w:rPr>
            </w:pPr>
            <w:r>
              <w:rPr>
                <w:rFonts w:hint="eastAsia" w:ascii="仿宋" w:hAnsi="仿宋" w:eastAsia="仿宋" w:cs="仿宋"/>
                <w:color w:val="auto"/>
                <w:szCs w:val="21"/>
                <w:highlight w:val="none"/>
              </w:rPr>
              <w:t>法定代表人（负责人）身份证明</w:t>
            </w:r>
          </w:p>
        </w:tc>
        <w:tc>
          <w:tcPr>
            <w:tcW w:w="4215" w:type="dxa"/>
            <w:vAlign w:val="center"/>
          </w:tcPr>
          <w:p>
            <w:pPr>
              <w:pStyle w:val="72"/>
              <w:tabs>
                <w:tab w:val="left" w:pos="630"/>
              </w:tabs>
              <w:topLinePunct/>
              <w:spacing w:before="48" w:beforeLines="20" w:after="48" w:afterLines="20"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法定代表人（负责人）授权委托书</w:t>
            </w:r>
          </w:p>
        </w:tc>
        <w:tc>
          <w:tcPr>
            <w:tcW w:w="4215" w:type="dxa"/>
            <w:vAlign w:val="center"/>
          </w:tcPr>
          <w:p>
            <w:pPr>
              <w:pStyle w:val="72"/>
              <w:tabs>
                <w:tab w:val="left" w:pos="630"/>
              </w:tabs>
              <w:topLinePunct/>
              <w:spacing w:before="48" w:beforeLines="20" w:after="48" w:afterLines="20"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line="276" w:lineRule="auto"/>
              <w:jc w:val="center"/>
              <w:rPr>
                <w:rFonts w:ascii="仿宋" w:hAnsi="仿宋" w:eastAsia="仿宋" w:cs="宋体"/>
                <w:color w:val="auto"/>
                <w:spacing w:val="-4"/>
                <w:szCs w:val="21"/>
                <w:highlight w:val="none"/>
              </w:rPr>
            </w:pPr>
            <w:r>
              <w:rPr>
                <w:rFonts w:hint="eastAsia" w:ascii="仿宋" w:hAnsi="仿宋" w:eastAsia="仿宋" w:cs="仿宋"/>
                <w:color w:val="auto"/>
                <w:szCs w:val="21"/>
                <w:highlight w:val="none"/>
              </w:rPr>
              <w:t>响应文件签字或盖章</w:t>
            </w:r>
          </w:p>
        </w:tc>
        <w:tc>
          <w:tcPr>
            <w:tcW w:w="4215" w:type="dxa"/>
            <w:vAlign w:val="center"/>
          </w:tcPr>
          <w:p>
            <w:pPr>
              <w:pStyle w:val="61"/>
              <w:spacing w:before="48" w:beforeLines="20" w:after="48" w:afterLines="20" w:line="276" w:lineRule="auto"/>
              <w:rPr>
                <w:rFonts w:ascii="仿宋" w:hAnsi="仿宋" w:eastAsia="仿宋" w:cs="仿宋"/>
                <w:color w:val="auto"/>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vAlign w:val="center"/>
          </w:tcPr>
          <w:p>
            <w:pPr>
              <w:spacing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2</w:t>
            </w:r>
          </w:p>
        </w:tc>
        <w:tc>
          <w:tcPr>
            <w:tcW w:w="1701" w:type="dxa"/>
            <w:vMerge w:val="restart"/>
            <w:vAlign w:val="center"/>
          </w:tcPr>
          <w:p>
            <w:pPr>
              <w:spacing w:before="24" w:after="24"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资格评审标准</w:t>
            </w:r>
          </w:p>
        </w:tc>
        <w:tc>
          <w:tcPr>
            <w:tcW w:w="3298" w:type="dxa"/>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仿宋"/>
                <w:color w:val="auto"/>
                <w:sz w:val="22"/>
                <w:szCs w:val="21"/>
                <w:highlight w:val="none"/>
              </w:rPr>
              <w:t>具有独立承担民事责任的能力</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vAlign w:val="center"/>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jc w:val="center"/>
              <w:rPr>
                <w:rFonts w:ascii="仿宋" w:hAnsi="仿宋" w:eastAsia="仿宋" w:cs="仿宋"/>
                <w:color w:val="auto"/>
                <w:sz w:val="24"/>
                <w:szCs w:val="21"/>
                <w:highlight w:val="none"/>
                <w:lang w:val="en-US" w:eastAsia="zh-CN" w:bidi="ar-SA"/>
              </w:rPr>
            </w:pPr>
            <w:r>
              <w:rPr>
                <w:rFonts w:hint="eastAsia" w:ascii="仿宋" w:hAnsi="仿宋" w:eastAsia="仿宋" w:cs="Monaco"/>
                <w:color w:val="auto"/>
                <w:sz w:val="22"/>
                <w:szCs w:val="21"/>
                <w:highlight w:val="none"/>
              </w:rPr>
              <w:t>供应商应具有履行合同所必需的设备和专业技术能力</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vAlign w:val="center"/>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jc w:val="center"/>
              <w:rPr>
                <w:rFonts w:ascii="仿宋" w:hAnsi="仿宋" w:eastAsia="仿宋" w:cs="仿宋"/>
                <w:color w:val="auto"/>
                <w:sz w:val="24"/>
                <w:szCs w:val="21"/>
                <w:highlight w:val="none"/>
                <w:lang w:val="en-US" w:eastAsia="zh-CN" w:bidi="ar-SA"/>
              </w:rPr>
            </w:pPr>
            <w:r>
              <w:rPr>
                <w:rFonts w:hint="eastAsia" w:ascii="仿宋" w:hAnsi="仿宋" w:eastAsia="仿宋" w:cs="Cambria Math"/>
                <w:color w:val="auto"/>
                <w:sz w:val="22"/>
                <w:szCs w:val="21"/>
                <w:highlight w:val="none"/>
              </w:rPr>
              <w:t>近三年内无违法违规记录</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jc w:val="center"/>
              <w:rPr>
                <w:rFonts w:ascii="仿宋" w:hAnsi="仿宋" w:eastAsia="仿宋" w:cs="仿宋"/>
                <w:color w:val="auto"/>
                <w:sz w:val="24"/>
                <w:szCs w:val="21"/>
                <w:highlight w:val="none"/>
                <w:lang w:val="en-US" w:eastAsia="zh-CN" w:bidi="ar-SA"/>
              </w:rPr>
            </w:pPr>
            <w:r>
              <w:rPr>
                <w:rFonts w:hint="eastAsia" w:ascii="仿宋" w:hAnsi="仿宋" w:eastAsia="仿宋" w:cs="Cambria Math"/>
                <w:color w:val="auto"/>
                <w:sz w:val="22"/>
                <w:szCs w:val="21"/>
                <w:highlight w:val="none"/>
              </w:rPr>
              <w:t>未被纳入采购人及其所隶属的中国人民保险各级机构的供应商黑名单</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jc w:val="center"/>
              <w:rPr>
                <w:rFonts w:ascii="仿宋" w:hAnsi="仿宋" w:eastAsia="仿宋" w:cs="仿宋"/>
                <w:color w:val="auto"/>
                <w:sz w:val="24"/>
                <w:szCs w:val="21"/>
                <w:highlight w:val="none"/>
                <w:lang w:val="en-US" w:eastAsia="zh-CN" w:bidi="ar-SA"/>
              </w:rPr>
            </w:pPr>
            <w:r>
              <w:rPr>
                <w:rFonts w:hint="eastAsia" w:ascii="仿宋" w:hAnsi="仿宋" w:eastAsia="仿宋" w:cs="Cambria Math"/>
                <w:color w:val="auto"/>
                <w:sz w:val="22"/>
                <w:szCs w:val="21"/>
                <w:highlight w:val="none"/>
              </w:rPr>
              <w:t>控股管理关系</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line="276" w:lineRule="auto"/>
              <w:jc w:val="center"/>
              <w:rPr>
                <w:rFonts w:ascii="仿宋" w:hAnsi="仿宋" w:eastAsia="仿宋" w:cs="仿宋"/>
                <w:color w:val="auto"/>
                <w:sz w:val="24"/>
                <w:szCs w:val="21"/>
                <w:highlight w:val="none"/>
                <w:lang w:val="en-US" w:eastAsia="zh-CN" w:bidi="ar-SA"/>
              </w:rPr>
            </w:pPr>
            <w:r>
              <w:rPr>
                <w:rFonts w:hint="eastAsia" w:ascii="仿宋" w:hAnsi="仿宋" w:eastAsia="仿宋" w:cs="Cambria Math"/>
                <w:color w:val="auto"/>
                <w:sz w:val="22"/>
                <w:szCs w:val="21"/>
                <w:highlight w:val="none"/>
              </w:rPr>
              <w:t>非联合体投标</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restart"/>
            <w:vAlign w:val="center"/>
          </w:tcPr>
          <w:p>
            <w:pPr>
              <w:spacing w:line="360" w:lineRule="auto"/>
              <w:jc w:val="center"/>
              <w:rPr>
                <w:rFonts w:ascii="仿宋" w:hAnsi="仿宋" w:eastAsia="仿宋" w:cs="仿宋"/>
                <w:color w:val="auto"/>
                <w:szCs w:val="21"/>
                <w:highlight w:val="none"/>
              </w:rPr>
            </w:pPr>
            <w:r>
              <w:rPr>
                <w:rFonts w:ascii="仿宋" w:hAnsi="仿宋" w:eastAsia="仿宋" w:cs="仿宋"/>
                <w:color w:val="auto"/>
                <w:szCs w:val="21"/>
                <w:highlight w:val="none"/>
              </w:rPr>
              <w:t>3</w:t>
            </w:r>
          </w:p>
        </w:tc>
        <w:tc>
          <w:tcPr>
            <w:tcW w:w="1701" w:type="dxa"/>
            <w:vMerge w:val="restart"/>
            <w:vAlign w:val="center"/>
          </w:tcPr>
          <w:p>
            <w:pPr>
              <w:spacing w:before="24" w:after="24" w:line="360"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响应性评审标准</w:t>
            </w:r>
          </w:p>
        </w:tc>
        <w:tc>
          <w:tcPr>
            <w:tcW w:w="3298" w:type="dxa"/>
            <w:vAlign w:val="center"/>
          </w:tcPr>
          <w:p>
            <w:pPr>
              <w:spacing w:before="24" w:after="24" w:line="276" w:lineRule="auto"/>
              <w:jc w:val="center"/>
              <w:rPr>
                <w:rFonts w:ascii="仿宋" w:hAnsi="仿宋" w:eastAsia="仿宋" w:cs="仿宋"/>
                <w:color w:val="auto"/>
                <w:szCs w:val="21"/>
                <w:highlight w:val="none"/>
              </w:rPr>
            </w:pPr>
            <w:r>
              <w:rPr>
                <w:rFonts w:hint="eastAsia" w:ascii="仿宋" w:hAnsi="仿宋" w:eastAsia="仿宋" w:cs="仿宋"/>
                <w:color w:val="auto"/>
                <w:szCs w:val="21"/>
                <w:highlight w:val="none"/>
              </w:rPr>
              <w:t>响应函</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vAlign w:val="center"/>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line="276" w:lineRule="auto"/>
              <w:jc w:val="center"/>
              <w:rPr>
                <w:rFonts w:ascii="仿宋" w:hAnsi="仿宋" w:eastAsia="仿宋" w:cs="Cambria Math"/>
                <w:color w:val="auto"/>
                <w:sz w:val="24"/>
                <w:szCs w:val="21"/>
                <w:highlight w:val="none"/>
                <w:lang w:val="en-US" w:eastAsia="zh-CN" w:bidi="ar-SA"/>
              </w:rPr>
            </w:pPr>
            <w:r>
              <w:rPr>
                <w:rFonts w:hint="eastAsia" w:ascii="仿宋" w:hAnsi="仿宋" w:eastAsia="仿宋" w:cs="宋体"/>
                <w:color w:val="auto"/>
                <w:szCs w:val="21"/>
                <w:highlight w:val="none"/>
              </w:rPr>
              <w:t>供应商行为准则承诺书</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vAlign w:val="center"/>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line="276" w:lineRule="auto"/>
              <w:jc w:val="center"/>
              <w:rPr>
                <w:rFonts w:ascii="仿宋" w:hAnsi="仿宋" w:eastAsia="仿宋" w:cs="Cambria Math"/>
                <w:color w:val="auto"/>
                <w:sz w:val="24"/>
                <w:szCs w:val="21"/>
                <w:highlight w:val="none"/>
                <w:lang w:val="en-US" w:eastAsia="zh-CN" w:bidi="ar-SA"/>
              </w:rPr>
            </w:pPr>
            <w:r>
              <w:rPr>
                <w:rFonts w:hint="eastAsia" w:ascii="仿宋" w:hAnsi="仿宋" w:eastAsia="仿宋" w:cs="宋体"/>
                <w:color w:val="auto"/>
                <w:szCs w:val="21"/>
                <w:highlight w:val="none"/>
              </w:rPr>
              <w:t>供应商廉洁诚信承诺书</w:t>
            </w:r>
          </w:p>
        </w:tc>
        <w:tc>
          <w:tcPr>
            <w:tcW w:w="4215" w:type="dxa"/>
            <w:vAlign w:val="center"/>
          </w:tcPr>
          <w:p>
            <w:pPr>
              <w:spacing w:before="24" w:after="24" w:line="276" w:lineRule="auto"/>
              <w:rPr>
                <w:rFonts w:ascii="仿宋" w:hAnsi="仿宋" w:eastAsia="仿宋" w:cs="仿宋"/>
                <w:color w:val="auto"/>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815" w:type="dxa"/>
            <w:vMerge w:val="continue"/>
            <w:vAlign w:val="center"/>
          </w:tcPr>
          <w:p>
            <w:pPr>
              <w:spacing w:line="360" w:lineRule="auto"/>
              <w:jc w:val="center"/>
              <w:rPr>
                <w:rFonts w:ascii="仿宋" w:hAnsi="仿宋" w:eastAsia="仿宋" w:cs="仿宋"/>
                <w:color w:val="auto"/>
                <w:szCs w:val="21"/>
                <w:highlight w:val="none"/>
              </w:rPr>
            </w:pPr>
          </w:p>
        </w:tc>
        <w:tc>
          <w:tcPr>
            <w:tcW w:w="1701" w:type="dxa"/>
            <w:vMerge w:val="continue"/>
            <w:vAlign w:val="center"/>
          </w:tcPr>
          <w:p>
            <w:pPr>
              <w:spacing w:before="24" w:after="24" w:line="360" w:lineRule="auto"/>
              <w:jc w:val="center"/>
              <w:rPr>
                <w:rFonts w:ascii="仿宋" w:hAnsi="仿宋" w:eastAsia="仿宋" w:cs="仿宋"/>
                <w:color w:val="auto"/>
                <w:szCs w:val="21"/>
                <w:highlight w:val="none"/>
              </w:rPr>
            </w:pPr>
          </w:p>
        </w:tc>
        <w:tc>
          <w:tcPr>
            <w:tcW w:w="3298" w:type="dxa"/>
            <w:vAlign w:val="center"/>
          </w:tcPr>
          <w:p>
            <w:pPr>
              <w:spacing w:before="24" w:after="24" w:line="276" w:lineRule="auto"/>
              <w:jc w:val="center"/>
              <w:rPr>
                <w:rFonts w:ascii="仿宋" w:hAnsi="仿宋" w:eastAsia="仿宋" w:cs="仿宋"/>
                <w:color w:val="auto"/>
                <w:sz w:val="24"/>
                <w:szCs w:val="21"/>
                <w:highlight w:val="none"/>
                <w:lang w:val="en-US" w:eastAsia="zh-CN" w:bidi="ar-SA"/>
              </w:rPr>
            </w:pPr>
            <w:r>
              <w:rPr>
                <w:rFonts w:hint="eastAsia" w:ascii="仿宋" w:hAnsi="仿宋" w:eastAsia="仿宋" w:cs="Cambria Math"/>
                <w:color w:val="auto"/>
                <w:szCs w:val="21"/>
                <w:highlight w:val="none"/>
              </w:rPr>
              <w:t>供应商偏离应答</w:t>
            </w:r>
          </w:p>
        </w:tc>
        <w:tc>
          <w:tcPr>
            <w:tcW w:w="4215" w:type="dxa"/>
            <w:vAlign w:val="center"/>
          </w:tcPr>
          <w:p>
            <w:pPr>
              <w:spacing w:before="24" w:after="24" w:line="276" w:lineRule="auto"/>
              <w:rPr>
                <w:rFonts w:ascii="仿宋" w:hAnsi="仿宋" w:eastAsia="仿宋" w:cs="仿宋"/>
                <w:color w:val="auto"/>
                <w:szCs w:val="21"/>
                <w:highlight w:val="none"/>
              </w:rPr>
            </w:pPr>
          </w:p>
        </w:tc>
      </w:tr>
    </w:tbl>
    <w:p>
      <w:pPr>
        <w:rPr>
          <w:rFonts w:ascii="宋体" w:hAnsi="宋体"/>
          <w:color w:val="auto"/>
          <w:szCs w:val="21"/>
          <w:highlight w:val="none"/>
        </w:rPr>
        <w:sectPr>
          <w:footerReference r:id="rId8" w:type="default"/>
          <w:pgSz w:w="11906" w:h="16838"/>
          <w:pgMar w:top="1417" w:right="1134" w:bottom="1134" w:left="1134" w:header="964" w:footer="964" w:gutter="0"/>
          <w:pgNumType w:fmt="decimal"/>
          <w:cols w:space="720" w:num="1"/>
          <w:docGrid w:linePitch="312" w:charSpace="0"/>
        </w:sectPr>
      </w:pPr>
    </w:p>
    <w:bookmarkEnd w:id="155"/>
    <w:bookmarkEnd w:id="156"/>
    <w:bookmarkEnd w:id="157"/>
    <w:bookmarkEnd w:id="158"/>
    <w:bookmarkEnd w:id="159"/>
    <w:bookmarkEnd w:id="160"/>
    <w:bookmarkEnd w:id="161"/>
    <w:bookmarkEnd w:id="162"/>
    <w:p>
      <w:pPr>
        <w:pStyle w:val="5"/>
        <w:spacing w:before="0" w:line="440" w:lineRule="exact"/>
        <w:rPr>
          <w:rFonts w:ascii="仿宋" w:hAnsi="仿宋" w:eastAsia="仿宋" w:cs="仿宋"/>
          <w:color w:val="auto"/>
          <w:sz w:val="24"/>
          <w:szCs w:val="24"/>
          <w:highlight w:val="none"/>
        </w:rPr>
      </w:pPr>
      <w:bookmarkStart w:id="166" w:name="_Toc12198"/>
      <w:bookmarkStart w:id="167" w:name="_Toc27958"/>
      <w:bookmarkStart w:id="168" w:name="_Toc25121"/>
      <w:bookmarkStart w:id="169" w:name="_Toc7202"/>
      <w:bookmarkStart w:id="170" w:name="_Toc12140"/>
      <w:bookmarkStart w:id="171" w:name="_Toc444891354"/>
      <w:bookmarkStart w:id="172" w:name="_Toc517281837"/>
      <w:bookmarkStart w:id="173" w:name="_Toc27799"/>
      <w:r>
        <w:rPr>
          <w:rFonts w:hint="eastAsia" w:ascii="仿宋" w:hAnsi="仿宋" w:eastAsia="仿宋" w:cs="仿宋"/>
          <w:color w:val="auto"/>
          <w:sz w:val="24"/>
          <w:szCs w:val="24"/>
          <w:highlight w:val="none"/>
        </w:rPr>
        <w:t>（一）响应函</w:t>
      </w:r>
      <w:bookmarkEnd w:id="166"/>
      <w:bookmarkEnd w:id="167"/>
    </w:p>
    <w:p>
      <w:pPr>
        <w:pStyle w:val="61"/>
        <w:spacing w:line="440" w:lineRule="exact"/>
        <w:rPr>
          <w:rFonts w:ascii="仿宋" w:hAnsi="仿宋" w:eastAsia="仿宋" w:cs="Cambria Math"/>
          <w:color w:val="auto"/>
          <w:sz w:val="24"/>
          <w:szCs w:val="24"/>
          <w:highlight w:val="none"/>
          <w:u w:val="single"/>
        </w:rPr>
      </w:pPr>
      <w:r>
        <w:rPr>
          <w:rFonts w:hint="eastAsia" w:ascii="仿宋" w:hAnsi="仿宋" w:eastAsia="仿宋" w:cs="Cambria Math"/>
          <w:color w:val="auto"/>
          <w:sz w:val="24"/>
          <w:szCs w:val="24"/>
          <w:highlight w:val="none"/>
          <w:u w:val="single"/>
        </w:rPr>
        <w:t>致：</w:t>
      </w:r>
      <w:r>
        <w:rPr>
          <w:rFonts w:hint="eastAsia" w:ascii="仿宋" w:hAnsi="仿宋" w:eastAsia="仿宋" w:cs="Cambria Math"/>
          <w:color w:val="auto"/>
          <w:sz w:val="24"/>
          <w:szCs w:val="24"/>
          <w:highlight w:val="none"/>
          <w:u w:val="single"/>
          <w:lang w:val="en-US" w:eastAsia="zh-CN"/>
        </w:rPr>
        <w:t>中国人民财产保险股份有限公司泸县支公司</w:t>
      </w:r>
      <w:r>
        <w:rPr>
          <w:rFonts w:hint="eastAsia" w:ascii="仿宋" w:hAnsi="仿宋" w:eastAsia="仿宋" w:cs="Cambria Math"/>
          <w:color w:val="auto"/>
          <w:sz w:val="24"/>
          <w:szCs w:val="24"/>
          <w:highlight w:val="none"/>
          <w:u w:val="single"/>
        </w:rPr>
        <w:t xml:space="preserve">  </w:t>
      </w:r>
    </w:p>
    <w:p>
      <w:pPr>
        <w:spacing w:line="440" w:lineRule="exact"/>
        <w:ind w:firstLine="420"/>
        <w:rPr>
          <w:rFonts w:ascii="仿宋" w:hAnsi="仿宋" w:eastAsia="仿宋" w:cs="Cambria Math"/>
          <w:color w:val="auto"/>
          <w:highlight w:val="none"/>
        </w:rPr>
      </w:pPr>
      <w:r>
        <w:rPr>
          <w:rFonts w:hint="eastAsia" w:ascii="仿宋" w:hAnsi="仿宋" w:eastAsia="仿宋" w:cs="Cambria Math"/>
          <w:color w:val="auto"/>
          <w:highlight w:val="none"/>
          <w:u w:val="single"/>
        </w:rPr>
        <w:t xml:space="preserve">   （供应商名称）   </w:t>
      </w:r>
      <w:r>
        <w:rPr>
          <w:rFonts w:hint="eastAsia" w:ascii="仿宋" w:hAnsi="仿宋" w:eastAsia="仿宋" w:cs="Cambria Math"/>
          <w:color w:val="auto"/>
          <w:highlight w:val="none"/>
        </w:rPr>
        <w:t>（以下称“我方”）已仔细研究了</w:t>
      </w:r>
      <w:r>
        <w:rPr>
          <w:rFonts w:hint="eastAsia" w:ascii="仿宋" w:hAnsi="仿宋" w:eastAsia="仿宋" w:cs="Cambria Math"/>
          <w:color w:val="auto"/>
          <w:highlight w:val="none"/>
          <w:u w:val="single"/>
          <w:lang w:eastAsia="zh-CN"/>
        </w:rPr>
        <w:t xml:space="preserve">人保财险四川省泸州市泸县支公司食堂食材物资采购项目 </w:t>
      </w:r>
      <w:r>
        <w:rPr>
          <w:rFonts w:hint="eastAsia" w:ascii="仿宋" w:hAnsi="仿宋" w:eastAsia="仿宋" w:cs="Cambria Math"/>
          <w:color w:val="auto"/>
          <w:highlight w:val="none"/>
        </w:rPr>
        <w:t>比选文件的全部内容，包括澄清或者修改文件以及有关附件，我方将严格按照比选文件要求递交符合要求的全部比选响应文件。</w:t>
      </w:r>
    </w:p>
    <w:p>
      <w:pPr>
        <w:spacing w:line="440" w:lineRule="exact"/>
        <w:ind w:firstLine="420"/>
        <w:rPr>
          <w:rFonts w:ascii="仿宋" w:hAnsi="仿宋" w:eastAsia="仿宋" w:cs="Cambria Math"/>
          <w:color w:val="auto"/>
          <w:highlight w:val="none"/>
        </w:rPr>
      </w:pPr>
      <w:r>
        <w:rPr>
          <w:rFonts w:hint="eastAsia" w:ascii="仿宋" w:hAnsi="仿宋" w:eastAsia="仿宋" w:cs="Cambria Math"/>
          <w:color w:val="auto"/>
          <w:highlight w:val="none"/>
        </w:rPr>
        <w:t>现我方承诺如下内容：</w:t>
      </w:r>
    </w:p>
    <w:p>
      <w:pPr>
        <w:spacing w:line="440" w:lineRule="exact"/>
        <w:ind w:firstLine="420"/>
        <w:rPr>
          <w:rFonts w:ascii="仿宋" w:hAnsi="仿宋" w:eastAsia="仿宋" w:cs="Cambria Math"/>
          <w:color w:val="auto"/>
          <w:highlight w:val="none"/>
        </w:rPr>
      </w:pPr>
      <w:r>
        <w:rPr>
          <w:rFonts w:hint="eastAsia" w:ascii="仿宋" w:hAnsi="仿宋" w:eastAsia="仿宋" w:cs="Cambria Math"/>
          <w:color w:val="auto"/>
          <w:highlight w:val="none"/>
        </w:rPr>
        <w:t>1. 本响应函及比选响应文件自比选响应文件提交截止日起有效期为</w:t>
      </w:r>
      <w:r>
        <w:rPr>
          <w:rFonts w:ascii="仿宋" w:hAnsi="仿宋" w:eastAsia="仿宋" w:cs="Cambria Math"/>
          <w:color w:val="auto"/>
          <w:highlight w:val="none"/>
          <w:u w:val="single"/>
        </w:rPr>
        <w:t>180</w:t>
      </w:r>
      <w:r>
        <w:rPr>
          <w:rFonts w:hint="eastAsia" w:ascii="仿宋" w:hAnsi="仿宋" w:eastAsia="仿宋" w:cs="Cambria Math"/>
          <w:color w:val="auto"/>
          <w:highlight w:val="none"/>
          <w:u w:val="single"/>
        </w:rPr>
        <w:t>天</w:t>
      </w:r>
      <w:r>
        <w:rPr>
          <w:rFonts w:hint="eastAsia" w:ascii="仿宋" w:hAnsi="仿宋" w:eastAsia="仿宋" w:cs="Cambria Math"/>
          <w:color w:val="auto"/>
          <w:highlight w:val="none"/>
        </w:rPr>
        <w:t>，我方承诺在响应有效期内不修改、撤销比选响应文件。</w:t>
      </w:r>
    </w:p>
    <w:p>
      <w:pPr>
        <w:spacing w:line="440" w:lineRule="exact"/>
        <w:ind w:firstLine="420"/>
        <w:rPr>
          <w:rFonts w:ascii="仿宋" w:hAnsi="仿宋" w:eastAsia="仿宋" w:cs="Cambria Math"/>
          <w:color w:val="auto"/>
          <w:highlight w:val="none"/>
        </w:rPr>
      </w:pPr>
      <w:r>
        <w:rPr>
          <w:rFonts w:ascii="仿宋" w:hAnsi="仿宋" w:eastAsia="仿宋" w:cs="Cambria Math"/>
          <w:color w:val="auto"/>
          <w:highlight w:val="none"/>
        </w:rPr>
        <w:t>2</w:t>
      </w:r>
      <w:r>
        <w:rPr>
          <w:rFonts w:hint="eastAsia" w:ascii="仿宋" w:hAnsi="仿宋" w:eastAsia="仿宋" w:cs="Cambria Math"/>
          <w:color w:val="auto"/>
          <w:highlight w:val="none"/>
        </w:rPr>
        <w:t>. 我方承诺提供比选过程中可能要求的澄清、说明、补正或者算术性错误修正确认，并同意我方提供的以上材料构成我方响应文件的组成部分。</w:t>
      </w:r>
    </w:p>
    <w:p>
      <w:pPr>
        <w:spacing w:line="440" w:lineRule="exact"/>
        <w:ind w:firstLine="420"/>
        <w:rPr>
          <w:rFonts w:ascii="仿宋" w:hAnsi="仿宋" w:eastAsia="仿宋" w:cs="Cambria Math"/>
          <w:color w:val="auto"/>
          <w:highlight w:val="none"/>
        </w:rPr>
      </w:pPr>
      <w:r>
        <w:rPr>
          <w:rFonts w:ascii="仿宋" w:hAnsi="仿宋" w:eastAsia="仿宋" w:cs="Cambria Math"/>
          <w:color w:val="auto"/>
          <w:highlight w:val="none"/>
        </w:rPr>
        <w:t>3</w:t>
      </w:r>
      <w:r>
        <w:rPr>
          <w:rFonts w:hint="eastAsia" w:ascii="仿宋" w:hAnsi="仿宋" w:eastAsia="仿宋" w:cs="Cambria Math"/>
          <w:color w:val="auto"/>
          <w:highlight w:val="none"/>
        </w:rPr>
        <w:t>. 我方同意提供贵方可能要求的与我方响应文件有关的一切数据、资料、证明原件、证件原件，并完全理解贵方不一定接受最低价的响应。</w:t>
      </w:r>
    </w:p>
    <w:p>
      <w:pPr>
        <w:spacing w:line="440" w:lineRule="exact"/>
        <w:ind w:firstLine="420"/>
        <w:rPr>
          <w:rFonts w:ascii="仿宋" w:hAnsi="仿宋" w:eastAsia="仿宋" w:cs="Cambria Math"/>
          <w:color w:val="auto"/>
          <w:highlight w:val="none"/>
        </w:rPr>
      </w:pPr>
      <w:r>
        <w:rPr>
          <w:rFonts w:ascii="仿宋" w:hAnsi="仿宋" w:eastAsia="仿宋" w:cs="Cambria Math"/>
          <w:color w:val="auto"/>
          <w:highlight w:val="none"/>
        </w:rPr>
        <w:t>4</w:t>
      </w:r>
      <w:r>
        <w:rPr>
          <w:rFonts w:hint="eastAsia" w:ascii="仿宋" w:hAnsi="仿宋" w:eastAsia="仿宋" w:cs="Cambria Math"/>
          <w:color w:val="auto"/>
          <w:highlight w:val="none"/>
        </w:rPr>
        <w:t>．我方承诺对在本次采购活动过程中所获知贵方一切商业秘密保密，不会向任何第三方泄露，不会用于本次采购活动之外的任何其他目的。</w:t>
      </w:r>
    </w:p>
    <w:p>
      <w:pPr>
        <w:spacing w:line="440" w:lineRule="exact"/>
        <w:ind w:firstLine="420"/>
        <w:rPr>
          <w:rFonts w:ascii="仿宋" w:hAnsi="仿宋" w:eastAsia="仿宋" w:cs="Cambria Math"/>
          <w:color w:val="auto"/>
          <w:highlight w:val="none"/>
        </w:rPr>
      </w:pPr>
      <w:r>
        <w:rPr>
          <w:rFonts w:ascii="仿宋" w:hAnsi="仿宋" w:eastAsia="仿宋" w:cs="宋体"/>
          <w:color w:val="auto"/>
          <w:highlight w:val="none"/>
        </w:rPr>
        <w:t>5</w:t>
      </w:r>
      <w:r>
        <w:rPr>
          <w:rFonts w:hint="eastAsia" w:ascii="仿宋" w:hAnsi="仿宋" w:eastAsia="仿宋" w:cs="宋体"/>
          <w:color w:val="auto"/>
          <w:highlight w:val="none"/>
        </w:rPr>
        <w:t>．我方承诺对所递交的响应文件及有关材料的真实性、合法性、完整性、准确性承担法律责任。如有弄虚作假、串通投标、行贿等违法违规行为，将承担相应的法律责任，并赔偿由此给贵方造成的一切损失。</w:t>
      </w:r>
    </w:p>
    <w:p>
      <w:pPr>
        <w:spacing w:line="440" w:lineRule="exact"/>
        <w:ind w:firstLine="420"/>
        <w:rPr>
          <w:rFonts w:ascii="仿宋" w:hAnsi="仿宋" w:eastAsia="仿宋" w:cs="Cambria Math"/>
          <w:color w:val="auto"/>
          <w:highlight w:val="none"/>
        </w:rPr>
      </w:pPr>
      <w:r>
        <w:rPr>
          <w:rFonts w:ascii="仿宋" w:hAnsi="仿宋" w:eastAsia="仿宋" w:cs="Cambria Math"/>
          <w:color w:val="auto"/>
          <w:highlight w:val="none"/>
        </w:rPr>
        <w:t>6</w:t>
      </w:r>
      <w:r>
        <w:rPr>
          <w:rFonts w:hint="eastAsia" w:ascii="仿宋" w:hAnsi="仿宋" w:eastAsia="仿宋" w:cs="Cambria Math"/>
          <w:color w:val="auto"/>
          <w:highlight w:val="none"/>
        </w:rPr>
        <w:t>. 如我方成交：</w:t>
      </w:r>
    </w:p>
    <w:p>
      <w:pPr>
        <w:spacing w:line="440" w:lineRule="exact"/>
        <w:ind w:firstLine="420"/>
        <w:rPr>
          <w:rFonts w:ascii="仿宋" w:hAnsi="仿宋" w:eastAsia="仿宋" w:cs="Cambria Math"/>
          <w:color w:val="auto"/>
          <w:highlight w:val="none"/>
        </w:rPr>
      </w:pPr>
      <w:r>
        <w:rPr>
          <w:rFonts w:hint="eastAsia" w:ascii="仿宋" w:hAnsi="仿宋" w:eastAsia="仿宋" w:cs="Cambria Math"/>
          <w:color w:val="auto"/>
          <w:highlight w:val="none"/>
        </w:rPr>
        <w:t>（1）我方承诺在收到成交通知书后，在成交通知书规定的期限内与贵方签订合同。</w:t>
      </w:r>
    </w:p>
    <w:p>
      <w:pPr>
        <w:spacing w:line="440" w:lineRule="exact"/>
        <w:ind w:firstLine="420"/>
        <w:rPr>
          <w:rFonts w:ascii="仿宋" w:hAnsi="仿宋" w:eastAsia="仿宋" w:cs="Cambria Math"/>
          <w:color w:val="auto"/>
          <w:highlight w:val="none"/>
        </w:rPr>
      </w:pPr>
      <w:r>
        <w:rPr>
          <w:rFonts w:hint="eastAsia" w:ascii="仿宋" w:hAnsi="仿宋" w:eastAsia="仿宋" w:cs="Cambria Math"/>
          <w:color w:val="auto"/>
          <w:highlight w:val="none"/>
        </w:rPr>
        <w:t>（2）我方承诺按照比选文件规定递交履约保证金。</w:t>
      </w:r>
    </w:p>
    <w:p>
      <w:pPr>
        <w:spacing w:line="440" w:lineRule="exact"/>
        <w:ind w:firstLine="420"/>
        <w:rPr>
          <w:rFonts w:ascii="仿宋" w:hAnsi="仿宋" w:eastAsia="仿宋" w:cs="Cambria Math"/>
          <w:color w:val="auto"/>
          <w:highlight w:val="none"/>
        </w:rPr>
      </w:pPr>
      <w:r>
        <w:rPr>
          <w:rFonts w:hint="eastAsia" w:ascii="仿宋" w:hAnsi="仿宋" w:eastAsia="仿宋" w:cs="Cambria Math"/>
          <w:color w:val="auto"/>
          <w:highlight w:val="none"/>
        </w:rPr>
        <w:t>（3）我方承诺按照比选文件的规定及合同约定履行相关责任和义务。</w:t>
      </w:r>
    </w:p>
    <w:p>
      <w:pPr>
        <w:spacing w:line="440" w:lineRule="exact"/>
        <w:ind w:firstLine="420"/>
        <w:rPr>
          <w:rFonts w:ascii="仿宋" w:hAnsi="仿宋" w:eastAsia="仿宋" w:cs="Cambria Math"/>
          <w:color w:val="auto"/>
          <w:highlight w:val="none"/>
        </w:rPr>
      </w:pPr>
      <w:r>
        <w:rPr>
          <w:rFonts w:hint="eastAsia" w:ascii="仿宋" w:hAnsi="仿宋" w:eastAsia="仿宋" w:cs="Cambria Math"/>
          <w:color w:val="auto"/>
          <w:highlight w:val="none"/>
        </w:rPr>
        <w:t>（4）我方在此承诺，双方合作后可开具增值税</w:t>
      </w:r>
      <w:r>
        <w:rPr>
          <w:rFonts w:hint="eastAsia" w:ascii="仿宋" w:hAnsi="仿宋" w:eastAsia="仿宋" w:cs="Cambria Math"/>
          <w:color w:val="auto"/>
          <w:highlight w:val="none"/>
          <w:lang w:eastAsia="zh-CN"/>
        </w:rPr>
        <w:t>普通</w:t>
      </w:r>
      <w:r>
        <w:rPr>
          <w:rFonts w:hint="eastAsia" w:ascii="仿宋" w:hAnsi="仿宋" w:eastAsia="仿宋" w:cs="Cambria Math"/>
          <w:color w:val="auto"/>
          <w:highlight w:val="none"/>
        </w:rPr>
        <w:t>发票。</w:t>
      </w:r>
    </w:p>
    <w:p>
      <w:pPr>
        <w:spacing w:line="440" w:lineRule="exact"/>
        <w:ind w:firstLine="4080" w:firstLineChars="1700"/>
        <w:jc w:val="right"/>
        <w:rPr>
          <w:rFonts w:ascii="仿宋" w:hAnsi="仿宋" w:eastAsia="仿宋" w:cs="仿宋"/>
          <w:color w:val="auto"/>
          <w:highlight w:val="none"/>
        </w:rPr>
      </w:pPr>
    </w:p>
    <w:p>
      <w:pPr>
        <w:spacing w:line="440" w:lineRule="exact"/>
        <w:ind w:firstLine="4080" w:firstLineChars="1700"/>
        <w:jc w:val="right"/>
        <w:rPr>
          <w:rFonts w:ascii="仿宋" w:hAnsi="仿宋" w:eastAsia="仿宋" w:cs="仿宋"/>
          <w:color w:val="auto"/>
          <w:highlight w:val="none"/>
        </w:rPr>
      </w:pPr>
      <w:r>
        <w:rPr>
          <w:rFonts w:hint="eastAsia" w:ascii="仿宋" w:hAnsi="仿宋" w:eastAsia="仿宋" w:cs="仿宋"/>
          <w:color w:val="auto"/>
          <w:highlight w:val="none"/>
        </w:rPr>
        <w:t>供应商名称：</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（盖章）</w:t>
      </w:r>
    </w:p>
    <w:p>
      <w:pPr>
        <w:spacing w:line="440" w:lineRule="exact"/>
        <w:jc w:val="right"/>
        <w:rPr>
          <w:rFonts w:ascii="仿宋" w:hAnsi="仿宋" w:eastAsia="仿宋" w:cs="仿宋"/>
          <w:color w:val="auto"/>
          <w:highlight w:val="none"/>
        </w:rPr>
      </w:pPr>
      <w:r>
        <w:rPr>
          <w:rFonts w:hint="eastAsia" w:ascii="仿宋" w:hAnsi="仿宋" w:eastAsia="仿宋" w:cs="仿宋"/>
          <w:color w:val="auto"/>
          <w:highlight w:val="none"/>
        </w:rPr>
        <w:t>日期：</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日</w:t>
      </w:r>
    </w:p>
    <w:p>
      <w:pPr>
        <w:pStyle w:val="5"/>
        <w:spacing w:before="0" w:after="0" w:line="360" w:lineRule="auto"/>
        <w:rPr>
          <w:rFonts w:ascii="仿宋" w:hAnsi="仿宋" w:eastAsia="仿宋" w:cs="仿宋"/>
          <w:color w:val="auto"/>
          <w:sz w:val="24"/>
          <w:szCs w:val="24"/>
          <w:highlight w:val="none"/>
        </w:rPr>
      </w:pPr>
      <w:r>
        <w:rPr>
          <w:rFonts w:ascii="仿宋" w:hAnsi="仿宋" w:eastAsia="仿宋" w:cs="仿宋"/>
          <w:color w:val="auto"/>
          <w:sz w:val="24"/>
          <w:szCs w:val="24"/>
          <w:highlight w:val="none"/>
        </w:rPr>
        <w:br w:type="page"/>
      </w:r>
      <w:bookmarkEnd w:id="163"/>
      <w:bookmarkEnd w:id="164"/>
      <w:bookmarkEnd w:id="168"/>
      <w:bookmarkEnd w:id="169"/>
      <w:bookmarkEnd w:id="170"/>
      <w:bookmarkEnd w:id="171"/>
      <w:bookmarkEnd w:id="172"/>
      <w:bookmarkEnd w:id="173"/>
      <w:bookmarkStart w:id="174" w:name="_Toc23285"/>
      <w:bookmarkStart w:id="175" w:name="_Toc13983"/>
      <w:r>
        <w:rPr>
          <w:rFonts w:hint="eastAsia" w:ascii="仿宋" w:hAnsi="仿宋" w:eastAsia="仿宋" w:cs="仿宋"/>
          <w:color w:val="auto"/>
          <w:sz w:val="24"/>
          <w:szCs w:val="24"/>
          <w:highlight w:val="none"/>
        </w:rPr>
        <w:t>（二）法定代表人（负责人）身份证明书</w:t>
      </w:r>
      <w:bookmarkEnd w:id="174"/>
      <w:bookmarkEnd w:id="175"/>
      <w:r>
        <w:rPr>
          <w:rFonts w:hint="eastAsia" w:ascii="仿宋" w:hAnsi="仿宋" w:eastAsia="仿宋" w:cs="仿宋"/>
          <w:color w:val="auto"/>
          <w:sz w:val="24"/>
          <w:szCs w:val="24"/>
          <w:highlight w:val="none"/>
        </w:rPr>
        <w:tab/>
      </w:r>
    </w:p>
    <w:p>
      <w:pPr>
        <w:spacing w:line="360" w:lineRule="auto"/>
        <w:jc w:val="center"/>
        <w:rPr>
          <w:rFonts w:ascii="仿宋" w:hAnsi="仿宋" w:eastAsia="仿宋" w:cs="仿宋"/>
          <w:b/>
          <w:color w:val="auto"/>
          <w:highlight w:val="none"/>
        </w:rPr>
      </w:pPr>
      <w:r>
        <w:rPr>
          <w:rFonts w:hint="eastAsia" w:ascii="仿宋" w:hAnsi="仿宋" w:eastAsia="仿宋" w:cs="仿宋"/>
          <w:b/>
          <w:color w:val="auto"/>
          <w:highlight w:val="none"/>
        </w:rPr>
        <w:t>法定代表人（负责人）身份证明书</w:t>
      </w:r>
      <w:r>
        <w:rPr>
          <w:rFonts w:hint="eastAsia" w:ascii="仿宋" w:hAnsi="仿宋" w:eastAsia="仿宋" w:cs="仿宋"/>
          <w:b/>
          <w:color w:val="auto"/>
          <w:highlight w:val="none"/>
        </w:rPr>
        <w:tab/>
      </w:r>
    </w:p>
    <w:p>
      <w:pPr>
        <w:spacing w:line="360" w:lineRule="auto"/>
        <w:rPr>
          <w:rFonts w:ascii="仿宋" w:hAnsi="仿宋" w:eastAsia="仿宋" w:cs="仿宋"/>
          <w:b/>
          <w:color w:val="auto"/>
          <w:highlight w:val="none"/>
        </w:rPr>
      </w:pPr>
    </w:p>
    <w:p>
      <w:pPr>
        <w:topLinePunct/>
        <w:spacing w:line="360" w:lineRule="auto"/>
        <w:rPr>
          <w:rFonts w:ascii="仿宋" w:hAnsi="仿宋" w:eastAsia="仿宋" w:cs="仿宋"/>
          <w:color w:val="auto"/>
          <w:highlight w:val="none"/>
          <w:u w:val="single"/>
        </w:rPr>
      </w:pPr>
      <w:r>
        <w:rPr>
          <w:rFonts w:hint="eastAsia" w:ascii="仿宋" w:hAnsi="仿宋" w:eastAsia="仿宋" w:cs="仿宋"/>
          <w:color w:val="auto"/>
          <w:highlight w:val="none"/>
        </w:rPr>
        <w:t>供应商名称：</w:t>
      </w:r>
      <w:r>
        <w:rPr>
          <w:rFonts w:hint="eastAsia" w:ascii="仿宋" w:hAnsi="仿宋" w:eastAsia="仿宋" w:cs="仿宋"/>
          <w:color w:val="auto"/>
          <w:highlight w:val="none"/>
          <w:u w:val="single"/>
        </w:rPr>
        <w:t xml:space="preserve">                         </w:t>
      </w:r>
    </w:p>
    <w:p>
      <w:pPr>
        <w:topLinePunct/>
        <w:spacing w:line="360" w:lineRule="auto"/>
        <w:rPr>
          <w:rFonts w:ascii="仿宋" w:hAnsi="仿宋" w:eastAsia="仿宋" w:cs="仿宋"/>
          <w:color w:val="auto"/>
          <w:highlight w:val="none"/>
        </w:rPr>
      </w:pPr>
      <w:r>
        <w:rPr>
          <w:rFonts w:hint="eastAsia" w:ascii="仿宋" w:hAnsi="仿宋" w:eastAsia="仿宋" w:cs="仿宋"/>
          <w:color w:val="auto"/>
          <w:highlight w:val="none"/>
        </w:rPr>
        <w:t>成立时间：</w:t>
      </w:r>
      <w:r>
        <w:rPr>
          <w:rFonts w:hint="eastAsia" w:ascii="仿宋" w:hAnsi="仿宋" w:eastAsia="仿宋" w:cs="仿宋"/>
          <w:color w:val="auto"/>
          <w:highlight w:val="none"/>
          <w:u w:val="single"/>
        </w:rPr>
        <w:t xml:space="preserve"> </w:t>
      </w:r>
      <w:r>
        <w:rPr>
          <w:rFonts w:ascii="仿宋" w:hAnsi="仿宋" w:eastAsia="仿宋" w:cs="仿宋"/>
          <w:color w:val="auto"/>
          <w:highlight w:val="none"/>
          <w:u w:val="single"/>
        </w:rPr>
        <w:t xml:space="preserve">     </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日</w:t>
      </w:r>
    </w:p>
    <w:p>
      <w:pPr>
        <w:topLinePunct/>
        <w:spacing w:line="360" w:lineRule="auto"/>
        <w:rPr>
          <w:rFonts w:ascii="仿宋" w:hAnsi="仿宋" w:eastAsia="仿宋" w:cs="仿宋"/>
          <w:color w:val="auto"/>
          <w:highlight w:val="none"/>
          <w:u w:val="single"/>
        </w:rPr>
      </w:pPr>
      <w:r>
        <w:rPr>
          <w:rFonts w:hint="eastAsia" w:ascii="仿宋" w:hAnsi="仿宋" w:eastAsia="仿宋" w:cs="仿宋"/>
          <w:color w:val="auto"/>
          <w:highlight w:val="none"/>
        </w:rPr>
        <w:t>姓名：</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性别：</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年龄：</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职务：</w:t>
      </w:r>
      <w:r>
        <w:rPr>
          <w:rFonts w:hint="eastAsia" w:ascii="仿宋" w:hAnsi="仿宋" w:eastAsia="仿宋" w:cs="仿宋"/>
          <w:color w:val="auto"/>
          <w:highlight w:val="none"/>
          <w:u w:val="single"/>
        </w:rPr>
        <w:t xml:space="preserve">         </w:t>
      </w:r>
    </w:p>
    <w:p>
      <w:pPr>
        <w:topLinePunct/>
        <w:spacing w:line="360" w:lineRule="auto"/>
        <w:rPr>
          <w:rFonts w:ascii="仿宋" w:hAnsi="仿宋" w:eastAsia="仿宋" w:cs="仿宋"/>
          <w:color w:val="auto"/>
          <w:highlight w:val="none"/>
        </w:rPr>
      </w:pPr>
      <w:r>
        <w:rPr>
          <w:rFonts w:hint="eastAsia" w:ascii="仿宋" w:hAnsi="仿宋" w:eastAsia="仿宋" w:cs="仿宋"/>
          <w:color w:val="auto"/>
          <w:highlight w:val="none"/>
        </w:rPr>
        <w:t>系</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（供应商名称）的法定代表人（负责人）。</w:t>
      </w:r>
    </w:p>
    <w:p>
      <w:pPr>
        <w:topLinePunct/>
        <w:spacing w:line="360" w:lineRule="auto"/>
        <w:rPr>
          <w:rFonts w:ascii="仿宋" w:hAnsi="仿宋" w:eastAsia="仿宋" w:cs="仿宋"/>
          <w:color w:val="auto"/>
          <w:highlight w:val="none"/>
        </w:rPr>
      </w:pPr>
      <w:r>
        <w:rPr>
          <w:rFonts w:hint="eastAsia" w:ascii="仿宋" w:hAnsi="仿宋" w:eastAsia="仿宋" w:cs="仿宋"/>
          <w:color w:val="auto"/>
          <w:highlight w:val="none"/>
        </w:rPr>
        <w:t>特此证明。</w:t>
      </w:r>
    </w:p>
    <w:p>
      <w:pPr>
        <w:topLinePunct/>
        <w:spacing w:line="360" w:lineRule="auto"/>
        <w:rPr>
          <w:rFonts w:ascii="仿宋" w:hAnsi="仿宋" w:eastAsia="仿宋" w:cs="仿宋"/>
          <w:color w:val="auto"/>
          <w:highlight w:val="none"/>
        </w:rPr>
      </w:pPr>
    </w:p>
    <w:p>
      <w:pPr>
        <w:spacing w:line="360" w:lineRule="auto"/>
        <w:rPr>
          <w:rFonts w:ascii="仿宋" w:hAnsi="仿宋" w:eastAsia="仿宋" w:cs="仿宋"/>
          <w:b/>
          <w:bCs/>
          <w:color w:val="auto"/>
          <w:highlight w:val="none"/>
        </w:rPr>
      </w:pPr>
      <w:r>
        <w:rPr>
          <w:rFonts w:hint="eastAsia" w:ascii="仿宋" w:hAnsi="仿宋" w:eastAsia="仿宋" w:cs="仿宋"/>
          <w:b/>
          <w:bCs/>
          <w:color w:val="auto"/>
          <w:highlight w:val="none"/>
        </w:rPr>
        <w:t>附：法定代表人（负责人）身份证复印件（需同时提供正面及背面）。</w:t>
      </w:r>
    </w:p>
    <w:p>
      <w:pPr>
        <w:spacing w:line="360" w:lineRule="auto"/>
        <w:rPr>
          <w:rFonts w:ascii="仿宋" w:hAnsi="仿宋" w:eastAsia="仿宋" w:cs="仿宋"/>
          <w:color w:val="auto"/>
          <w:highlight w:val="none"/>
        </w:rPr>
      </w:pPr>
      <w:r>
        <w:rPr>
          <w:rFonts w:hint="eastAsia" w:ascii="仿宋" w:hAnsi="仿宋" w:eastAsia="仿宋" w:cs="仿宋"/>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174625</wp:posOffset>
                </wp:positionH>
                <wp:positionV relativeFrom="paragraph">
                  <wp:posOffset>109855</wp:posOffset>
                </wp:positionV>
                <wp:extent cx="2802890" cy="2133600"/>
                <wp:effectExtent l="7620" t="7620" r="8890" b="17780"/>
                <wp:wrapNone/>
                <wp:docPr id="2" name="矩形 37"/>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7" o:spid="_x0000_s1026" o:spt="1" style="position:absolute;left:0pt;margin-left:13.75pt;margin-top:8.65pt;height:168pt;width:220.7pt;z-index:251661312;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zCffdkAAAAJAQAADwAAAAAAAAAB&#10;ACAAAAAiAAAAZHJzL2Rvd25yZXYueG1sUEsBAhQAFAAAAAgAh07iQNHpmKgPAgAALwQAAA4AAAAA&#10;AAAAAQAgAAAAKAEAAGRycy9lMm9Eb2MueG1sUEsFBgAAAAAGAAYAWQEAAKkFAAAAAA==&#10;">
                <v:fill on="t" focussize="0,0"/>
                <v:stroke weight="1.25pt" color="#739CC3" joinstyle="miter"/>
                <v:imagedata o:title=""/>
                <o:lock v:ext="edit" aspectratio="f"/>
              </v:rect>
            </w:pict>
          </mc:Fallback>
        </mc:AlternateContent>
      </w:r>
      <w:r>
        <w:rPr>
          <w:rFonts w:hint="eastAsia" w:ascii="仿宋" w:hAnsi="仿宋" w:eastAsia="仿宋" w:cs="仿宋"/>
          <w:color w:val="auto"/>
          <w:highlight w:val="none"/>
        </w:rPr>
        <mc:AlternateContent>
          <mc:Choice Requires="wps">
            <w:drawing>
              <wp:anchor distT="0" distB="0" distL="114300" distR="114300" simplePos="0" relativeHeight="251662336" behindDoc="0" locked="0" layoutInCell="1" allowOverlap="1">
                <wp:simplePos x="0" y="0"/>
                <wp:positionH relativeFrom="column">
                  <wp:posOffset>2977515</wp:posOffset>
                </wp:positionH>
                <wp:positionV relativeFrom="paragraph">
                  <wp:posOffset>109855</wp:posOffset>
                </wp:positionV>
                <wp:extent cx="2802890" cy="2133600"/>
                <wp:effectExtent l="7620" t="7620" r="8890" b="17780"/>
                <wp:wrapNone/>
                <wp:docPr id="3" name="矩形 38"/>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8" o:spid="_x0000_s1026" o:spt="1" style="position:absolute;left:0pt;margin-left:234.45pt;margin-top:8.65pt;height:168pt;width:220.7pt;z-index:251662336;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ELUltkAAAAKAQAADwAAAAAAAAAB&#10;ACAAAAAiAAAAZHJzL2Rvd25yZXYueG1sUEsBAhQAFAAAAAgAh07iQIlvdOQPAgAALwQAAA4AAAAA&#10;AAAAAQAgAAAAKAEAAGRycy9lMm9Eb2MueG1sUEsFBgAAAAAGAAYAWQEAAKkFAAAAAA==&#10;">
                <v:fill on="t" focussize="0,0"/>
                <v:stroke weight="1.25pt" color="#739CC3" joinstyle="miter"/>
                <v:imagedata o:title=""/>
                <o:lock v:ext="edit" aspectratio="f"/>
              </v:rect>
            </w:pict>
          </mc:Fallback>
        </mc:AlternateContent>
      </w:r>
    </w:p>
    <w:p>
      <w:pPr>
        <w:pStyle w:val="61"/>
        <w:spacing w:line="440" w:lineRule="atLeast"/>
        <w:ind w:firstLine="480"/>
        <w:jc w:val="left"/>
        <w:rPr>
          <w:rFonts w:ascii="仿宋" w:hAnsi="仿宋" w:eastAsia="仿宋" w:cs="仿宋"/>
          <w:color w:val="auto"/>
          <w:highlight w:val="none"/>
        </w:rPr>
      </w:pPr>
    </w:p>
    <w:p>
      <w:pPr>
        <w:pStyle w:val="61"/>
        <w:spacing w:line="440" w:lineRule="atLeast"/>
        <w:ind w:firstLine="480"/>
        <w:jc w:val="left"/>
        <w:rPr>
          <w:rFonts w:ascii="仿宋" w:hAnsi="仿宋" w:eastAsia="仿宋" w:cs="仿宋"/>
          <w:color w:val="auto"/>
          <w:highlight w:val="none"/>
        </w:rPr>
      </w:pPr>
    </w:p>
    <w:p>
      <w:pPr>
        <w:pStyle w:val="61"/>
        <w:spacing w:line="440" w:lineRule="atLeast"/>
        <w:ind w:firstLine="480"/>
        <w:jc w:val="left"/>
        <w:rPr>
          <w:rFonts w:ascii="仿宋" w:hAnsi="仿宋" w:eastAsia="仿宋" w:cs="仿宋"/>
          <w:color w:val="auto"/>
          <w:highlight w:val="none"/>
        </w:rPr>
      </w:pPr>
    </w:p>
    <w:p>
      <w:pPr>
        <w:spacing w:line="360" w:lineRule="auto"/>
        <w:ind w:firstLine="610"/>
        <w:rPr>
          <w:rFonts w:ascii="仿宋" w:hAnsi="仿宋" w:eastAsia="仿宋" w:cs="仿宋"/>
          <w:color w:val="auto"/>
          <w:highlight w:val="none"/>
        </w:rPr>
      </w:pPr>
    </w:p>
    <w:p>
      <w:pPr>
        <w:tabs>
          <w:tab w:val="left" w:pos="720"/>
          <w:tab w:val="left" w:pos="900"/>
        </w:tabs>
        <w:spacing w:line="360" w:lineRule="auto"/>
        <w:rPr>
          <w:rFonts w:ascii="仿宋" w:hAnsi="仿宋" w:eastAsia="仿宋" w:cs="仿宋"/>
          <w:color w:val="auto"/>
          <w:highlight w:val="none"/>
        </w:rPr>
      </w:pPr>
    </w:p>
    <w:p>
      <w:pPr>
        <w:spacing w:line="440" w:lineRule="exact"/>
        <w:ind w:firstLine="4080" w:firstLineChars="1700"/>
        <w:jc w:val="right"/>
        <w:rPr>
          <w:rFonts w:ascii="仿宋" w:hAnsi="仿宋" w:eastAsia="仿宋" w:cs="仿宋"/>
          <w:color w:val="auto"/>
          <w:highlight w:val="none"/>
        </w:rPr>
      </w:pPr>
    </w:p>
    <w:p>
      <w:pPr>
        <w:wordWrap w:val="0"/>
        <w:spacing w:line="440" w:lineRule="exact"/>
        <w:ind w:firstLine="4080" w:firstLineChars="1700"/>
        <w:jc w:val="right"/>
        <w:rPr>
          <w:rFonts w:ascii="仿宋" w:hAnsi="仿宋" w:eastAsia="仿宋" w:cs="仿宋"/>
          <w:color w:val="auto"/>
          <w:highlight w:val="none"/>
        </w:rPr>
      </w:pPr>
      <w:r>
        <w:rPr>
          <w:rFonts w:hint="eastAsia" w:ascii="仿宋" w:hAnsi="仿宋" w:eastAsia="仿宋" w:cs="仿宋"/>
          <w:color w:val="auto"/>
          <w:highlight w:val="none"/>
        </w:rPr>
        <w:t xml:space="preserve"> </w:t>
      </w:r>
      <w:r>
        <w:rPr>
          <w:rFonts w:ascii="仿宋" w:hAnsi="仿宋" w:eastAsia="仿宋" w:cs="仿宋"/>
          <w:color w:val="auto"/>
          <w:highlight w:val="none"/>
        </w:rPr>
        <w:t xml:space="preserve">  </w:t>
      </w:r>
    </w:p>
    <w:p>
      <w:pPr>
        <w:spacing w:line="440" w:lineRule="exact"/>
        <w:ind w:firstLine="4080" w:firstLineChars="1700"/>
        <w:jc w:val="right"/>
        <w:rPr>
          <w:rFonts w:ascii="仿宋" w:hAnsi="仿宋" w:eastAsia="仿宋" w:cs="仿宋"/>
          <w:color w:val="auto"/>
          <w:highlight w:val="none"/>
        </w:rPr>
      </w:pPr>
      <w:r>
        <w:rPr>
          <w:rFonts w:ascii="仿宋" w:hAnsi="仿宋" w:eastAsia="仿宋" w:cs="仿宋"/>
          <w:color w:val="auto"/>
          <w:highlight w:val="none"/>
        </w:rPr>
        <w:t xml:space="preserve">    </w:t>
      </w:r>
    </w:p>
    <w:p>
      <w:pPr>
        <w:spacing w:line="440" w:lineRule="exact"/>
        <w:ind w:firstLine="4080" w:firstLineChars="1700"/>
        <w:jc w:val="right"/>
        <w:rPr>
          <w:rFonts w:ascii="仿宋" w:hAnsi="仿宋" w:eastAsia="仿宋" w:cs="仿宋"/>
          <w:color w:val="auto"/>
          <w:highlight w:val="none"/>
        </w:rPr>
      </w:pPr>
      <w:r>
        <w:rPr>
          <w:rFonts w:ascii="仿宋" w:hAnsi="仿宋" w:eastAsia="仿宋" w:cs="仿宋"/>
          <w:color w:val="auto"/>
          <w:highlight w:val="none"/>
        </w:rPr>
        <w:t xml:space="preserve"> </w:t>
      </w:r>
      <w:r>
        <w:rPr>
          <w:rFonts w:hint="eastAsia" w:ascii="仿宋" w:hAnsi="仿宋" w:eastAsia="仿宋" w:cs="仿宋"/>
          <w:color w:val="auto"/>
          <w:highlight w:val="none"/>
        </w:rPr>
        <w:t xml:space="preserve"> </w:t>
      </w:r>
      <w:r>
        <w:rPr>
          <w:rFonts w:ascii="仿宋" w:hAnsi="仿宋" w:eastAsia="仿宋" w:cs="仿宋"/>
          <w:color w:val="auto"/>
          <w:highlight w:val="none"/>
        </w:rPr>
        <w:t xml:space="preserve">   </w:t>
      </w:r>
    </w:p>
    <w:p>
      <w:pPr>
        <w:spacing w:line="440" w:lineRule="exact"/>
        <w:ind w:firstLine="4080" w:firstLineChars="1700"/>
        <w:jc w:val="right"/>
        <w:rPr>
          <w:rFonts w:ascii="仿宋" w:hAnsi="仿宋" w:eastAsia="仿宋" w:cs="仿宋"/>
          <w:color w:val="auto"/>
          <w:highlight w:val="none"/>
        </w:rPr>
      </w:pPr>
      <w:r>
        <w:rPr>
          <w:rFonts w:hint="eastAsia" w:ascii="仿宋" w:hAnsi="仿宋" w:eastAsia="仿宋" w:cs="仿宋"/>
          <w:color w:val="auto"/>
          <w:highlight w:val="none"/>
        </w:rPr>
        <w:t>供应商名称：</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（盖章）</w:t>
      </w:r>
    </w:p>
    <w:p>
      <w:pPr>
        <w:spacing w:line="440" w:lineRule="exact"/>
        <w:jc w:val="right"/>
        <w:rPr>
          <w:rFonts w:ascii="仿宋" w:hAnsi="仿宋" w:eastAsia="仿宋" w:cs="仿宋"/>
          <w:b/>
          <w:bCs/>
          <w:color w:val="auto"/>
          <w:highlight w:val="none"/>
        </w:rPr>
      </w:pPr>
      <w:r>
        <w:rPr>
          <w:rFonts w:hint="eastAsia" w:ascii="仿宋" w:hAnsi="仿宋" w:eastAsia="仿宋" w:cs="仿宋"/>
          <w:color w:val="auto"/>
          <w:highlight w:val="none"/>
        </w:rPr>
        <w:t>日期：</w:t>
      </w:r>
      <w:r>
        <w:rPr>
          <w:rFonts w:hint="eastAsia" w:ascii="仿宋" w:hAnsi="仿宋" w:eastAsia="仿宋" w:cs="仿宋"/>
          <w:color w:val="auto"/>
          <w:highlight w:val="none"/>
          <w:u w:val="single"/>
        </w:rPr>
        <w:t xml:space="preserve"> </w:t>
      </w:r>
      <w:r>
        <w:rPr>
          <w:rFonts w:ascii="仿宋" w:hAnsi="仿宋" w:eastAsia="仿宋" w:cs="仿宋"/>
          <w:color w:val="auto"/>
          <w:highlight w:val="none"/>
          <w:u w:val="single"/>
        </w:rPr>
        <w:t xml:space="preserve">      </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rPr>
        <w:t xml:space="preserve">   </w:t>
      </w:r>
      <w:r>
        <w:rPr>
          <w:rFonts w:ascii="仿宋" w:hAnsi="仿宋" w:eastAsia="仿宋" w:cs="仿宋"/>
          <w:color w:val="auto"/>
          <w:highlight w:val="none"/>
          <w:u w:val="single"/>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日</w:t>
      </w:r>
    </w:p>
    <w:p>
      <w:pPr>
        <w:tabs>
          <w:tab w:val="left" w:pos="720"/>
          <w:tab w:val="left" w:pos="900"/>
        </w:tabs>
        <w:spacing w:line="360" w:lineRule="auto"/>
        <w:ind w:left="1078"/>
        <w:rPr>
          <w:rFonts w:ascii="仿宋" w:hAnsi="仿宋" w:eastAsia="仿宋" w:cs="仿宋"/>
          <w:color w:val="auto"/>
          <w:highlight w:val="none"/>
        </w:rPr>
      </w:pPr>
    </w:p>
    <w:p>
      <w:pPr>
        <w:tabs>
          <w:tab w:val="left" w:pos="720"/>
          <w:tab w:val="left" w:pos="900"/>
        </w:tabs>
        <w:spacing w:line="360" w:lineRule="auto"/>
        <w:ind w:left="1078"/>
        <w:rPr>
          <w:rFonts w:ascii="仿宋" w:hAnsi="仿宋" w:eastAsia="仿宋" w:cs="仿宋"/>
          <w:color w:val="auto"/>
          <w:highlight w:val="none"/>
        </w:rPr>
      </w:pPr>
    </w:p>
    <w:p>
      <w:pPr>
        <w:pStyle w:val="5"/>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highlight w:val="none"/>
        </w:rPr>
        <w:br w:type="page"/>
      </w:r>
      <w:bookmarkStart w:id="176" w:name="_Toc26267"/>
      <w:bookmarkStart w:id="177" w:name="_Toc517281838"/>
      <w:bookmarkStart w:id="178" w:name="_Toc4426"/>
      <w:bookmarkStart w:id="179" w:name="_Toc5582"/>
      <w:bookmarkStart w:id="180" w:name="_Toc19783361"/>
      <w:bookmarkStart w:id="181" w:name="_Toc287600130"/>
      <w:bookmarkStart w:id="182" w:name="_Toc444891355"/>
      <w:bookmarkStart w:id="183" w:name="_Toc20707"/>
      <w:bookmarkStart w:id="184" w:name="_Toc24788"/>
      <w:bookmarkStart w:id="185" w:name="_Toc23302"/>
      <w:r>
        <w:rPr>
          <w:rFonts w:hint="eastAsia" w:ascii="仿宋" w:hAnsi="仿宋" w:eastAsia="仿宋" w:cs="仿宋"/>
          <w:color w:val="auto"/>
          <w:sz w:val="24"/>
          <w:szCs w:val="24"/>
          <w:highlight w:val="none"/>
        </w:rPr>
        <w:t>（三）法定代表人（负责人）授权委托书</w:t>
      </w:r>
      <w:bookmarkEnd w:id="176"/>
      <w:bookmarkEnd w:id="177"/>
      <w:bookmarkEnd w:id="178"/>
      <w:bookmarkEnd w:id="179"/>
      <w:bookmarkEnd w:id="180"/>
      <w:bookmarkEnd w:id="181"/>
      <w:bookmarkEnd w:id="182"/>
      <w:bookmarkEnd w:id="183"/>
      <w:bookmarkEnd w:id="184"/>
      <w:bookmarkEnd w:id="185"/>
    </w:p>
    <w:p>
      <w:pPr>
        <w:pStyle w:val="61"/>
        <w:spacing w:before="240" w:after="240" w:line="360" w:lineRule="auto"/>
        <w:jc w:val="center"/>
        <w:rPr>
          <w:rFonts w:ascii="仿宋" w:hAnsi="仿宋" w:eastAsia="仿宋" w:cs="Cambria Math"/>
          <w:b/>
          <w:color w:val="auto"/>
          <w:sz w:val="24"/>
          <w:szCs w:val="24"/>
          <w:highlight w:val="none"/>
        </w:rPr>
      </w:pPr>
      <w:r>
        <w:rPr>
          <w:rFonts w:hint="eastAsia" w:ascii="仿宋" w:hAnsi="仿宋" w:eastAsia="仿宋" w:cs="Cambria Math"/>
          <w:b/>
          <w:color w:val="auto"/>
          <w:sz w:val="24"/>
          <w:szCs w:val="24"/>
          <w:highlight w:val="none"/>
        </w:rPr>
        <w:t>法定代表人（负责人）授权委托书</w:t>
      </w:r>
    </w:p>
    <w:p>
      <w:pPr>
        <w:pStyle w:val="61"/>
        <w:topLinePunct/>
        <w:spacing w:line="360" w:lineRule="auto"/>
        <w:ind w:firstLine="480" w:firstLineChars="200"/>
        <w:rPr>
          <w:rFonts w:ascii="仿宋" w:hAnsi="仿宋" w:eastAsia="仿宋" w:cs="Cambria Math"/>
          <w:color w:val="auto"/>
          <w:sz w:val="24"/>
          <w:szCs w:val="24"/>
          <w:highlight w:val="none"/>
        </w:rPr>
      </w:pPr>
      <w:r>
        <w:rPr>
          <w:rFonts w:hint="eastAsia" w:ascii="仿宋" w:hAnsi="仿宋" w:eastAsia="仿宋" w:cs="仿宋"/>
          <w:color w:val="auto"/>
          <w:sz w:val="24"/>
          <w:highlight w:val="none"/>
        </w:rPr>
        <w:t>本人</w:t>
      </w:r>
      <w:r>
        <w:rPr>
          <w:rFonts w:hint="eastAsia" w:ascii="仿宋" w:hAnsi="仿宋" w:eastAsia="仿宋" w:cs="仿宋"/>
          <w:color w:val="auto"/>
          <w:sz w:val="24"/>
          <w:highlight w:val="none"/>
          <w:u w:val="single"/>
        </w:rPr>
        <w:t xml:space="preserve"> （姓名）</w:t>
      </w:r>
      <w:r>
        <w:rPr>
          <w:rFonts w:hint="eastAsia" w:ascii="仿宋" w:hAnsi="仿宋" w:eastAsia="仿宋" w:cs="仿宋"/>
          <w:color w:val="auto"/>
          <w:sz w:val="24"/>
          <w:highlight w:val="none"/>
        </w:rPr>
        <w:t>系</w:t>
      </w:r>
      <w:r>
        <w:rPr>
          <w:rFonts w:hint="eastAsia" w:ascii="仿宋" w:hAnsi="仿宋" w:eastAsia="仿宋" w:cs="仿宋"/>
          <w:color w:val="auto"/>
          <w:sz w:val="24"/>
          <w:highlight w:val="none"/>
          <w:u w:val="single"/>
        </w:rPr>
        <w:t>（供应商名称）</w:t>
      </w:r>
      <w:r>
        <w:rPr>
          <w:rFonts w:hint="eastAsia" w:ascii="仿宋" w:hAnsi="仿宋" w:eastAsia="仿宋" w:cs="仿宋"/>
          <w:color w:val="auto"/>
          <w:sz w:val="24"/>
          <w:highlight w:val="none"/>
        </w:rPr>
        <w:t>的法定代表人</w:t>
      </w:r>
      <w:r>
        <w:rPr>
          <w:rFonts w:hint="eastAsia" w:ascii="仿宋" w:hAnsi="仿宋" w:eastAsia="仿宋" w:cs="仿宋"/>
          <w:color w:val="auto"/>
          <w:sz w:val="24"/>
          <w:szCs w:val="24"/>
          <w:highlight w:val="none"/>
        </w:rPr>
        <w:t>（负责人）</w:t>
      </w:r>
      <w:r>
        <w:rPr>
          <w:rFonts w:hint="eastAsia" w:ascii="仿宋" w:hAnsi="仿宋" w:eastAsia="仿宋" w:cs="仿宋"/>
          <w:color w:val="auto"/>
          <w:sz w:val="24"/>
          <w:highlight w:val="none"/>
        </w:rPr>
        <w:t>，现授权委托</w:t>
      </w:r>
      <w:r>
        <w:rPr>
          <w:rFonts w:hint="eastAsia" w:ascii="仿宋" w:hAnsi="仿宋" w:eastAsia="仿宋" w:cs="仿宋"/>
          <w:color w:val="auto"/>
          <w:sz w:val="24"/>
          <w:highlight w:val="none"/>
          <w:u w:val="single"/>
        </w:rPr>
        <w:t xml:space="preserve"> （姓名）</w:t>
      </w:r>
      <w:r>
        <w:rPr>
          <w:rFonts w:hint="eastAsia" w:ascii="仿宋" w:hAnsi="仿宋" w:eastAsia="仿宋" w:cs="仿宋"/>
          <w:color w:val="auto"/>
          <w:sz w:val="24"/>
          <w:highlight w:val="none"/>
        </w:rPr>
        <w:t>为我方代理人。</w:t>
      </w:r>
      <w:r>
        <w:rPr>
          <w:rFonts w:hint="eastAsia" w:ascii="仿宋" w:hAnsi="仿宋" w:eastAsia="仿宋" w:cs="Cambria Math"/>
          <w:color w:val="auto"/>
          <w:sz w:val="24"/>
          <w:szCs w:val="24"/>
          <w:highlight w:val="none"/>
        </w:rPr>
        <w:t>代理人根据授权，以我方名义签署、澄清、说明、补正、递交、撤回、修改</w:t>
      </w:r>
      <w:r>
        <w:rPr>
          <w:rFonts w:hint="eastAsia" w:ascii="仿宋" w:hAnsi="仿宋" w:eastAsia="仿宋" w:cs="Cambria Math"/>
          <w:color w:val="auto"/>
          <w:sz w:val="24"/>
          <w:szCs w:val="24"/>
          <w:highlight w:val="none"/>
          <w:u w:val="single"/>
        </w:rPr>
        <w:t>（项目名称）</w:t>
      </w:r>
      <w:r>
        <w:rPr>
          <w:rFonts w:hint="eastAsia" w:ascii="仿宋" w:hAnsi="仿宋" w:eastAsia="仿宋" w:cs="Cambria Math"/>
          <w:color w:val="auto"/>
          <w:sz w:val="24"/>
          <w:szCs w:val="24"/>
          <w:highlight w:val="none"/>
        </w:rPr>
        <w:t>比选响应文件、签订合同和处理有关事宜，其法律后果由我方承担。</w:t>
      </w:r>
    </w:p>
    <w:p>
      <w:pPr>
        <w:spacing w:line="360" w:lineRule="auto"/>
        <w:ind w:firstLine="480" w:firstLineChars="200"/>
        <w:rPr>
          <w:rFonts w:ascii="仿宋" w:hAnsi="仿宋" w:eastAsia="仿宋" w:cs="Cambria Math"/>
          <w:color w:val="auto"/>
          <w:highlight w:val="none"/>
        </w:rPr>
      </w:pPr>
      <w:r>
        <w:rPr>
          <w:rFonts w:hint="eastAsia" w:ascii="仿宋" w:hAnsi="仿宋" w:eastAsia="仿宋" w:cs="Cambria Math"/>
          <w:color w:val="auto"/>
          <w:highlight w:val="none"/>
        </w:rPr>
        <w:t>委托期限：</w:t>
      </w:r>
      <w:r>
        <w:rPr>
          <w:rFonts w:hint="eastAsia" w:ascii="仿宋" w:hAnsi="仿宋" w:eastAsia="仿宋" w:cs="Cambria Math"/>
          <w:color w:val="auto"/>
          <w:highlight w:val="none"/>
          <w:u w:val="single"/>
        </w:rPr>
        <w:t xml:space="preserve"> 自</w:t>
      </w:r>
      <w:r>
        <w:rPr>
          <w:rFonts w:hint="eastAsia" w:ascii="仿宋" w:hAnsi="仿宋" w:eastAsia="仿宋" w:cs="微软雅黑"/>
          <w:color w:val="auto"/>
          <w:highlight w:val="none"/>
          <w:u w:val="single"/>
        </w:rPr>
        <w:t>本委托书签字盖章生效</w:t>
      </w:r>
      <w:r>
        <w:rPr>
          <w:rFonts w:hint="eastAsia" w:ascii="仿宋" w:hAnsi="仿宋" w:eastAsia="仿宋" w:cs="Cambria Math"/>
          <w:color w:val="auto"/>
          <w:highlight w:val="none"/>
          <w:u w:val="single"/>
        </w:rPr>
        <w:t xml:space="preserve">之日起至比选响应有效期到期之日为止 </w:t>
      </w:r>
      <w:r>
        <w:rPr>
          <w:rFonts w:hint="eastAsia" w:ascii="仿宋" w:hAnsi="仿宋" w:eastAsia="仿宋" w:cs="Cambria Math"/>
          <w:color w:val="auto"/>
          <w:highlight w:val="none"/>
        </w:rPr>
        <w:t>。</w:t>
      </w:r>
    </w:p>
    <w:p>
      <w:pPr>
        <w:pStyle w:val="61"/>
        <w:spacing w:line="360" w:lineRule="auto"/>
        <w:ind w:firstLine="480" w:firstLineChars="200"/>
        <w:rPr>
          <w:rFonts w:ascii="仿宋" w:hAnsi="仿宋" w:eastAsia="仿宋" w:cs="Cambria Math"/>
          <w:color w:val="auto"/>
          <w:sz w:val="24"/>
          <w:szCs w:val="24"/>
          <w:highlight w:val="none"/>
        </w:rPr>
      </w:pPr>
      <w:r>
        <w:rPr>
          <w:rFonts w:hint="eastAsia" w:ascii="仿宋" w:hAnsi="仿宋" w:eastAsia="仿宋" w:cs="Cambria Math"/>
          <w:color w:val="auto"/>
          <w:sz w:val="24"/>
          <w:szCs w:val="24"/>
          <w:highlight w:val="none"/>
        </w:rPr>
        <w:t>代理人无转委托权。</w:t>
      </w:r>
    </w:p>
    <w:p>
      <w:pPr>
        <w:pStyle w:val="61"/>
        <w:spacing w:line="360" w:lineRule="auto"/>
        <w:ind w:firstLine="482" w:firstLineChars="200"/>
        <w:rPr>
          <w:rFonts w:ascii="仿宋" w:hAnsi="仿宋" w:eastAsia="仿宋" w:cs="Cambria Math"/>
          <w:b/>
          <w:bCs/>
          <w:color w:val="auto"/>
          <w:sz w:val="24"/>
          <w:szCs w:val="24"/>
          <w:highlight w:val="none"/>
        </w:rPr>
      </w:pPr>
    </w:p>
    <w:p>
      <w:pPr>
        <w:pStyle w:val="61"/>
        <w:spacing w:line="360" w:lineRule="auto"/>
        <w:ind w:firstLine="482" w:firstLineChars="200"/>
        <w:rPr>
          <w:rFonts w:ascii="仿宋" w:hAnsi="仿宋" w:eastAsia="仿宋" w:cs="Cambria Math"/>
          <w:color w:val="auto"/>
          <w:sz w:val="24"/>
          <w:szCs w:val="24"/>
          <w:highlight w:val="none"/>
        </w:rPr>
      </w:pPr>
      <w:r>
        <w:rPr>
          <w:rFonts w:hint="eastAsia" w:ascii="仿宋" w:hAnsi="仿宋" w:eastAsia="仿宋" w:cs="Cambria Math"/>
          <w:b/>
          <w:bCs/>
          <w:color w:val="auto"/>
          <w:sz w:val="24"/>
          <w:szCs w:val="24"/>
          <w:highlight w:val="none"/>
        </w:rPr>
        <w:t>附：委托代理人身份证复印件（需同时提供正面及背面）</w:t>
      </w:r>
      <w:r>
        <w:rPr>
          <w:rFonts w:hint="eastAsia" w:ascii="仿宋" w:hAnsi="仿宋" w:eastAsia="仿宋" w:cs="Cambria Math"/>
          <w:color w:val="auto"/>
          <w:sz w:val="24"/>
          <w:szCs w:val="24"/>
          <w:highlight w:val="none"/>
        </w:rPr>
        <w:t>。</w:t>
      </w:r>
    </w:p>
    <w:p>
      <w:pPr>
        <w:pStyle w:val="61"/>
        <w:spacing w:line="440" w:lineRule="atLeast"/>
        <w:ind w:firstLine="480"/>
        <w:jc w:val="left"/>
        <w:rPr>
          <w:rFonts w:ascii="仿宋" w:hAnsi="仿宋" w:eastAsia="仿宋" w:cs="仿宋"/>
          <w:color w:val="auto"/>
          <w:highlight w:val="none"/>
        </w:rPr>
      </w:pPr>
      <w:r>
        <w:rPr>
          <w:rFonts w:hint="eastAsia" w:ascii="仿宋" w:hAnsi="仿宋" w:eastAsia="仿宋" w:cs="仿宋"/>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2976245</wp:posOffset>
                </wp:positionH>
                <wp:positionV relativeFrom="paragraph">
                  <wp:posOffset>60325</wp:posOffset>
                </wp:positionV>
                <wp:extent cx="2802890" cy="1867535"/>
                <wp:effectExtent l="0" t="0" r="16510" b="18415"/>
                <wp:wrapNone/>
                <wp:docPr id="5" name="矩形 40"/>
                <wp:cNvGraphicFramePr/>
                <a:graphic xmlns:a="http://schemas.openxmlformats.org/drawingml/2006/main">
                  <a:graphicData uri="http://schemas.microsoft.com/office/word/2010/wordprocessingShape">
                    <wps:wsp>
                      <wps:cNvSpPr/>
                      <wps:spPr>
                        <a:xfrm>
                          <a:off x="0" y="0"/>
                          <a:ext cx="2802890" cy="186753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40" o:spid="_x0000_s1026" o:spt="1" style="position:absolute;left:0pt;margin-left:234.35pt;margin-top:4.75pt;height:147.05pt;width:220.7pt;z-index:251664384;mso-width-relative:page;mso-height-relative:page;" fillcolor="#C5E0B3" filled="t" stroked="t" coordsize="21600,21600" o:gfxdata="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tgY9GdgAAAAJAQAADwAAAAAAAAABACAA&#10;AAAiAAAAZHJzL2Rvd25yZXYueG1sUEsBAhQAFAAAAAgAh07iQDQB6+8NAgAALwQAAA4AAAAAAAAA&#10;AQAgAAAAJwEAAGRycy9lMm9Eb2MueG1sUEsFBgAAAAAGAAYAWQEAAKYFAAAAAA==&#10;">
                <v:fill on="t" focussize="0,0"/>
                <v:stroke weight="1.25pt" color="#739CC3" joinstyle="miter"/>
                <v:imagedata o:title=""/>
                <o:lock v:ext="edit" aspectratio="f"/>
              </v:rect>
            </w:pict>
          </mc:Fallback>
        </mc:AlternateContent>
      </w:r>
      <w:r>
        <w:rPr>
          <w:rFonts w:hint="eastAsia" w:ascii="仿宋" w:hAnsi="仿宋" w:eastAsia="仿宋" w:cs="仿宋"/>
          <w:color w:val="auto"/>
          <w:highlight w:val="none"/>
        </w:rPr>
        <mc:AlternateContent>
          <mc:Choice Requires="wps">
            <w:drawing>
              <wp:anchor distT="0" distB="0" distL="114300" distR="114300" simplePos="0" relativeHeight="251663360" behindDoc="0" locked="0" layoutInCell="1" allowOverlap="1">
                <wp:simplePos x="0" y="0"/>
                <wp:positionH relativeFrom="column">
                  <wp:posOffset>174625</wp:posOffset>
                </wp:positionH>
                <wp:positionV relativeFrom="paragraph">
                  <wp:posOffset>60325</wp:posOffset>
                </wp:positionV>
                <wp:extent cx="2802890" cy="1867535"/>
                <wp:effectExtent l="0" t="0" r="16510" b="18415"/>
                <wp:wrapNone/>
                <wp:docPr id="4" name="矩形 39"/>
                <wp:cNvGraphicFramePr/>
                <a:graphic xmlns:a="http://schemas.openxmlformats.org/drawingml/2006/main">
                  <a:graphicData uri="http://schemas.microsoft.com/office/word/2010/wordprocessingShape">
                    <wps:wsp>
                      <wps:cNvSpPr/>
                      <wps:spPr>
                        <a:xfrm>
                          <a:off x="0" y="0"/>
                          <a:ext cx="2802890" cy="1867711"/>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9" o:spid="_x0000_s1026" o:spt="1" style="position:absolute;left:0pt;margin-left:13.75pt;margin-top:4.75pt;height:147.05pt;width:220.7pt;z-index:251663360;mso-width-relative:page;mso-height-relative:page;" fillcolor="#C5E0B3" filled="t" stroked="t" coordsize="21600,21600" o:gfxdata="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Qdpa9gAAAAIAQAADwAAAAAAAAABACAA&#10;AAAiAAAAZHJzL2Rvd25yZXYueG1sUEsBAhQAFAAAAAgAh07iQFmApbsNAgAALwQAAA4AAAAAAAAA&#10;AQAgAAAAJwEAAGRycy9lMm9Eb2MueG1sUEsFBgAAAAAGAAYAWQEAAKYFAAAAAA==&#10;">
                <v:fill on="t" focussize="0,0"/>
                <v:stroke weight="1.25pt" color="#739CC3" joinstyle="miter"/>
                <v:imagedata o:title=""/>
                <o:lock v:ext="edit" aspectratio="f"/>
              </v:rect>
            </w:pict>
          </mc:Fallback>
        </mc:AlternateContent>
      </w:r>
    </w:p>
    <w:p>
      <w:pPr>
        <w:pStyle w:val="61"/>
        <w:spacing w:line="440" w:lineRule="atLeast"/>
        <w:ind w:firstLine="480"/>
        <w:jc w:val="left"/>
        <w:rPr>
          <w:rFonts w:ascii="仿宋" w:hAnsi="仿宋" w:eastAsia="仿宋" w:cs="仿宋"/>
          <w:color w:val="auto"/>
          <w:highlight w:val="none"/>
        </w:rPr>
      </w:pPr>
    </w:p>
    <w:p>
      <w:pPr>
        <w:spacing w:line="360" w:lineRule="auto"/>
        <w:ind w:left="720"/>
        <w:rPr>
          <w:rFonts w:ascii="仿宋" w:hAnsi="仿宋" w:eastAsia="仿宋" w:cs="仿宋"/>
          <w:b/>
          <w:color w:val="auto"/>
          <w:highlight w:val="none"/>
        </w:rPr>
      </w:pPr>
    </w:p>
    <w:p>
      <w:pPr>
        <w:tabs>
          <w:tab w:val="left" w:pos="540"/>
        </w:tabs>
        <w:rPr>
          <w:rFonts w:ascii="仿宋" w:hAnsi="仿宋" w:eastAsia="仿宋" w:cs="仿宋"/>
          <w:color w:val="auto"/>
          <w:szCs w:val="21"/>
          <w:highlight w:val="none"/>
        </w:rPr>
      </w:pPr>
      <w:r>
        <w:rPr>
          <w:rFonts w:hint="eastAsia" w:ascii="仿宋" w:hAnsi="仿宋" w:eastAsia="仿宋" w:cs="仿宋"/>
          <w:color w:val="auto"/>
          <w:szCs w:val="21"/>
          <w:highlight w:val="none"/>
        </w:rPr>
        <w:tab/>
      </w:r>
    </w:p>
    <w:p>
      <w:pPr>
        <w:pStyle w:val="2"/>
        <w:rPr>
          <w:rFonts w:ascii="宋体" w:hAnsi="宋体"/>
          <w:color w:val="auto"/>
          <w:szCs w:val="21"/>
          <w:highlight w:val="none"/>
        </w:rPr>
      </w:pPr>
    </w:p>
    <w:p>
      <w:pPr>
        <w:pStyle w:val="2"/>
        <w:rPr>
          <w:rFonts w:ascii="宋体" w:hAnsi="宋体"/>
          <w:color w:val="auto"/>
          <w:szCs w:val="21"/>
          <w:highlight w:val="none"/>
        </w:rPr>
      </w:pPr>
    </w:p>
    <w:p>
      <w:pPr>
        <w:pStyle w:val="2"/>
        <w:rPr>
          <w:rFonts w:ascii="宋体" w:hAnsi="宋体"/>
          <w:color w:val="auto"/>
          <w:szCs w:val="21"/>
          <w:highlight w:val="none"/>
        </w:rPr>
      </w:pPr>
    </w:p>
    <w:p>
      <w:pPr>
        <w:spacing w:line="360" w:lineRule="auto"/>
        <w:ind w:right="420" w:firstLine="4200" w:firstLineChars="1750"/>
        <w:rPr>
          <w:rFonts w:ascii="仿宋" w:hAnsi="仿宋" w:eastAsia="仿宋" w:cs="Cambria Math"/>
          <w:color w:val="auto"/>
          <w:highlight w:val="none"/>
        </w:rPr>
      </w:pPr>
      <w:r>
        <w:rPr>
          <w:rFonts w:hint="eastAsia" w:ascii="仿宋" w:hAnsi="仿宋" w:eastAsia="仿宋" w:cs="Cambria Math"/>
          <w:color w:val="auto"/>
          <w:highlight w:val="none"/>
        </w:rPr>
        <w:t>供应商名称：</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（盖章）</w:t>
      </w:r>
    </w:p>
    <w:p>
      <w:pPr>
        <w:spacing w:line="360" w:lineRule="auto"/>
        <w:ind w:right="420" w:firstLine="3120" w:firstLineChars="1300"/>
        <w:rPr>
          <w:rFonts w:ascii="仿宋" w:hAnsi="仿宋" w:eastAsia="仿宋" w:cs="Cambria Math"/>
          <w:color w:val="auto"/>
          <w:highlight w:val="none"/>
        </w:rPr>
      </w:pPr>
      <w:r>
        <w:rPr>
          <w:rFonts w:hint="eastAsia" w:ascii="仿宋" w:hAnsi="仿宋" w:eastAsia="仿宋" w:cs="Cambria Math"/>
          <w:color w:val="auto"/>
          <w:highlight w:val="none"/>
        </w:rPr>
        <w:t>法定代表人（负责人）：</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（签字或盖章）</w:t>
      </w:r>
    </w:p>
    <w:p>
      <w:pPr>
        <w:pStyle w:val="61"/>
        <w:wordWrap w:val="0"/>
        <w:spacing w:line="360" w:lineRule="auto"/>
        <w:ind w:right="105" w:firstLine="4200" w:firstLineChars="1750"/>
        <w:rPr>
          <w:rFonts w:ascii="仿宋" w:hAnsi="仿宋" w:eastAsia="仿宋" w:cs="Cambria Math"/>
          <w:color w:val="auto"/>
          <w:sz w:val="24"/>
          <w:szCs w:val="24"/>
          <w:highlight w:val="none"/>
        </w:rPr>
      </w:pPr>
      <w:r>
        <w:rPr>
          <w:rFonts w:hint="eastAsia" w:ascii="仿宋" w:hAnsi="仿宋" w:eastAsia="仿宋" w:cs="Cambria Math"/>
          <w:color w:val="auto"/>
          <w:sz w:val="24"/>
          <w:szCs w:val="24"/>
          <w:highlight w:val="none"/>
        </w:rPr>
        <w:t>委托代理人：</w:t>
      </w:r>
      <w:r>
        <w:rPr>
          <w:rFonts w:hint="eastAsia" w:ascii="仿宋" w:hAnsi="仿宋" w:eastAsia="仿宋" w:cs="Cambria Math"/>
          <w:color w:val="auto"/>
          <w:sz w:val="24"/>
          <w:szCs w:val="24"/>
          <w:highlight w:val="none"/>
          <w:u w:val="single"/>
        </w:rPr>
        <w:t xml:space="preserve">               </w:t>
      </w:r>
      <w:r>
        <w:rPr>
          <w:rFonts w:hint="eastAsia" w:ascii="仿宋" w:hAnsi="仿宋" w:eastAsia="仿宋" w:cs="Cambria Math"/>
          <w:color w:val="auto"/>
          <w:sz w:val="24"/>
          <w:szCs w:val="24"/>
          <w:highlight w:val="none"/>
        </w:rPr>
        <w:t>（签字</w:t>
      </w:r>
      <w:r>
        <w:rPr>
          <w:rFonts w:hint="eastAsia" w:ascii="仿宋" w:hAnsi="仿宋" w:eastAsia="仿宋" w:cs="Cambria Math"/>
          <w:color w:val="auto"/>
          <w:sz w:val="24"/>
          <w:highlight w:val="none"/>
        </w:rPr>
        <w:t>或盖章</w:t>
      </w:r>
      <w:r>
        <w:rPr>
          <w:rFonts w:hint="eastAsia" w:ascii="仿宋" w:hAnsi="仿宋" w:eastAsia="仿宋" w:cs="Cambria Math"/>
          <w:color w:val="auto"/>
          <w:sz w:val="24"/>
          <w:szCs w:val="24"/>
          <w:highlight w:val="none"/>
        </w:rPr>
        <w:t xml:space="preserve">） </w:t>
      </w:r>
    </w:p>
    <w:p>
      <w:pPr>
        <w:wordWrap w:val="0"/>
        <w:spacing w:line="360" w:lineRule="auto"/>
        <w:ind w:firstLine="4200" w:firstLineChars="1750"/>
        <w:rPr>
          <w:rFonts w:ascii="仿宋" w:hAnsi="仿宋" w:eastAsia="仿宋" w:cs="Cambria Math"/>
          <w:b/>
          <w:bCs/>
          <w:color w:val="auto"/>
          <w:highlight w:val="none"/>
        </w:rPr>
      </w:pPr>
      <w:r>
        <w:rPr>
          <w:rFonts w:hint="eastAsia" w:ascii="仿宋" w:hAnsi="仿宋" w:eastAsia="仿宋" w:cs="Cambria Math"/>
          <w:color w:val="auto"/>
          <w:highlight w:val="none"/>
        </w:rPr>
        <w:t>日期：</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年</w:t>
      </w:r>
      <w:r>
        <w:rPr>
          <w:rFonts w:hint="eastAsia" w:ascii="仿宋" w:hAnsi="仿宋" w:eastAsia="仿宋" w:cs="Cambria Math"/>
          <w:color w:val="auto"/>
          <w:highlight w:val="none"/>
          <w:u w:val="single"/>
        </w:rPr>
        <w:t xml:space="preserve">  </w:t>
      </w:r>
      <w:r>
        <w:rPr>
          <w:rFonts w:ascii="仿宋" w:hAnsi="仿宋" w:eastAsia="仿宋" w:cs="Cambria Math"/>
          <w:color w:val="auto"/>
          <w:highlight w:val="none"/>
          <w:u w:val="single"/>
        </w:rPr>
        <w:t xml:space="preserve"> </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月</w:t>
      </w:r>
      <w:r>
        <w:rPr>
          <w:rFonts w:hint="eastAsia" w:ascii="仿宋" w:hAnsi="仿宋" w:eastAsia="仿宋" w:cs="Cambria Math"/>
          <w:color w:val="auto"/>
          <w:highlight w:val="none"/>
          <w:u w:val="single"/>
        </w:rPr>
        <w:t xml:space="preserve">  </w:t>
      </w:r>
      <w:r>
        <w:rPr>
          <w:rFonts w:ascii="仿宋" w:hAnsi="仿宋" w:eastAsia="仿宋" w:cs="Cambria Math"/>
          <w:color w:val="auto"/>
          <w:highlight w:val="none"/>
          <w:u w:val="single"/>
        </w:rPr>
        <w:t xml:space="preserve"> </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日</w:t>
      </w:r>
    </w:p>
    <w:p>
      <w:pPr>
        <w:tabs>
          <w:tab w:val="left" w:pos="540"/>
        </w:tabs>
        <w:rPr>
          <w:rFonts w:ascii="仿宋" w:hAnsi="仿宋" w:eastAsia="仿宋" w:cs="仿宋"/>
          <w:color w:val="auto"/>
          <w:szCs w:val="21"/>
          <w:highlight w:val="none"/>
        </w:rPr>
        <w:sectPr>
          <w:pgSz w:w="11906" w:h="16838"/>
          <w:pgMar w:top="1417" w:right="1134" w:bottom="1134" w:left="1134" w:header="851" w:footer="992" w:gutter="0"/>
          <w:pgNumType w:fmt="decimal"/>
          <w:cols w:space="720" w:num="1"/>
          <w:titlePg/>
          <w:docGrid w:type="lines" w:linePitch="312" w:charSpace="0"/>
        </w:sectPr>
      </w:pPr>
    </w:p>
    <w:p>
      <w:pPr>
        <w:pStyle w:val="5"/>
        <w:spacing w:before="0" w:after="0" w:line="360" w:lineRule="auto"/>
        <w:rPr>
          <w:rFonts w:ascii="仿宋" w:hAnsi="仿宋" w:eastAsia="仿宋" w:cs="仿宋"/>
          <w:color w:val="auto"/>
          <w:sz w:val="24"/>
          <w:szCs w:val="24"/>
          <w:highlight w:val="none"/>
        </w:rPr>
      </w:pPr>
      <w:bookmarkStart w:id="186" w:name="_Toc30551"/>
      <w:bookmarkStart w:id="187" w:name="_Toc21703"/>
      <w:bookmarkStart w:id="188" w:name="_Toc517281841"/>
      <w:r>
        <w:rPr>
          <w:rFonts w:hint="eastAsia" w:ascii="仿宋" w:hAnsi="仿宋" w:eastAsia="仿宋" w:cs="仿宋"/>
          <w:color w:val="auto"/>
          <w:sz w:val="24"/>
          <w:szCs w:val="24"/>
          <w:highlight w:val="none"/>
        </w:rPr>
        <w:t>（四）资格证明文件</w:t>
      </w:r>
      <w:bookmarkEnd w:id="186"/>
      <w:bookmarkEnd w:id="187"/>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1、供应商基本情况信息表</w:t>
      </w:r>
    </w:p>
    <w:p>
      <w:pPr>
        <w:pStyle w:val="61"/>
        <w:spacing w:line="360" w:lineRule="auto"/>
        <w:jc w:val="center"/>
        <w:rPr>
          <w:rFonts w:ascii="仿宋" w:hAnsi="仿宋" w:eastAsia="仿宋" w:cs="仿宋"/>
          <w:b/>
          <w:color w:val="auto"/>
          <w:sz w:val="24"/>
          <w:szCs w:val="24"/>
          <w:highlight w:val="none"/>
        </w:rPr>
      </w:pPr>
      <w:r>
        <w:rPr>
          <w:rFonts w:hint="eastAsia" w:ascii="仿宋" w:hAnsi="仿宋" w:eastAsia="仿宋" w:cs="仿宋"/>
          <w:b/>
          <w:color w:val="auto"/>
          <w:sz w:val="24"/>
          <w:szCs w:val="24"/>
          <w:highlight w:val="none"/>
        </w:rPr>
        <w:t>供应商基本情况信息表</w:t>
      </w:r>
    </w:p>
    <w:tbl>
      <w:tblPr>
        <w:tblStyle w:val="29"/>
        <w:tblW w:w="0" w:type="auto"/>
        <w:tblInd w:w="0" w:type="dxa"/>
        <w:tblLayout w:type="fixed"/>
        <w:tblCellMar>
          <w:top w:w="0" w:type="dxa"/>
          <w:left w:w="108" w:type="dxa"/>
          <w:bottom w:w="0" w:type="dxa"/>
          <w:right w:w="108" w:type="dxa"/>
        </w:tblCellMar>
      </w:tblPr>
      <w:tblGrid>
        <w:gridCol w:w="2243"/>
        <w:gridCol w:w="775"/>
        <w:gridCol w:w="366"/>
        <w:gridCol w:w="979"/>
        <w:gridCol w:w="713"/>
        <w:gridCol w:w="755"/>
        <w:gridCol w:w="1789"/>
        <w:gridCol w:w="102"/>
        <w:gridCol w:w="985"/>
        <w:gridCol w:w="1145"/>
      </w:tblGrid>
      <w:tr>
        <w:tblPrEx>
          <w:tblCellMar>
            <w:top w:w="0" w:type="dxa"/>
            <w:left w:w="108" w:type="dxa"/>
            <w:bottom w:w="0" w:type="dxa"/>
            <w:right w:w="108" w:type="dxa"/>
          </w:tblCellMar>
        </w:tblPrEx>
        <w:trPr>
          <w:trHeight w:val="283" w:hRule="atLeast"/>
        </w:trPr>
        <w:tc>
          <w:tcPr>
            <w:tcW w:w="2243" w:type="dxa"/>
            <w:tcBorders>
              <w:top w:val="single" w:color="000000" w:sz="4" w:space="0"/>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供应商名称</w:t>
            </w:r>
          </w:p>
        </w:tc>
        <w:tc>
          <w:tcPr>
            <w:tcW w:w="7609" w:type="dxa"/>
            <w:gridSpan w:val="9"/>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注册地址</w:t>
            </w:r>
          </w:p>
        </w:tc>
        <w:tc>
          <w:tcPr>
            <w:tcW w:w="3588" w:type="dxa"/>
            <w:gridSpan w:val="5"/>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1789" w:type="dxa"/>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邮政编码</w:t>
            </w:r>
          </w:p>
        </w:tc>
        <w:tc>
          <w:tcPr>
            <w:tcW w:w="2232" w:type="dxa"/>
            <w:gridSpan w:val="3"/>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公司办公场所面职</w:t>
            </w:r>
          </w:p>
        </w:tc>
        <w:tc>
          <w:tcPr>
            <w:tcW w:w="3588" w:type="dxa"/>
            <w:gridSpan w:val="5"/>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平米</w:t>
            </w:r>
          </w:p>
        </w:tc>
        <w:tc>
          <w:tcPr>
            <w:tcW w:w="1789"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办事处地址</w:t>
            </w:r>
          </w:p>
        </w:tc>
        <w:tc>
          <w:tcPr>
            <w:tcW w:w="2232"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vMerge w:val="restart"/>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联系方式</w:t>
            </w:r>
          </w:p>
        </w:tc>
        <w:tc>
          <w:tcPr>
            <w:tcW w:w="1141"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联系人</w:t>
            </w:r>
          </w:p>
        </w:tc>
        <w:tc>
          <w:tcPr>
            <w:tcW w:w="2447"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1789"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电话</w:t>
            </w:r>
          </w:p>
        </w:tc>
        <w:tc>
          <w:tcPr>
            <w:tcW w:w="2232" w:type="dxa"/>
            <w:gridSpan w:val="3"/>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vMerge w:val="continue"/>
            <w:tcBorders>
              <w:top w:val="nil"/>
              <w:left w:val="single" w:color="000000" w:sz="4" w:space="0"/>
              <w:bottom w:val="single" w:color="000000" w:sz="4" w:space="0"/>
              <w:right w:val="single" w:color="000000" w:sz="4" w:space="0"/>
            </w:tcBorders>
            <w:vAlign w:val="center"/>
          </w:tcPr>
          <w:p>
            <w:pPr>
              <w:rPr>
                <w:rFonts w:ascii="仿宋" w:hAnsi="仿宋" w:eastAsia="仿宋" w:cs="仿宋"/>
                <w:color w:val="auto"/>
                <w:szCs w:val="21"/>
                <w:highlight w:val="none"/>
              </w:rPr>
            </w:pPr>
          </w:p>
        </w:tc>
        <w:tc>
          <w:tcPr>
            <w:tcW w:w="1141"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传真</w:t>
            </w:r>
          </w:p>
        </w:tc>
        <w:tc>
          <w:tcPr>
            <w:tcW w:w="2447"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1789"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网址</w:t>
            </w:r>
          </w:p>
        </w:tc>
        <w:tc>
          <w:tcPr>
            <w:tcW w:w="2232"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组织结构</w:t>
            </w:r>
          </w:p>
        </w:tc>
        <w:tc>
          <w:tcPr>
            <w:tcW w:w="7609" w:type="dxa"/>
            <w:gridSpan w:val="9"/>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法定代表人</w:t>
            </w:r>
          </w:p>
        </w:tc>
        <w:tc>
          <w:tcPr>
            <w:tcW w:w="775"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姓名</w:t>
            </w:r>
          </w:p>
        </w:tc>
        <w:tc>
          <w:tcPr>
            <w:tcW w:w="1345" w:type="dxa"/>
            <w:gridSpan w:val="2"/>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1468" w:type="dxa"/>
            <w:gridSpan w:val="2"/>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职称</w:t>
            </w:r>
          </w:p>
        </w:tc>
        <w:tc>
          <w:tcPr>
            <w:tcW w:w="1891" w:type="dxa"/>
            <w:gridSpan w:val="2"/>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985" w:type="dxa"/>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电话</w:t>
            </w:r>
          </w:p>
        </w:tc>
        <w:tc>
          <w:tcPr>
            <w:tcW w:w="1145" w:type="dxa"/>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技术负责人</w:t>
            </w:r>
          </w:p>
        </w:tc>
        <w:tc>
          <w:tcPr>
            <w:tcW w:w="775"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姓名</w:t>
            </w:r>
          </w:p>
        </w:tc>
        <w:tc>
          <w:tcPr>
            <w:tcW w:w="1345"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1468"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职称</w:t>
            </w:r>
          </w:p>
        </w:tc>
        <w:tc>
          <w:tcPr>
            <w:tcW w:w="1891"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985"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电话</w:t>
            </w:r>
          </w:p>
        </w:tc>
        <w:tc>
          <w:tcPr>
            <w:tcW w:w="1145" w:type="dxa"/>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成立时间</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5489" w:type="dxa"/>
            <w:gridSpan w:val="6"/>
            <w:tcBorders>
              <w:top w:val="nil"/>
              <w:left w:val="nil"/>
              <w:bottom w:val="single" w:color="000000" w:sz="4" w:space="0"/>
              <w:right w:val="single" w:color="000000" w:sz="4" w:space="0"/>
            </w:tcBorders>
            <w:vAlign w:val="center"/>
          </w:tcPr>
          <w:p>
            <w:pPr>
              <w:pStyle w:val="61"/>
              <w:topLinePunct/>
              <w:ind w:firstLine="105"/>
              <w:jc w:val="center"/>
              <w:rPr>
                <w:rFonts w:ascii="仿宋" w:hAnsi="仿宋" w:eastAsia="仿宋" w:cs="仿宋"/>
                <w:color w:val="auto"/>
                <w:highlight w:val="none"/>
              </w:rPr>
            </w:pPr>
            <w:r>
              <w:rPr>
                <w:rFonts w:hint="eastAsia" w:ascii="仿宋" w:hAnsi="仿宋" w:eastAsia="仿宋" w:cs="仿宋"/>
                <w:color w:val="auto"/>
                <w:highlight w:val="none"/>
              </w:rPr>
              <w:t>员工总人数：</w:t>
            </w: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企业资质等级</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713" w:type="dxa"/>
            <w:vMerge w:val="restart"/>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其中</w:t>
            </w:r>
          </w:p>
        </w:tc>
        <w:tc>
          <w:tcPr>
            <w:tcW w:w="2646" w:type="dxa"/>
            <w:gridSpan w:val="3"/>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项目负责人</w:t>
            </w:r>
          </w:p>
        </w:tc>
        <w:tc>
          <w:tcPr>
            <w:tcW w:w="2130" w:type="dxa"/>
            <w:gridSpan w:val="2"/>
            <w:tcBorders>
              <w:top w:val="single" w:color="000000" w:sz="4" w:space="0"/>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营业执照号</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color w:val="auto"/>
                <w:szCs w:val="21"/>
                <w:highlight w:val="none"/>
              </w:rPr>
            </w:pPr>
          </w:p>
        </w:tc>
        <w:tc>
          <w:tcPr>
            <w:tcW w:w="2646"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高级职称人员</w:t>
            </w:r>
          </w:p>
        </w:tc>
        <w:tc>
          <w:tcPr>
            <w:tcW w:w="2130"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注册资金</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color w:val="auto"/>
                <w:szCs w:val="21"/>
                <w:highlight w:val="none"/>
              </w:rPr>
            </w:pPr>
          </w:p>
        </w:tc>
        <w:tc>
          <w:tcPr>
            <w:tcW w:w="2646"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中级职称人员</w:t>
            </w:r>
          </w:p>
        </w:tc>
        <w:tc>
          <w:tcPr>
            <w:tcW w:w="2130" w:type="dxa"/>
            <w:gridSpan w:val="2"/>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开户银行</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color w:val="auto"/>
                <w:szCs w:val="21"/>
                <w:highlight w:val="none"/>
              </w:rPr>
            </w:pPr>
          </w:p>
        </w:tc>
        <w:tc>
          <w:tcPr>
            <w:tcW w:w="2646" w:type="dxa"/>
            <w:gridSpan w:val="3"/>
            <w:vMerge w:val="restart"/>
            <w:tcBorders>
              <w:top w:val="nil"/>
              <w:left w:val="nil"/>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初级职称人员</w:t>
            </w:r>
          </w:p>
        </w:tc>
        <w:tc>
          <w:tcPr>
            <w:tcW w:w="2130" w:type="dxa"/>
            <w:gridSpan w:val="2"/>
            <w:vMerge w:val="restart"/>
            <w:tcBorders>
              <w:top w:val="nil"/>
              <w:left w:val="nil"/>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账号</w:t>
            </w:r>
          </w:p>
        </w:tc>
        <w:tc>
          <w:tcPr>
            <w:tcW w:w="2120" w:type="dxa"/>
            <w:gridSpan w:val="3"/>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color w:val="auto"/>
                <w:szCs w:val="21"/>
                <w:highlight w:val="none"/>
              </w:rPr>
            </w:pPr>
          </w:p>
        </w:tc>
        <w:tc>
          <w:tcPr>
            <w:tcW w:w="2646" w:type="dxa"/>
            <w:gridSpan w:val="3"/>
            <w:vMerge w:val="continue"/>
            <w:tcBorders>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c>
          <w:tcPr>
            <w:tcW w:w="2130" w:type="dxa"/>
            <w:gridSpan w:val="2"/>
            <w:vMerge w:val="continue"/>
            <w:tcBorders>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ind w:firstLine="210"/>
              <w:jc w:val="center"/>
              <w:rPr>
                <w:rFonts w:ascii="仿宋" w:hAnsi="仿宋" w:eastAsia="仿宋" w:cs="仿宋"/>
                <w:color w:val="auto"/>
                <w:highlight w:val="none"/>
              </w:rPr>
            </w:pPr>
            <w:r>
              <w:rPr>
                <w:rFonts w:hint="eastAsia" w:ascii="仿宋" w:hAnsi="仿宋" w:eastAsia="仿宋" w:cs="仿宋"/>
                <w:color w:val="auto"/>
                <w:highlight w:val="none"/>
              </w:rPr>
              <w:t>经营范围</w:t>
            </w:r>
          </w:p>
        </w:tc>
        <w:tc>
          <w:tcPr>
            <w:tcW w:w="7609" w:type="dxa"/>
            <w:gridSpan w:val="9"/>
            <w:tcBorders>
              <w:top w:val="nil"/>
              <w:left w:val="nil"/>
              <w:bottom w:val="single" w:color="000000" w:sz="4" w:space="0"/>
              <w:right w:val="single" w:color="000000" w:sz="4" w:space="0"/>
            </w:tcBorders>
            <w:vAlign w:val="center"/>
          </w:tcPr>
          <w:p>
            <w:pPr>
              <w:pStyle w:val="61"/>
              <w:topLinePunct/>
              <w:rPr>
                <w:rFonts w:ascii="仿宋" w:hAnsi="仿宋" w:eastAsia="仿宋" w:cs="仿宋"/>
                <w:color w:val="auto"/>
                <w:highlight w:val="none"/>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r>
              <w:rPr>
                <w:rFonts w:hint="eastAsia" w:ascii="仿宋" w:hAnsi="仿宋" w:eastAsia="仿宋" w:cs="仿宋"/>
                <w:color w:val="auto"/>
                <w:highlight w:val="none"/>
              </w:rPr>
              <w:t>备注</w:t>
            </w:r>
          </w:p>
        </w:tc>
        <w:tc>
          <w:tcPr>
            <w:tcW w:w="7609" w:type="dxa"/>
            <w:gridSpan w:val="9"/>
            <w:tcBorders>
              <w:top w:val="nil"/>
              <w:left w:val="nil"/>
              <w:bottom w:val="single" w:color="000000" w:sz="4" w:space="0"/>
              <w:right w:val="single" w:color="000000" w:sz="4" w:space="0"/>
            </w:tcBorders>
            <w:vAlign w:val="center"/>
          </w:tcPr>
          <w:p>
            <w:pPr>
              <w:pStyle w:val="61"/>
              <w:topLinePunct/>
              <w:jc w:val="center"/>
              <w:rPr>
                <w:rFonts w:ascii="仿宋" w:hAnsi="仿宋" w:eastAsia="仿宋" w:cs="仿宋"/>
                <w:color w:val="auto"/>
                <w:highlight w:val="none"/>
              </w:rPr>
            </w:pPr>
          </w:p>
        </w:tc>
      </w:tr>
    </w:tbl>
    <w:p>
      <w:pPr>
        <w:pStyle w:val="61"/>
        <w:jc w:val="left"/>
        <w:rPr>
          <w:rFonts w:ascii="仿宋" w:hAnsi="仿宋" w:eastAsia="仿宋" w:cs="仿宋"/>
          <w:b/>
          <w:color w:val="auto"/>
          <w:sz w:val="24"/>
          <w:szCs w:val="24"/>
          <w:highlight w:val="none"/>
        </w:rPr>
      </w:pPr>
      <w:r>
        <w:rPr>
          <w:rFonts w:hint="eastAsia" w:ascii="仿宋" w:hAnsi="仿宋" w:eastAsia="仿宋"/>
          <w:b/>
          <w:color w:val="auto"/>
          <w:sz w:val="24"/>
          <w:szCs w:val="24"/>
          <w:highlight w:val="none"/>
        </w:rPr>
        <w:t>注：提供由工商部门核发的最新营业执照（正副本皆可）。</w:t>
      </w:r>
    </w:p>
    <w:p>
      <w:pPr>
        <w:pStyle w:val="61"/>
        <w:jc w:val="left"/>
        <w:rPr>
          <w:rFonts w:ascii="仿宋" w:hAnsi="仿宋" w:eastAsia="仿宋" w:cs="仿宋"/>
          <w:b/>
          <w:color w:val="auto"/>
          <w:highlight w:val="none"/>
        </w:rPr>
      </w:pPr>
    </w:p>
    <w:p>
      <w:pPr>
        <w:pStyle w:val="61"/>
        <w:jc w:val="left"/>
        <w:rPr>
          <w:rFonts w:ascii="仿宋" w:hAnsi="仿宋" w:eastAsia="仿宋" w:cs="仿宋"/>
          <w:b/>
          <w:color w:val="auto"/>
          <w:highlight w:val="none"/>
        </w:rPr>
      </w:pPr>
    </w:p>
    <w:p>
      <w:pPr>
        <w:pStyle w:val="61"/>
        <w:jc w:val="left"/>
        <w:rPr>
          <w:rFonts w:ascii="仿宋" w:hAnsi="仿宋" w:eastAsia="仿宋" w:cs="仿宋"/>
          <w:b/>
          <w:color w:val="auto"/>
          <w:highlight w:val="none"/>
        </w:rPr>
      </w:pPr>
    </w:p>
    <w:p>
      <w:pPr>
        <w:spacing w:line="360" w:lineRule="auto"/>
        <w:ind w:firstLine="4080" w:firstLineChars="1700"/>
        <w:jc w:val="right"/>
        <w:rPr>
          <w:rFonts w:ascii="仿宋" w:hAnsi="仿宋" w:eastAsia="仿宋" w:cs="Cambria Math"/>
          <w:color w:val="auto"/>
          <w:highlight w:val="none"/>
        </w:rPr>
      </w:pPr>
      <w:r>
        <w:rPr>
          <w:rFonts w:hint="eastAsia" w:ascii="仿宋" w:hAnsi="仿宋" w:eastAsia="仿宋" w:cs="Cambria Math"/>
          <w:color w:val="auto"/>
          <w:highlight w:val="none"/>
        </w:rPr>
        <w:t>供应商名称：</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（盖章）</w:t>
      </w:r>
    </w:p>
    <w:p>
      <w:pPr>
        <w:spacing w:line="360" w:lineRule="auto"/>
        <w:jc w:val="right"/>
        <w:rPr>
          <w:rFonts w:ascii="仿宋" w:hAnsi="仿宋" w:eastAsia="仿宋" w:cs="Cambria Math"/>
          <w:b/>
          <w:bCs/>
          <w:color w:val="auto"/>
          <w:highlight w:val="none"/>
        </w:rPr>
      </w:pPr>
      <w:r>
        <w:rPr>
          <w:rFonts w:hint="eastAsia" w:ascii="仿宋" w:hAnsi="仿宋" w:eastAsia="仿宋" w:cs="Cambria Math"/>
          <w:color w:val="auto"/>
          <w:highlight w:val="none"/>
        </w:rPr>
        <w:t>日期：</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年</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月</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日</w:t>
      </w:r>
    </w:p>
    <w:p>
      <w:pPr>
        <w:pStyle w:val="2"/>
        <w:ind w:firstLine="480" w:firstLineChars="200"/>
        <w:jc w:val="both"/>
        <w:rPr>
          <w:rFonts w:ascii="仿宋" w:hAnsi="仿宋" w:eastAsia="仿宋" w:cs="Cambria Math"/>
          <w:color w:val="auto"/>
          <w:highlight w:val="none"/>
        </w:rPr>
      </w:pPr>
      <w:r>
        <w:rPr>
          <w:rFonts w:hint="eastAsia" w:ascii="仿宋" w:hAnsi="仿宋" w:cs="仿宋"/>
          <w:color w:val="auto"/>
          <w:highlight w:val="none"/>
        </w:rPr>
        <w:br w:type="page"/>
      </w:r>
    </w:p>
    <w:p>
      <w:pPr>
        <w:pStyle w:val="2"/>
        <w:rPr>
          <w:color w:val="auto"/>
          <w:highlight w:val="none"/>
        </w:rPr>
      </w:pPr>
    </w:p>
    <w:p>
      <w:pPr>
        <w:pStyle w:val="6"/>
        <w:spacing w:before="0" w:after="0" w:line="360" w:lineRule="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 xml:space="preserve">、同类项目实施经验 </w:t>
      </w:r>
    </w:p>
    <w:tbl>
      <w:tblPr>
        <w:tblStyle w:val="29"/>
        <w:tblW w:w="41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9"/>
        <w:gridCol w:w="927"/>
        <w:gridCol w:w="1336"/>
        <w:gridCol w:w="1271"/>
        <w:gridCol w:w="1263"/>
        <w:gridCol w:w="1113"/>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558" w:type="pct"/>
            <w:vAlign w:val="center"/>
          </w:tcPr>
          <w:p>
            <w:pPr>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序号</w:t>
            </w:r>
          </w:p>
        </w:tc>
        <w:tc>
          <w:tcPr>
            <w:tcW w:w="563" w:type="pct"/>
            <w:vAlign w:val="center"/>
          </w:tcPr>
          <w:p>
            <w:pPr>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合同名称</w:t>
            </w:r>
          </w:p>
        </w:tc>
        <w:tc>
          <w:tcPr>
            <w:tcW w:w="811" w:type="pct"/>
            <w:vAlign w:val="center"/>
          </w:tcPr>
          <w:p>
            <w:pPr>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合同签订时间</w:t>
            </w:r>
          </w:p>
        </w:tc>
        <w:tc>
          <w:tcPr>
            <w:tcW w:w="772" w:type="pct"/>
            <w:vAlign w:val="center"/>
          </w:tcPr>
          <w:p>
            <w:pPr>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采购内容</w:t>
            </w:r>
          </w:p>
        </w:tc>
        <w:tc>
          <w:tcPr>
            <w:tcW w:w="767" w:type="pct"/>
            <w:vAlign w:val="center"/>
          </w:tcPr>
          <w:p>
            <w:pPr>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合同金额（万元）</w:t>
            </w:r>
          </w:p>
        </w:tc>
        <w:tc>
          <w:tcPr>
            <w:tcW w:w="676" w:type="pct"/>
            <w:vAlign w:val="center"/>
          </w:tcPr>
          <w:p>
            <w:pPr>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合同甲方</w:t>
            </w:r>
          </w:p>
        </w:tc>
        <w:tc>
          <w:tcPr>
            <w:tcW w:w="849" w:type="pct"/>
            <w:vAlign w:val="center"/>
          </w:tcPr>
          <w:p>
            <w:pPr>
              <w:jc w:val="center"/>
              <w:rPr>
                <w:rFonts w:ascii="仿宋" w:hAnsi="仿宋" w:eastAsia="仿宋" w:cs="仿宋"/>
                <w:b/>
                <w:color w:val="auto"/>
                <w:szCs w:val="21"/>
                <w:highlight w:val="none"/>
              </w:rPr>
            </w:pPr>
            <w:r>
              <w:rPr>
                <w:rFonts w:hint="eastAsia" w:ascii="仿宋" w:hAnsi="仿宋" w:eastAsia="仿宋" w:cs="仿宋"/>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58" w:type="pct"/>
            <w:vAlign w:val="center"/>
          </w:tcPr>
          <w:p>
            <w:pPr>
              <w:jc w:val="center"/>
              <w:rPr>
                <w:rFonts w:ascii="仿宋" w:hAnsi="仿宋" w:eastAsia="仿宋" w:cs="仿宋"/>
                <w:color w:val="auto"/>
                <w:szCs w:val="21"/>
                <w:highlight w:val="none"/>
              </w:rPr>
            </w:pPr>
          </w:p>
        </w:tc>
        <w:tc>
          <w:tcPr>
            <w:tcW w:w="563" w:type="pct"/>
            <w:vAlign w:val="center"/>
          </w:tcPr>
          <w:p>
            <w:pPr>
              <w:jc w:val="center"/>
              <w:rPr>
                <w:rFonts w:ascii="仿宋" w:hAnsi="仿宋" w:eastAsia="仿宋" w:cs="仿宋"/>
                <w:color w:val="auto"/>
                <w:szCs w:val="21"/>
                <w:highlight w:val="none"/>
              </w:rPr>
            </w:pPr>
          </w:p>
        </w:tc>
        <w:tc>
          <w:tcPr>
            <w:tcW w:w="811" w:type="pct"/>
            <w:vAlign w:val="center"/>
          </w:tcPr>
          <w:p>
            <w:pPr>
              <w:jc w:val="center"/>
              <w:rPr>
                <w:rFonts w:ascii="仿宋" w:hAnsi="仿宋" w:eastAsia="仿宋" w:cs="仿宋"/>
                <w:color w:val="auto"/>
                <w:szCs w:val="21"/>
                <w:highlight w:val="none"/>
              </w:rPr>
            </w:pPr>
          </w:p>
        </w:tc>
        <w:tc>
          <w:tcPr>
            <w:tcW w:w="772" w:type="pct"/>
            <w:vAlign w:val="center"/>
          </w:tcPr>
          <w:p>
            <w:pPr>
              <w:jc w:val="center"/>
              <w:rPr>
                <w:rFonts w:ascii="仿宋" w:hAnsi="仿宋" w:eastAsia="仿宋" w:cs="仿宋"/>
                <w:color w:val="auto"/>
                <w:szCs w:val="21"/>
                <w:highlight w:val="none"/>
              </w:rPr>
            </w:pPr>
          </w:p>
        </w:tc>
        <w:tc>
          <w:tcPr>
            <w:tcW w:w="767" w:type="pct"/>
            <w:vAlign w:val="center"/>
          </w:tcPr>
          <w:p>
            <w:pPr>
              <w:jc w:val="center"/>
              <w:rPr>
                <w:rFonts w:ascii="仿宋" w:hAnsi="仿宋" w:eastAsia="仿宋" w:cs="仿宋"/>
                <w:color w:val="auto"/>
                <w:szCs w:val="21"/>
                <w:highlight w:val="none"/>
              </w:rPr>
            </w:pPr>
          </w:p>
        </w:tc>
        <w:tc>
          <w:tcPr>
            <w:tcW w:w="676" w:type="pct"/>
            <w:vAlign w:val="center"/>
          </w:tcPr>
          <w:p>
            <w:pPr>
              <w:jc w:val="center"/>
              <w:rPr>
                <w:rFonts w:ascii="仿宋" w:hAnsi="仿宋" w:eastAsia="仿宋" w:cs="仿宋"/>
                <w:color w:val="auto"/>
                <w:szCs w:val="21"/>
                <w:highlight w:val="none"/>
              </w:rPr>
            </w:pPr>
          </w:p>
        </w:tc>
        <w:tc>
          <w:tcPr>
            <w:tcW w:w="849" w:type="pct"/>
            <w:vAlign w:val="center"/>
          </w:tcPr>
          <w:p>
            <w:pPr>
              <w:jc w:val="center"/>
              <w:rPr>
                <w:rFonts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58" w:type="pct"/>
            <w:vAlign w:val="center"/>
          </w:tcPr>
          <w:p>
            <w:pPr>
              <w:jc w:val="center"/>
              <w:rPr>
                <w:rFonts w:ascii="仿宋" w:hAnsi="仿宋" w:eastAsia="仿宋" w:cs="仿宋"/>
                <w:color w:val="auto"/>
                <w:szCs w:val="21"/>
                <w:highlight w:val="none"/>
              </w:rPr>
            </w:pPr>
          </w:p>
          <w:p>
            <w:pPr>
              <w:jc w:val="center"/>
              <w:rPr>
                <w:rFonts w:ascii="仿宋" w:hAnsi="仿宋" w:eastAsia="仿宋" w:cs="仿宋"/>
                <w:color w:val="auto"/>
                <w:szCs w:val="21"/>
                <w:highlight w:val="none"/>
              </w:rPr>
            </w:pPr>
          </w:p>
        </w:tc>
        <w:tc>
          <w:tcPr>
            <w:tcW w:w="563" w:type="pct"/>
            <w:vAlign w:val="center"/>
          </w:tcPr>
          <w:p>
            <w:pPr>
              <w:jc w:val="center"/>
              <w:rPr>
                <w:rFonts w:ascii="仿宋" w:hAnsi="仿宋" w:eastAsia="仿宋" w:cs="仿宋"/>
                <w:color w:val="auto"/>
                <w:szCs w:val="21"/>
                <w:highlight w:val="none"/>
              </w:rPr>
            </w:pPr>
          </w:p>
        </w:tc>
        <w:tc>
          <w:tcPr>
            <w:tcW w:w="811" w:type="pct"/>
            <w:vAlign w:val="center"/>
          </w:tcPr>
          <w:p>
            <w:pPr>
              <w:jc w:val="center"/>
              <w:rPr>
                <w:rFonts w:ascii="仿宋" w:hAnsi="仿宋" w:eastAsia="仿宋" w:cs="仿宋"/>
                <w:color w:val="auto"/>
                <w:szCs w:val="21"/>
                <w:highlight w:val="none"/>
              </w:rPr>
            </w:pPr>
          </w:p>
        </w:tc>
        <w:tc>
          <w:tcPr>
            <w:tcW w:w="772" w:type="pct"/>
            <w:vAlign w:val="center"/>
          </w:tcPr>
          <w:p>
            <w:pPr>
              <w:jc w:val="center"/>
              <w:rPr>
                <w:rFonts w:ascii="仿宋" w:hAnsi="仿宋" w:eastAsia="仿宋" w:cs="仿宋"/>
                <w:color w:val="auto"/>
                <w:szCs w:val="21"/>
                <w:highlight w:val="none"/>
              </w:rPr>
            </w:pPr>
          </w:p>
        </w:tc>
        <w:tc>
          <w:tcPr>
            <w:tcW w:w="767" w:type="pct"/>
            <w:vAlign w:val="center"/>
          </w:tcPr>
          <w:p>
            <w:pPr>
              <w:jc w:val="center"/>
              <w:rPr>
                <w:rFonts w:ascii="仿宋" w:hAnsi="仿宋" w:eastAsia="仿宋" w:cs="仿宋"/>
                <w:color w:val="auto"/>
                <w:szCs w:val="21"/>
                <w:highlight w:val="none"/>
              </w:rPr>
            </w:pPr>
          </w:p>
        </w:tc>
        <w:tc>
          <w:tcPr>
            <w:tcW w:w="676" w:type="pct"/>
            <w:vAlign w:val="center"/>
          </w:tcPr>
          <w:p>
            <w:pPr>
              <w:jc w:val="center"/>
              <w:rPr>
                <w:rFonts w:ascii="仿宋" w:hAnsi="仿宋" w:eastAsia="仿宋" w:cs="仿宋"/>
                <w:color w:val="auto"/>
                <w:szCs w:val="21"/>
                <w:highlight w:val="none"/>
              </w:rPr>
            </w:pPr>
          </w:p>
        </w:tc>
        <w:tc>
          <w:tcPr>
            <w:tcW w:w="849" w:type="pct"/>
            <w:vAlign w:val="center"/>
          </w:tcPr>
          <w:p>
            <w:pPr>
              <w:jc w:val="center"/>
              <w:rPr>
                <w:rFonts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58" w:type="pct"/>
            <w:vAlign w:val="center"/>
          </w:tcPr>
          <w:p>
            <w:pPr>
              <w:jc w:val="center"/>
              <w:rPr>
                <w:rFonts w:ascii="仿宋" w:hAnsi="仿宋" w:eastAsia="仿宋" w:cs="仿宋"/>
                <w:color w:val="auto"/>
                <w:szCs w:val="21"/>
                <w:highlight w:val="none"/>
              </w:rPr>
            </w:pPr>
          </w:p>
        </w:tc>
        <w:tc>
          <w:tcPr>
            <w:tcW w:w="563" w:type="pct"/>
            <w:vAlign w:val="center"/>
          </w:tcPr>
          <w:p>
            <w:pPr>
              <w:jc w:val="center"/>
              <w:rPr>
                <w:rFonts w:ascii="仿宋" w:hAnsi="仿宋" w:eastAsia="仿宋" w:cs="仿宋"/>
                <w:color w:val="auto"/>
                <w:szCs w:val="21"/>
                <w:highlight w:val="none"/>
              </w:rPr>
            </w:pPr>
          </w:p>
        </w:tc>
        <w:tc>
          <w:tcPr>
            <w:tcW w:w="811" w:type="pct"/>
            <w:vAlign w:val="center"/>
          </w:tcPr>
          <w:p>
            <w:pPr>
              <w:jc w:val="center"/>
              <w:rPr>
                <w:rFonts w:ascii="仿宋" w:hAnsi="仿宋" w:eastAsia="仿宋" w:cs="仿宋"/>
                <w:color w:val="auto"/>
                <w:szCs w:val="21"/>
                <w:highlight w:val="none"/>
              </w:rPr>
            </w:pPr>
          </w:p>
        </w:tc>
        <w:tc>
          <w:tcPr>
            <w:tcW w:w="772" w:type="pct"/>
            <w:vAlign w:val="center"/>
          </w:tcPr>
          <w:p>
            <w:pPr>
              <w:jc w:val="center"/>
              <w:rPr>
                <w:rFonts w:ascii="仿宋" w:hAnsi="仿宋" w:eastAsia="仿宋" w:cs="仿宋"/>
                <w:color w:val="auto"/>
                <w:szCs w:val="21"/>
                <w:highlight w:val="none"/>
              </w:rPr>
            </w:pPr>
          </w:p>
        </w:tc>
        <w:tc>
          <w:tcPr>
            <w:tcW w:w="767" w:type="pct"/>
            <w:vAlign w:val="center"/>
          </w:tcPr>
          <w:p>
            <w:pPr>
              <w:jc w:val="center"/>
              <w:rPr>
                <w:rFonts w:ascii="仿宋" w:hAnsi="仿宋" w:eastAsia="仿宋" w:cs="仿宋"/>
                <w:color w:val="auto"/>
                <w:szCs w:val="21"/>
                <w:highlight w:val="none"/>
              </w:rPr>
            </w:pPr>
          </w:p>
        </w:tc>
        <w:tc>
          <w:tcPr>
            <w:tcW w:w="676" w:type="pct"/>
            <w:vAlign w:val="center"/>
          </w:tcPr>
          <w:p>
            <w:pPr>
              <w:jc w:val="center"/>
              <w:rPr>
                <w:rFonts w:ascii="仿宋" w:hAnsi="仿宋" w:eastAsia="仿宋" w:cs="仿宋"/>
                <w:color w:val="auto"/>
                <w:szCs w:val="21"/>
                <w:highlight w:val="none"/>
              </w:rPr>
            </w:pPr>
          </w:p>
        </w:tc>
        <w:tc>
          <w:tcPr>
            <w:tcW w:w="849" w:type="pct"/>
            <w:vAlign w:val="center"/>
          </w:tcPr>
          <w:p>
            <w:pPr>
              <w:jc w:val="center"/>
              <w:rPr>
                <w:rFonts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58" w:type="pct"/>
            <w:vAlign w:val="center"/>
          </w:tcPr>
          <w:p>
            <w:pPr>
              <w:jc w:val="center"/>
              <w:rPr>
                <w:rFonts w:ascii="仿宋" w:hAnsi="仿宋" w:eastAsia="仿宋" w:cs="仿宋"/>
                <w:color w:val="auto"/>
                <w:szCs w:val="21"/>
                <w:highlight w:val="none"/>
              </w:rPr>
            </w:pPr>
          </w:p>
        </w:tc>
        <w:tc>
          <w:tcPr>
            <w:tcW w:w="563" w:type="pct"/>
            <w:vAlign w:val="center"/>
          </w:tcPr>
          <w:p>
            <w:pPr>
              <w:jc w:val="center"/>
              <w:rPr>
                <w:rFonts w:ascii="仿宋" w:hAnsi="仿宋" w:eastAsia="仿宋" w:cs="仿宋"/>
                <w:color w:val="auto"/>
                <w:szCs w:val="21"/>
                <w:highlight w:val="none"/>
              </w:rPr>
            </w:pPr>
          </w:p>
        </w:tc>
        <w:tc>
          <w:tcPr>
            <w:tcW w:w="811" w:type="pct"/>
            <w:vAlign w:val="center"/>
          </w:tcPr>
          <w:p>
            <w:pPr>
              <w:jc w:val="center"/>
              <w:rPr>
                <w:rFonts w:ascii="仿宋" w:hAnsi="仿宋" w:eastAsia="仿宋" w:cs="仿宋"/>
                <w:color w:val="auto"/>
                <w:szCs w:val="21"/>
                <w:highlight w:val="none"/>
              </w:rPr>
            </w:pPr>
          </w:p>
        </w:tc>
        <w:tc>
          <w:tcPr>
            <w:tcW w:w="772" w:type="pct"/>
            <w:vAlign w:val="center"/>
          </w:tcPr>
          <w:p>
            <w:pPr>
              <w:jc w:val="center"/>
              <w:rPr>
                <w:rFonts w:ascii="仿宋" w:hAnsi="仿宋" w:eastAsia="仿宋" w:cs="仿宋"/>
                <w:color w:val="auto"/>
                <w:szCs w:val="21"/>
                <w:highlight w:val="none"/>
              </w:rPr>
            </w:pPr>
          </w:p>
        </w:tc>
        <w:tc>
          <w:tcPr>
            <w:tcW w:w="767" w:type="pct"/>
            <w:vAlign w:val="center"/>
          </w:tcPr>
          <w:p>
            <w:pPr>
              <w:jc w:val="center"/>
              <w:rPr>
                <w:rFonts w:ascii="仿宋" w:hAnsi="仿宋" w:eastAsia="仿宋" w:cs="仿宋"/>
                <w:color w:val="auto"/>
                <w:szCs w:val="21"/>
                <w:highlight w:val="none"/>
              </w:rPr>
            </w:pPr>
          </w:p>
        </w:tc>
        <w:tc>
          <w:tcPr>
            <w:tcW w:w="676" w:type="pct"/>
            <w:vAlign w:val="center"/>
          </w:tcPr>
          <w:p>
            <w:pPr>
              <w:jc w:val="center"/>
              <w:rPr>
                <w:rFonts w:ascii="仿宋" w:hAnsi="仿宋" w:eastAsia="仿宋" w:cs="仿宋"/>
                <w:color w:val="auto"/>
                <w:szCs w:val="21"/>
                <w:highlight w:val="none"/>
              </w:rPr>
            </w:pPr>
          </w:p>
        </w:tc>
        <w:tc>
          <w:tcPr>
            <w:tcW w:w="849" w:type="pct"/>
            <w:vAlign w:val="center"/>
          </w:tcPr>
          <w:p>
            <w:pPr>
              <w:jc w:val="center"/>
              <w:rPr>
                <w:rFonts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58" w:type="pct"/>
            <w:vAlign w:val="center"/>
          </w:tcPr>
          <w:p>
            <w:pPr>
              <w:jc w:val="center"/>
              <w:rPr>
                <w:rFonts w:ascii="仿宋" w:hAnsi="仿宋" w:eastAsia="仿宋" w:cs="仿宋"/>
                <w:color w:val="auto"/>
                <w:szCs w:val="21"/>
                <w:highlight w:val="none"/>
              </w:rPr>
            </w:pPr>
          </w:p>
        </w:tc>
        <w:tc>
          <w:tcPr>
            <w:tcW w:w="563" w:type="pct"/>
            <w:vAlign w:val="center"/>
          </w:tcPr>
          <w:p>
            <w:pPr>
              <w:jc w:val="center"/>
              <w:rPr>
                <w:rFonts w:ascii="仿宋" w:hAnsi="仿宋" w:eastAsia="仿宋" w:cs="仿宋"/>
                <w:color w:val="auto"/>
                <w:szCs w:val="21"/>
                <w:highlight w:val="none"/>
              </w:rPr>
            </w:pPr>
          </w:p>
        </w:tc>
        <w:tc>
          <w:tcPr>
            <w:tcW w:w="811" w:type="pct"/>
            <w:vAlign w:val="center"/>
          </w:tcPr>
          <w:p>
            <w:pPr>
              <w:jc w:val="center"/>
              <w:rPr>
                <w:rFonts w:ascii="仿宋" w:hAnsi="仿宋" w:eastAsia="仿宋" w:cs="仿宋"/>
                <w:color w:val="auto"/>
                <w:szCs w:val="21"/>
                <w:highlight w:val="none"/>
              </w:rPr>
            </w:pPr>
          </w:p>
        </w:tc>
        <w:tc>
          <w:tcPr>
            <w:tcW w:w="772" w:type="pct"/>
            <w:vAlign w:val="center"/>
          </w:tcPr>
          <w:p>
            <w:pPr>
              <w:jc w:val="center"/>
              <w:rPr>
                <w:rFonts w:ascii="仿宋" w:hAnsi="仿宋" w:eastAsia="仿宋" w:cs="仿宋"/>
                <w:color w:val="auto"/>
                <w:szCs w:val="21"/>
                <w:highlight w:val="none"/>
              </w:rPr>
            </w:pPr>
          </w:p>
        </w:tc>
        <w:tc>
          <w:tcPr>
            <w:tcW w:w="767" w:type="pct"/>
            <w:vAlign w:val="center"/>
          </w:tcPr>
          <w:p>
            <w:pPr>
              <w:jc w:val="center"/>
              <w:rPr>
                <w:rFonts w:ascii="仿宋" w:hAnsi="仿宋" w:eastAsia="仿宋" w:cs="仿宋"/>
                <w:color w:val="auto"/>
                <w:szCs w:val="21"/>
                <w:highlight w:val="none"/>
              </w:rPr>
            </w:pPr>
          </w:p>
        </w:tc>
        <w:tc>
          <w:tcPr>
            <w:tcW w:w="676" w:type="pct"/>
            <w:vAlign w:val="center"/>
          </w:tcPr>
          <w:p>
            <w:pPr>
              <w:jc w:val="center"/>
              <w:rPr>
                <w:rFonts w:ascii="仿宋" w:hAnsi="仿宋" w:eastAsia="仿宋" w:cs="仿宋"/>
                <w:color w:val="auto"/>
                <w:szCs w:val="21"/>
                <w:highlight w:val="none"/>
              </w:rPr>
            </w:pPr>
          </w:p>
        </w:tc>
        <w:tc>
          <w:tcPr>
            <w:tcW w:w="849" w:type="pct"/>
            <w:vAlign w:val="center"/>
          </w:tcPr>
          <w:p>
            <w:pPr>
              <w:jc w:val="center"/>
              <w:rPr>
                <w:rFonts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58" w:type="pct"/>
            <w:vAlign w:val="center"/>
          </w:tcPr>
          <w:p>
            <w:pPr>
              <w:jc w:val="center"/>
              <w:rPr>
                <w:rFonts w:ascii="仿宋" w:hAnsi="仿宋" w:eastAsia="仿宋" w:cs="仿宋"/>
                <w:color w:val="auto"/>
                <w:szCs w:val="21"/>
                <w:highlight w:val="none"/>
              </w:rPr>
            </w:pPr>
          </w:p>
        </w:tc>
        <w:tc>
          <w:tcPr>
            <w:tcW w:w="563" w:type="pct"/>
            <w:vAlign w:val="center"/>
          </w:tcPr>
          <w:p>
            <w:pPr>
              <w:jc w:val="center"/>
              <w:rPr>
                <w:rFonts w:ascii="仿宋" w:hAnsi="仿宋" w:eastAsia="仿宋" w:cs="仿宋"/>
                <w:color w:val="auto"/>
                <w:szCs w:val="21"/>
                <w:highlight w:val="none"/>
              </w:rPr>
            </w:pPr>
          </w:p>
        </w:tc>
        <w:tc>
          <w:tcPr>
            <w:tcW w:w="811" w:type="pct"/>
            <w:vAlign w:val="center"/>
          </w:tcPr>
          <w:p>
            <w:pPr>
              <w:jc w:val="center"/>
              <w:rPr>
                <w:rFonts w:ascii="仿宋" w:hAnsi="仿宋" w:eastAsia="仿宋" w:cs="仿宋"/>
                <w:color w:val="auto"/>
                <w:szCs w:val="21"/>
                <w:highlight w:val="none"/>
              </w:rPr>
            </w:pPr>
          </w:p>
        </w:tc>
        <w:tc>
          <w:tcPr>
            <w:tcW w:w="772" w:type="pct"/>
            <w:vAlign w:val="center"/>
          </w:tcPr>
          <w:p>
            <w:pPr>
              <w:jc w:val="center"/>
              <w:rPr>
                <w:rFonts w:ascii="仿宋" w:hAnsi="仿宋" w:eastAsia="仿宋" w:cs="仿宋"/>
                <w:color w:val="auto"/>
                <w:szCs w:val="21"/>
                <w:highlight w:val="none"/>
              </w:rPr>
            </w:pPr>
          </w:p>
        </w:tc>
        <w:tc>
          <w:tcPr>
            <w:tcW w:w="767" w:type="pct"/>
            <w:vAlign w:val="center"/>
          </w:tcPr>
          <w:p>
            <w:pPr>
              <w:jc w:val="center"/>
              <w:rPr>
                <w:rFonts w:ascii="仿宋" w:hAnsi="仿宋" w:eastAsia="仿宋" w:cs="仿宋"/>
                <w:color w:val="auto"/>
                <w:szCs w:val="21"/>
                <w:highlight w:val="none"/>
              </w:rPr>
            </w:pPr>
          </w:p>
        </w:tc>
        <w:tc>
          <w:tcPr>
            <w:tcW w:w="676" w:type="pct"/>
            <w:vAlign w:val="center"/>
          </w:tcPr>
          <w:p>
            <w:pPr>
              <w:jc w:val="center"/>
              <w:rPr>
                <w:rFonts w:ascii="仿宋" w:hAnsi="仿宋" w:eastAsia="仿宋" w:cs="仿宋"/>
                <w:color w:val="auto"/>
                <w:szCs w:val="21"/>
                <w:highlight w:val="none"/>
              </w:rPr>
            </w:pPr>
          </w:p>
        </w:tc>
        <w:tc>
          <w:tcPr>
            <w:tcW w:w="849" w:type="pct"/>
            <w:vAlign w:val="center"/>
          </w:tcPr>
          <w:p>
            <w:pPr>
              <w:jc w:val="center"/>
              <w:rPr>
                <w:rFonts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58" w:type="pct"/>
            <w:vAlign w:val="center"/>
          </w:tcPr>
          <w:p>
            <w:pPr>
              <w:jc w:val="center"/>
              <w:rPr>
                <w:rFonts w:ascii="仿宋" w:hAnsi="仿宋" w:eastAsia="仿宋" w:cs="仿宋"/>
                <w:color w:val="auto"/>
                <w:szCs w:val="21"/>
                <w:highlight w:val="none"/>
              </w:rPr>
            </w:pPr>
          </w:p>
        </w:tc>
        <w:tc>
          <w:tcPr>
            <w:tcW w:w="563" w:type="pct"/>
            <w:vAlign w:val="center"/>
          </w:tcPr>
          <w:p>
            <w:pPr>
              <w:jc w:val="center"/>
              <w:rPr>
                <w:rFonts w:ascii="仿宋" w:hAnsi="仿宋" w:eastAsia="仿宋" w:cs="仿宋"/>
                <w:color w:val="auto"/>
                <w:szCs w:val="21"/>
                <w:highlight w:val="none"/>
              </w:rPr>
            </w:pPr>
          </w:p>
        </w:tc>
        <w:tc>
          <w:tcPr>
            <w:tcW w:w="811" w:type="pct"/>
            <w:vAlign w:val="center"/>
          </w:tcPr>
          <w:p>
            <w:pPr>
              <w:jc w:val="center"/>
              <w:rPr>
                <w:rFonts w:ascii="仿宋" w:hAnsi="仿宋" w:eastAsia="仿宋" w:cs="仿宋"/>
                <w:color w:val="auto"/>
                <w:szCs w:val="21"/>
                <w:highlight w:val="none"/>
              </w:rPr>
            </w:pPr>
          </w:p>
        </w:tc>
        <w:tc>
          <w:tcPr>
            <w:tcW w:w="772" w:type="pct"/>
            <w:vAlign w:val="center"/>
          </w:tcPr>
          <w:p>
            <w:pPr>
              <w:jc w:val="center"/>
              <w:rPr>
                <w:rFonts w:ascii="仿宋" w:hAnsi="仿宋" w:eastAsia="仿宋" w:cs="仿宋"/>
                <w:color w:val="auto"/>
                <w:szCs w:val="21"/>
                <w:highlight w:val="none"/>
              </w:rPr>
            </w:pPr>
          </w:p>
        </w:tc>
        <w:tc>
          <w:tcPr>
            <w:tcW w:w="767" w:type="pct"/>
            <w:vAlign w:val="center"/>
          </w:tcPr>
          <w:p>
            <w:pPr>
              <w:jc w:val="center"/>
              <w:rPr>
                <w:rFonts w:ascii="仿宋" w:hAnsi="仿宋" w:eastAsia="仿宋" w:cs="仿宋"/>
                <w:color w:val="auto"/>
                <w:szCs w:val="21"/>
                <w:highlight w:val="none"/>
              </w:rPr>
            </w:pPr>
          </w:p>
        </w:tc>
        <w:tc>
          <w:tcPr>
            <w:tcW w:w="676" w:type="pct"/>
            <w:vAlign w:val="center"/>
          </w:tcPr>
          <w:p>
            <w:pPr>
              <w:jc w:val="center"/>
              <w:rPr>
                <w:rFonts w:ascii="仿宋" w:hAnsi="仿宋" w:eastAsia="仿宋" w:cs="仿宋"/>
                <w:color w:val="auto"/>
                <w:szCs w:val="21"/>
                <w:highlight w:val="none"/>
              </w:rPr>
            </w:pPr>
          </w:p>
        </w:tc>
        <w:tc>
          <w:tcPr>
            <w:tcW w:w="849" w:type="pct"/>
            <w:vAlign w:val="center"/>
          </w:tcPr>
          <w:p>
            <w:pPr>
              <w:jc w:val="center"/>
              <w:rPr>
                <w:rFonts w:ascii="仿宋" w:hAnsi="仿宋" w:eastAsia="仿宋" w:cs="仿宋"/>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558" w:type="pct"/>
            <w:vAlign w:val="center"/>
          </w:tcPr>
          <w:p>
            <w:pPr>
              <w:jc w:val="center"/>
              <w:rPr>
                <w:rFonts w:ascii="仿宋" w:hAnsi="仿宋" w:eastAsia="仿宋" w:cs="仿宋"/>
                <w:color w:val="auto"/>
                <w:szCs w:val="21"/>
                <w:highlight w:val="none"/>
              </w:rPr>
            </w:pPr>
          </w:p>
        </w:tc>
        <w:tc>
          <w:tcPr>
            <w:tcW w:w="563" w:type="pct"/>
            <w:vAlign w:val="center"/>
          </w:tcPr>
          <w:p>
            <w:pPr>
              <w:jc w:val="center"/>
              <w:rPr>
                <w:rFonts w:ascii="仿宋" w:hAnsi="仿宋" w:eastAsia="仿宋" w:cs="仿宋"/>
                <w:color w:val="auto"/>
                <w:szCs w:val="21"/>
                <w:highlight w:val="none"/>
              </w:rPr>
            </w:pPr>
          </w:p>
        </w:tc>
        <w:tc>
          <w:tcPr>
            <w:tcW w:w="811" w:type="pct"/>
            <w:vAlign w:val="center"/>
          </w:tcPr>
          <w:p>
            <w:pPr>
              <w:jc w:val="center"/>
              <w:rPr>
                <w:rFonts w:ascii="仿宋" w:hAnsi="仿宋" w:eastAsia="仿宋" w:cs="仿宋"/>
                <w:color w:val="auto"/>
                <w:szCs w:val="21"/>
                <w:highlight w:val="none"/>
              </w:rPr>
            </w:pPr>
          </w:p>
        </w:tc>
        <w:tc>
          <w:tcPr>
            <w:tcW w:w="772" w:type="pct"/>
            <w:vAlign w:val="center"/>
          </w:tcPr>
          <w:p>
            <w:pPr>
              <w:jc w:val="center"/>
              <w:rPr>
                <w:rFonts w:ascii="仿宋" w:hAnsi="仿宋" w:eastAsia="仿宋" w:cs="仿宋"/>
                <w:color w:val="auto"/>
                <w:szCs w:val="21"/>
                <w:highlight w:val="none"/>
              </w:rPr>
            </w:pPr>
          </w:p>
        </w:tc>
        <w:tc>
          <w:tcPr>
            <w:tcW w:w="767" w:type="pct"/>
            <w:vAlign w:val="center"/>
          </w:tcPr>
          <w:p>
            <w:pPr>
              <w:jc w:val="center"/>
              <w:rPr>
                <w:rFonts w:ascii="仿宋" w:hAnsi="仿宋" w:eastAsia="仿宋" w:cs="仿宋"/>
                <w:color w:val="auto"/>
                <w:szCs w:val="21"/>
                <w:highlight w:val="none"/>
              </w:rPr>
            </w:pPr>
          </w:p>
        </w:tc>
        <w:tc>
          <w:tcPr>
            <w:tcW w:w="676" w:type="pct"/>
            <w:vAlign w:val="center"/>
          </w:tcPr>
          <w:p>
            <w:pPr>
              <w:jc w:val="center"/>
              <w:rPr>
                <w:rFonts w:ascii="仿宋" w:hAnsi="仿宋" w:eastAsia="仿宋" w:cs="仿宋"/>
                <w:color w:val="auto"/>
                <w:szCs w:val="21"/>
                <w:highlight w:val="none"/>
              </w:rPr>
            </w:pPr>
          </w:p>
        </w:tc>
        <w:tc>
          <w:tcPr>
            <w:tcW w:w="849" w:type="pct"/>
            <w:vAlign w:val="center"/>
          </w:tcPr>
          <w:p>
            <w:pPr>
              <w:jc w:val="center"/>
              <w:rPr>
                <w:rFonts w:ascii="仿宋" w:hAnsi="仿宋" w:eastAsia="仿宋" w:cs="仿宋"/>
                <w:color w:val="auto"/>
                <w:szCs w:val="21"/>
                <w:highlight w:val="none"/>
              </w:rPr>
            </w:pPr>
          </w:p>
        </w:tc>
      </w:tr>
    </w:tbl>
    <w:p>
      <w:pPr>
        <w:spacing w:line="360" w:lineRule="auto"/>
        <w:rPr>
          <w:rFonts w:ascii="仿宋" w:hAnsi="仿宋" w:eastAsia="仿宋" w:cs="仿宋"/>
          <w:b/>
          <w:bCs/>
          <w:color w:val="auto"/>
          <w:highlight w:val="none"/>
        </w:rPr>
      </w:pPr>
      <w:r>
        <w:rPr>
          <w:rFonts w:hint="eastAsia" w:ascii="仿宋" w:hAnsi="仿宋" w:eastAsia="仿宋" w:cs="仿宋"/>
          <w:b/>
          <w:bCs/>
          <w:color w:val="auto"/>
          <w:highlight w:val="none"/>
        </w:rPr>
        <w:t>备注：</w:t>
      </w:r>
    </w:p>
    <w:p>
      <w:pPr>
        <w:spacing w:line="360" w:lineRule="auto"/>
        <w:textAlignment w:val="baseline"/>
        <w:rPr>
          <w:rFonts w:ascii="仿宋" w:hAnsi="仿宋" w:eastAsia="仿宋"/>
          <w:b/>
          <w:color w:val="auto"/>
          <w:highlight w:val="none"/>
        </w:rPr>
      </w:pPr>
      <w:r>
        <w:rPr>
          <w:rFonts w:hint="eastAsia" w:ascii="仿宋" w:hAnsi="仿宋" w:eastAsia="仿宋"/>
          <w:b/>
          <w:color w:val="auto"/>
          <w:highlight w:val="none"/>
        </w:rPr>
        <w:t>1）有效的业绩证明材料包含但不限于合同关键页复印件（合同首页、合同标的页、签署日期页及盖章页等），按照业绩表的项目名称，顺序排放每个项目的证明材料。</w:t>
      </w:r>
    </w:p>
    <w:p>
      <w:pPr>
        <w:spacing w:line="360" w:lineRule="auto"/>
        <w:textAlignment w:val="baseline"/>
        <w:rPr>
          <w:rFonts w:ascii="仿宋" w:hAnsi="仿宋" w:eastAsia="仿宋"/>
          <w:b/>
          <w:color w:val="auto"/>
          <w:highlight w:val="none"/>
        </w:rPr>
      </w:pPr>
      <w:r>
        <w:rPr>
          <w:rFonts w:hint="eastAsia" w:ascii="仿宋" w:hAnsi="仿宋" w:eastAsia="仿宋"/>
          <w:b/>
          <w:color w:val="auto"/>
          <w:highlight w:val="none"/>
        </w:rPr>
        <w:t>2）按照比选公告的资格要求提供有效的实施经验证明材料，作为资格后审的评审依据。</w:t>
      </w:r>
    </w:p>
    <w:p>
      <w:pPr>
        <w:spacing w:line="360" w:lineRule="auto"/>
        <w:textAlignment w:val="baseline"/>
        <w:rPr>
          <w:rFonts w:ascii="仿宋" w:hAnsi="仿宋" w:eastAsia="仿宋"/>
          <w:b/>
          <w:color w:val="auto"/>
          <w:highlight w:val="none"/>
        </w:rPr>
      </w:pPr>
      <w:r>
        <w:rPr>
          <w:rFonts w:hint="eastAsia" w:ascii="仿宋" w:hAnsi="仿宋" w:eastAsia="仿宋"/>
          <w:b/>
          <w:color w:val="auto"/>
          <w:highlight w:val="none"/>
        </w:rPr>
        <w:t>3）本业绩表及证明材料也作为详细评审中对供应商同类项目实施经验的评审及打分依据，供应商需根据详细评审标准的要求，提供符合要求的业绩证明材料。</w:t>
      </w:r>
    </w:p>
    <w:p>
      <w:pPr>
        <w:spacing w:line="360" w:lineRule="auto"/>
        <w:rPr>
          <w:rFonts w:ascii="仿宋" w:hAnsi="仿宋" w:eastAsia="仿宋" w:cs="仿宋"/>
          <w:color w:val="auto"/>
          <w:highlight w:val="none"/>
        </w:rPr>
      </w:pPr>
    </w:p>
    <w:p>
      <w:pPr>
        <w:spacing w:line="360" w:lineRule="auto"/>
        <w:ind w:firstLine="480" w:firstLineChars="200"/>
        <w:rPr>
          <w:rFonts w:ascii="仿宋" w:hAnsi="仿宋" w:eastAsia="仿宋" w:cs="仿宋"/>
          <w:bCs/>
          <w:color w:val="auto"/>
          <w:highlight w:val="none"/>
        </w:rPr>
      </w:pPr>
    </w:p>
    <w:p>
      <w:pPr>
        <w:pStyle w:val="51"/>
        <w:topLinePunct/>
        <w:adjustRightInd w:val="0"/>
        <w:snapToGrid w:val="0"/>
        <w:spacing w:line="360" w:lineRule="auto"/>
        <w:ind w:left="1575" w:firstLine="0" w:firstLineChars="0"/>
        <w:rPr>
          <w:rFonts w:ascii="仿宋" w:hAnsi="仿宋" w:eastAsia="仿宋" w:cs="仿宋"/>
          <w:bCs/>
          <w:color w:val="auto"/>
          <w:highlight w:val="none"/>
        </w:rPr>
      </w:pPr>
    </w:p>
    <w:p>
      <w:pPr>
        <w:pStyle w:val="51"/>
        <w:topLinePunct/>
        <w:adjustRightInd w:val="0"/>
        <w:snapToGrid w:val="0"/>
        <w:spacing w:line="360" w:lineRule="auto"/>
        <w:ind w:left="1575" w:firstLine="0" w:firstLineChars="0"/>
        <w:rPr>
          <w:rFonts w:ascii="仿宋" w:hAnsi="仿宋" w:eastAsia="仿宋" w:cs="仿宋"/>
          <w:bCs/>
          <w:color w:val="auto"/>
          <w:highlight w:val="none"/>
        </w:rPr>
      </w:pPr>
    </w:p>
    <w:p>
      <w:pPr>
        <w:spacing w:line="360" w:lineRule="auto"/>
        <w:ind w:firstLine="4080" w:firstLineChars="1700"/>
        <w:jc w:val="right"/>
        <w:rPr>
          <w:rFonts w:ascii="仿宋" w:hAnsi="仿宋" w:eastAsia="仿宋" w:cs="Cambria Math"/>
          <w:color w:val="auto"/>
          <w:highlight w:val="none"/>
        </w:rPr>
      </w:pPr>
      <w:r>
        <w:rPr>
          <w:rFonts w:hint="eastAsia" w:ascii="仿宋" w:hAnsi="仿宋" w:eastAsia="仿宋" w:cs="Cambria Math"/>
          <w:color w:val="auto"/>
          <w:highlight w:val="none"/>
        </w:rPr>
        <w:t>供应商名称：</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（盖章）</w:t>
      </w:r>
    </w:p>
    <w:p>
      <w:pPr>
        <w:spacing w:line="360" w:lineRule="auto"/>
        <w:jc w:val="right"/>
        <w:rPr>
          <w:rFonts w:ascii="仿宋" w:hAnsi="仿宋" w:eastAsia="仿宋" w:cs="Cambria Math"/>
          <w:b/>
          <w:bCs/>
          <w:color w:val="auto"/>
          <w:highlight w:val="none"/>
        </w:rPr>
      </w:pPr>
      <w:r>
        <w:rPr>
          <w:rFonts w:hint="eastAsia" w:ascii="仿宋" w:hAnsi="仿宋" w:eastAsia="仿宋" w:cs="Cambria Math"/>
          <w:color w:val="auto"/>
          <w:highlight w:val="none"/>
        </w:rPr>
        <w:t>日期：</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年</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月</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日</w:t>
      </w:r>
    </w:p>
    <w:p>
      <w:pPr>
        <w:rPr>
          <w:rFonts w:ascii="仿宋" w:hAnsi="仿宋" w:eastAsia="仿宋" w:cs="仿宋"/>
          <w:color w:val="auto"/>
          <w:highlight w:val="none"/>
        </w:rPr>
      </w:pPr>
      <w:r>
        <w:rPr>
          <w:color w:val="auto"/>
          <w:highlight w:val="none"/>
        </w:rPr>
        <w:br w:type="page"/>
      </w:r>
    </w:p>
    <w:p>
      <w:pPr>
        <w:pStyle w:val="6"/>
        <w:spacing w:before="0" w:after="0" w:line="360" w:lineRule="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、无违法违规记录查询截图</w:t>
      </w:r>
    </w:p>
    <w:p>
      <w:pPr>
        <w:snapToGrid w:val="0"/>
        <w:ind w:firstLine="480" w:firstLineChars="200"/>
        <w:textAlignment w:val="baseline"/>
        <w:rPr>
          <w:rFonts w:ascii="仿宋" w:hAnsi="仿宋" w:eastAsia="仿宋" w:cs="仿宋"/>
          <w:color w:val="auto"/>
          <w:highlight w:val="none"/>
        </w:rPr>
      </w:pPr>
      <w:r>
        <w:rPr>
          <w:rFonts w:hint="eastAsia" w:ascii="仿宋" w:hAnsi="仿宋" w:eastAsia="仿宋" w:cs="仿宋"/>
          <w:color w:val="auto"/>
          <w:highlight w:val="none"/>
        </w:rPr>
        <w:t>信用中国查询网址：https://www.creditchina.gov.cn/xinxigongshi/</w:t>
      </w:r>
    </w:p>
    <w:p>
      <w:pPr>
        <w:snapToGrid w:val="0"/>
        <w:ind w:firstLine="480" w:firstLineChars="200"/>
        <w:textAlignment w:val="baseline"/>
        <w:rPr>
          <w:rFonts w:ascii="仿宋" w:hAnsi="仿宋" w:eastAsia="仿宋" w:cs="仿宋"/>
          <w:color w:val="auto"/>
          <w:highlight w:val="none"/>
        </w:rPr>
      </w:pPr>
      <w:r>
        <w:rPr>
          <w:rFonts w:hint="eastAsia" w:ascii="仿宋" w:hAnsi="仿宋" w:eastAsia="仿宋" w:cs="仿宋"/>
          <w:color w:val="auto"/>
          <w:highlight w:val="none"/>
        </w:rPr>
        <w:t>政府采购严重违法失信行为记录名单查询网址：</w:t>
      </w:r>
    </w:p>
    <w:p>
      <w:pPr>
        <w:snapToGrid w:val="0"/>
        <w:ind w:firstLine="480" w:firstLineChars="200"/>
        <w:textAlignment w:val="baseline"/>
        <w:rPr>
          <w:rFonts w:ascii="仿宋" w:hAnsi="仿宋" w:eastAsia="仿宋" w:cs="仿宋"/>
          <w:color w:val="auto"/>
          <w:highlight w:val="none"/>
        </w:rPr>
      </w:pPr>
      <w:r>
        <w:rPr>
          <w:rFonts w:ascii="仿宋" w:hAnsi="仿宋" w:eastAsia="仿宋" w:cs="仿宋"/>
          <w:color w:val="auto"/>
          <w:highlight w:val="none"/>
        </w:rPr>
        <w:t>https://www.creditchina.gov.cn/zhuanxiangchaxun/zhengfucaigouyanzhongweifashixinmingdan/</w:t>
      </w:r>
    </w:p>
    <w:p>
      <w:pPr>
        <w:spacing w:line="360" w:lineRule="auto"/>
        <w:textAlignment w:val="baseline"/>
        <w:rPr>
          <w:color w:val="auto"/>
          <w:highlight w:val="none"/>
        </w:rPr>
      </w:pPr>
      <w:r>
        <w:rPr>
          <w:rFonts w:hint="eastAsia" w:ascii="仿宋" w:hAnsi="仿宋" w:eastAsia="仿宋" w:cs="Cambria Math"/>
          <w:color w:val="auto"/>
          <w:highlight w:val="none"/>
        </w:rPr>
        <w:t>（1）失信被执行人查询截图范例：</w:t>
      </w:r>
    </w:p>
    <w:p>
      <w:pPr>
        <w:ind w:firstLine="240" w:firstLineChars="100"/>
        <w:rPr>
          <w:color w:val="auto"/>
          <w:highlight w:val="none"/>
        </w:rPr>
      </w:pPr>
      <w:r>
        <w:rPr>
          <w:rFonts w:hint="eastAsia" w:eastAsia="宋体"/>
          <w:color w:val="auto"/>
          <w:highlight w:val="none"/>
        </w:rPr>
        <w:drawing>
          <wp:inline distT="0" distB="0" distL="114300" distR="114300">
            <wp:extent cx="6117590" cy="3164840"/>
            <wp:effectExtent l="0" t="0" r="16510" b="16510"/>
            <wp:docPr id="14" name="图片 14" descr="失信被执行人查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失信被执行人查询"/>
                    <pic:cNvPicPr>
                      <a:picLocks noChangeAspect="1"/>
                    </pic:cNvPicPr>
                  </pic:nvPicPr>
                  <pic:blipFill>
                    <a:blip r:embed="rId13"/>
                    <a:stretch>
                      <a:fillRect/>
                    </a:stretch>
                  </pic:blipFill>
                  <pic:spPr>
                    <a:xfrm>
                      <a:off x="0" y="0"/>
                      <a:ext cx="6117590" cy="3164840"/>
                    </a:xfrm>
                    <a:prstGeom prst="rect">
                      <a:avLst/>
                    </a:prstGeom>
                  </pic:spPr>
                </pic:pic>
              </a:graphicData>
            </a:graphic>
          </wp:inline>
        </w:drawing>
      </w:r>
    </w:p>
    <w:p>
      <w:pPr>
        <w:rPr>
          <w:rFonts w:ascii="仿宋" w:hAnsi="仿宋" w:eastAsia="仿宋"/>
          <w:color w:val="auto"/>
          <w:szCs w:val="21"/>
          <w:highlight w:val="none"/>
        </w:rPr>
      </w:pPr>
      <w:r>
        <w:rPr>
          <w:rFonts w:hint="eastAsia" w:ascii="仿宋" w:hAnsi="仿宋" w:eastAsia="仿宋" w:cs="Cambria Math"/>
          <w:color w:val="auto"/>
          <w:highlight w:val="none"/>
        </w:rPr>
        <w:t>（2）</w:t>
      </w:r>
      <w:r>
        <w:rPr>
          <w:rFonts w:hint="eastAsia" w:ascii="仿宋" w:hAnsi="仿宋" w:eastAsia="仿宋" w:cs="微软雅黑"/>
          <w:color w:val="auto"/>
          <w:highlight w:val="none"/>
        </w:rPr>
        <w:t>重大</w:t>
      </w:r>
      <w:r>
        <w:rPr>
          <w:rFonts w:hint="eastAsia" w:ascii="仿宋" w:hAnsi="仿宋" w:eastAsia="仿宋" w:cs="仿宋"/>
          <w:color w:val="auto"/>
          <w:highlight w:val="none"/>
        </w:rPr>
        <w:t>税收违法失信主体</w:t>
      </w:r>
      <w:r>
        <w:rPr>
          <w:rFonts w:hint="eastAsia" w:ascii="仿宋" w:hAnsi="仿宋" w:eastAsia="仿宋" w:cs="微软雅黑"/>
          <w:color w:val="auto"/>
          <w:highlight w:val="none"/>
        </w:rPr>
        <w:t>查询截图范例：</w:t>
      </w:r>
    </w:p>
    <w:p>
      <w:pPr>
        <w:rPr>
          <w:rFonts w:ascii="仿宋" w:hAnsi="仿宋" w:eastAsia="仿宋" w:cs="Cambria Math"/>
          <w:color w:val="auto"/>
          <w:highlight w:val="none"/>
        </w:rPr>
      </w:pPr>
      <w:r>
        <w:rPr>
          <w:rFonts w:hint="eastAsia" w:ascii="仿宋" w:hAnsi="仿宋" w:eastAsia="仿宋"/>
          <w:color w:val="auto"/>
          <w:szCs w:val="21"/>
          <w:highlight w:val="none"/>
        </w:rPr>
        <w:drawing>
          <wp:inline distT="0" distB="0" distL="114300" distR="114300">
            <wp:extent cx="6117590" cy="3177540"/>
            <wp:effectExtent l="0" t="0" r="16510" b="3810"/>
            <wp:docPr id="15" name="图片 15" descr="重大税收违法失信主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重大税收违法失信主体"/>
                    <pic:cNvPicPr>
                      <a:picLocks noChangeAspect="1"/>
                    </pic:cNvPicPr>
                  </pic:nvPicPr>
                  <pic:blipFill>
                    <a:blip r:embed="rId14"/>
                    <a:stretch>
                      <a:fillRect/>
                    </a:stretch>
                  </pic:blipFill>
                  <pic:spPr>
                    <a:xfrm>
                      <a:off x="0" y="0"/>
                      <a:ext cx="6117590" cy="3177540"/>
                    </a:xfrm>
                    <a:prstGeom prst="rect">
                      <a:avLst/>
                    </a:prstGeom>
                  </pic:spPr>
                </pic:pic>
              </a:graphicData>
            </a:graphic>
          </wp:inline>
        </w:drawing>
      </w:r>
    </w:p>
    <w:p>
      <w:pPr>
        <w:ind w:firstLine="240" w:firstLineChars="100"/>
        <w:rPr>
          <w:rFonts w:ascii="仿宋" w:hAnsi="仿宋" w:eastAsia="仿宋" w:cs="Cambria Math"/>
          <w:color w:val="auto"/>
          <w:highlight w:val="none"/>
        </w:rPr>
      </w:pPr>
      <w:r>
        <w:rPr>
          <w:rFonts w:hint="eastAsia" w:ascii="仿宋" w:hAnsi="仿宋" w:eastAsia="仿宋" w:cs="Cambria Math"/>
          <w:color w:val="auto"/>
          <w:highlight w:val="none"/>
        </w:rPr>
        <w:t>（3）政府采购严重违法失信行为记录名单查询截图范例：</w:t>
      </w:r>
    </w:p>
    <w:p>
      <w:pPr>
        <w:ind w:firstLine="240" w:firstLineChars="100"/>
        <w:rPr>
          <w:rFonts w:ascii="仿宋" w:hAnsi="仿宋" w:eastAsia="仿宋" w:cs="仿宋"/>
          <w:color w:val="auto"/>
          <w:highlight w:val="none"/>
        </w:rPr>
      </w:pPr>
      <w:r>
        <w:rPr>
          <w:rFonts w:hint="eastAsia" w:eastAsia="宋体"/>
          <w:color w:val="auto"/>
          <w:highlight w:val="none"/>
        </w:rPr>
        <w:drawing>
          <wp:inline distT="0" distB="0" distL="114300" distR="114300">
            <wp:extent cx="6117590" cy="3169285"/>
            <wp:effectExtent l="0" t="0" r="16510" b="12065"/>
            <wp:docPr id="16" name="图片 16" descr="政府采购严重违法失信行为记录名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政府采购严重违法失信行为记录名单"/>
                    <pic:cNvPicPr>
                      <a:picLocks noChangeAspect="1"/>
                    </pic:cNvPicPr>
                  </pic:nvPicPr>
                  <pic:blipFill>
                    <a:blip r:embed="rId15"/>
                    <a:stretch>
                      <a:fillRect/>
                    </a:stretch>
                  </pic:blipFill>
                  <pic:spPr>
                    <a:xfrm>
                      <a:off x="0" y="0"/>
                      <a:ext cx="6117590" cy="3169285"/>
                    </a:xfrm>
                    <a:prstGeom prst="rect">
                      <a:avLst/>
                    </a:prstGeom>
                  </pic:spPr>
                </pic:pic>
              </a:graphicData>
            </a:graphic>
          </wp:inline>
        </w:drawing>
      </w:r>
      <w:r>
        <w:rPr>
          <w:rFonts w:ascii="仿宋" w:hAnsi="仿宋" w:eastAsia="仿宋" w:cs="仿宋"/>
          <w:color w:val="auto"/>
          <w:highlight w:val="none"/>
        </w:rPr>
        <w:br w:type="page"/>
      </w:r>
      <w:r>
        <w:rPr>
          <w:rFonts w:hint="eastAsia" w:ascii="仿宋" w:hAnsi="仿宋" w:eastAsia="仿宋" w:cs="仿宋"/>
          <w:b/>
          <w:bCs/>
          <w:color w:val="auto"/>
          <w:sz w:val="24"/>
          <w:szCs w:val="24"/>
          <w:highlight w:val="none"/>
          <w:lang w:val="en-US" w:eastAsia="zh-CN" w:bidi="ar-SA"/>
        </w:rPr>
        <w:t>4、未列入供应商黑名单且未在禁入期承诺函</w:t>
      </w:r>
    </w:p>
    <w:p>
      <w:pPr>
        <w:pStyle w:val="2"/>
        <w:spacing w:before="240"/>
        <w:jc w:val="both"/>
        <w:rPr>
          <w:rFonts w:ascii="仿宋" w:hAnsi="仿宋" w:eastAsia="仿宋" w:cs="Cambria Math"/>
          <w:color w:val="auto"/>
          <w:highlight w:val="none"/>
        </w:rPr>
      </w:pPr>
      <w:r>
        <w:rPr>
          <w:rFonts w:hint="eastAsia" w:ascii="仿宋" w:hAnsi="仿宋" w:eastAsia="仿宋" w:cs="Cambria Math"/>
          <w:color w:val="auto"/>
          <w:highlight w:val="none"/>
        </w:rPr>
        <w:t>致：</w:t>
      </w:r>
      <w:r>
        <w:rPr>
          <w:rFonts w:hint="eastAsia" w:ascii="仿宋" w:hAnsi="仿宋" w:eastAsia="仿宋" w:cs="Cambria Math"/>
          <w:color w:val="auto"/>
          <w:sz w:val="24"/>
          <w:szCs w:val="24"/>
          <w:highlight w:val="none"/>
          <w:u w:val="single"/>
        </w:rPr>
        <w:t>中国人民财产保险股份有限公司</w:t>
      </w:r>
      <w:r>
        <w:rPr>
          <w:rFonts w:hint="eastAsia" w:ascii="仿宋" w:hAnsi="仿宋" w:eastAsia="仿宋" w:cs="Cambria Math"/>
          <w:color w:val="auto"/>
          <w:sz w:val="24"/>
          <w:szCs w:val="24"/>
          <w:highlight w:val="none"/>
          <w:u w:val="single"/>
          <w:lang w:eastAsia="zh-CN"/>
        </w:rPr>
        <w:t>泸县</w:t>
      </w:r>
      <w:r>
        <w:rPr>
          <w:rFonts w:hint="eastAsia" w:ascii="仿宋" w:hAnsi="仿宋" w:eastAsia="仿宋" w:cs="Cambria Math"/>
          <w:color w:val="auto"/>
          <w:sz w:val="24"/>
          <w:szCs w:val="24"/>
          <w:highlight w:val="none"/>
          <w:u w:val="single"/>
        </w:rPr>
        <w:t>支公司</w:t>
      </w:r>
      <w:r>
        <w:rPr>
          <w:rFonts w:hint="eastAsia" w:ascii="仿宋" w:hAnsi="仿宋" w:eastAsia="仿宋" w:cs="Cambria Math"/>
          <w:color w:val="auto"/>
          <w:highlight w:val="none"/>
        </w:rPr>
        <w:t>：</w:t>
      </w:r>
    </w:p>
    <w:p>
      <w:pPr>
        <w:adjustRightInd w:val="0"/>
        <w:snapToGrid w:val="0"/>
        <w:spacing w:before="240" w:line="360" w:lineRule="auto"/>
        <w:ind w:firstLine="480" w:firstLineChars="200"/>
        <w:rPr>
          <w:rFonts w:ascii="仿宋" w:hAnsi="仿宋" w:eastAsia="仿宋" w:cs="Cambria Math"/>
          <w:color w:val="auto"/>
          <w:highlight w:val="none"/>
        </w:rPr>
      </w:pPr>
      <w:r>
        <w:rPr>
          <w:rFonts w:hint="eastAsia" w:ascii="仿宋" w:hAnsi="仿宋" w:eastAsia="仿宋" w:cs="Cambria Math"/>
          <w:color w:val="auto"/>
          <w:highlight w:val="none"/>
        </w:rPr>
        <w:t>我方</w:t>
      </w:r>
      <w:r>
        <w:rPr>
          <w:rFonts w:hint="eastAsia" w:ascii="仿宋" w:hAnsi="仿宋" w:eastAsia="仿宋" w:cs="Cambria Math"/>
          <w:color w:val="auto"/>
          <w:highlight w:val="none"/>
          <w:u w:val="single"/>
        </w:rPr>
        <w:t xml:space="preserve">     </w:t>
      </w:r>
      <w:r>
        <w:rPr>
          <w:rFonts w:ascii="仿宋" w:hAnsi="仿宋" w:eastAsia="仿宋" w:cs="Cambria Math"/>
          <w:color w:val="auto"/>
          <w:highlight w:val="none"/>
          <w:u w:val="single"/>
        </w:rPr>
        <w:t xml:space="preserve"> </w:t>
      </w:r>
      <w:r>
        <w:rPr>
          <w:rFonts w:hint="eastAsia" w:ascii="仿宋" w:hAnsi="仿宋" w:eastAsia="仿宋" w:cs="Cambria Math"/>
          <w:color w:val="auto"/>
          <w:highlight w:val="none"/>
          <w:u w:val="single"/>
        </w:rPr>
        <w:t>（供应商名称）</w:t>
      </w:r>
      <w:r>
        <w:rPr>
          <w:rFonts w:ascii="仿宋" w:hAnsi="仿宋" w:eastAsia="仿宋" w:cs="Cambria Math"/>
          <w:color w:val="auto"/>
          <w:highlight w:val="none"/>
          <w:u w:val="single"/>
        </w:rPr>
        <w:t xml:space="preserve">      </w:t>
      </w:r>
      <w:r>
        <w:rPr>
          <w:rFonts w:hint="eastAsia" w:ascii="仿宋" w:hAnsi="仿宋" w:eastAsia="仿宋" w:cs="Cambria Math"/>
          <w:color w:val="auto"/>
          <w:highlight w:val="none"/>
        </w:rPr>
        <w:t>承诺截至本项目响应文件递交截止时间，我方未被列入采购人及其所隶属的中国人民保险各级机构的供应商黑名单且未在禁入期内。</w:t>
      </w:r>
    </w:p>
    <w:p>
      <w:pPr>
        <w:pStyle w:val="2"/>
        <w:ind w:firstLine="480" w:firstLineChars="200"/>
        <w:jc w:val="both"/>
        <w:rPr>
          <w:rFonts w:ascii="仿宋" w:hAnsi="仿宋" w:eastAsia="仿宋" w:cs="Cambria Math"/>
          <w:color w:val="auto"/>
          <w:highlight w:val="none"/>
        </w:rPr>
      </w:pPr>
    </w:p>
    <w:p>
      <w:pPr>
        <w:pStyle w:val="2"/>
        <w:ind w:firstLine="480" w:firstLineChars="200"/>
        <w:jc w:val="both"/>
        <w:rPr>
          <w:rFonts w:ascii="仿宋" w:hAnsi="仿宋" w:eastAsia="仿宋" w:cs="Cambria Math"/>
          <w:color w:val="auto"/>
          <w:highlight w:val="none"/>
        </w:rPr>
      </w:pPr>
      <w:r>
        <w:rPr>
          <w:rFonts w:hint="eastAsia" w:ascii="仿宋" w:hAnsi="仿宋" w:eastAsia="仿宋" w:cs="Cambria Math"/>
          <w:color w:val="auto"/>
          <w:highlight w:val="none"/>
        </w:rPr>
        <w:t>特此承诺。</w:t>
      </w:r>
    </w:p>
    <w:p>
      <w:pPr>
        <w:pStyle w:val="76"/>
        <w:ind w:firstLine="640"/>
        <w:rPr>
          <w:rFonts w:ascii="仿宋" w:hAnsi="仿宋" w:eastAsia="仿宋"/>
          <w:color w:val="auto"/>
          <w:highlight w:val="none"/>
        </w:rPr>
      </w:pPr>
    </w:p>
    <w:p>
      <w:pPr>
        <w:pStyle w:val="76"/>
        <w:ind w:firstLine="640"/>
        <w:rPr>
          <w:rFonts w:ascii="仿宋" w:hAnsi="仿宋" w:eastAsia="仿宋"/>
          <w:color w:val="auto"/>
          <w:highlight w:val="none"/>
        </w:rPr>
      </w:pPr>
    </w:p>
    <w:p>
      <w:pPr>
        <w:spacing w:line="360" w:lineRule="auto"/>
        <w:ind w:firstLine="4080" w:firstLineChars="1700"/>
        <w:jc w:val="right"/>
        <w:rPr>
          <w:rFonts w:ascii="仿宋" w:hAnsi="仿宋" w:eastAsia="仿宋" w:cs="Cambria Math"/>
          <w:color w:val="auto"/>
          <w:highlight w:val="none"/>
        </w:rPr>
      </w:pPr>
    </w:p>
    <w:p>
      <w:pPr>
        <w:spacing w:line="360" w:lineRule="auto"/>
        <w:ind w:firstLine="4080" w:firstLineChars="1700"/>
        <w:jc w:val="right"/>
        <w:rPr>
          <w:rFonts w:ascii="仿宋" w:hAnsi="仿宋" w:eastAsia="仿宋" w:cs="Cambria Math"/>
          <w:color w:val="auto"/>
          <w:highlight w:val="none"/>
        </w:rPr>
      </w:pPr>
    </w:p>
    <w:p>
      <w:pPr>
        <w:spacing w:line="360" w:lineRule="auto"/>
        <w:ind w:firstLine="4080" w:firstLineChars="1700"/>
        <w:jc w:val="right"/>
        <w:rPr>
          <w:rFonts w:ascii="仿宋" w:hAnsi="仿宋" w:eastAsia="仿宋" w:cs="Cambria Math"/>
          <w:color w:val="auto"/>
          <w:highlight w:val="none"/>
        </w:rPr>
      </w:pPr>
    </w:p>
    <w:p>
      <w:pPr>
        <w:spacing w:line="360" w:lineRule="auto"/>
        <w:ind w:firstLine="4080" w:firstLineChars="1700"/>
        <w:jc w:val="right"/>
        <w:rPr>
          <w:rFonts w:ascii="仿宋" w:hAnsi="仿宋" w:eastAsia="仿宋" w:cs="Cambria Math"/>
          <w:color w:val="auto"/>
          <w:highlight w:val="none"/>
        </w:rPr>
      </w:pPr>
    </w:p>
    <w:p>
      <w:pPr>
        <w:spacing w:line="360" w:lineRule="auto"/>
        <w:ind w:firstLine="4080" w:firstLineChars="1700"/>
        <w:jc w:val="right"/>
        <w:rPr>
          <w:rFonts w:ascii="仿宋" w:hAnsi="仿宋" w:eastAsia="仿宋" w:cs="Cambria Math"/>
          <w:color w:val="auto"/>
          <w:highlight w:val="none"/>
        </w:rPr>
      </w:pPr>
      <w:r>
        <w:rPr>
          <w:rFonts w:hint="eastAsia" w:ascii="仿宋" w:hAnsi="仿宋" w:eastAsia="仿宋" w:cs="Cambria Math"/>
          <w:color w:val="auto"/>
          <w:highlight w:val="none"/>
        </w:rPr>
        <w:t>供应商名称：</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（盖章）</w:t>
      </w:r>
    </w:p>
    <w:p>
      <w:pPr>
        <w:spacing w:line="360" w:lineRule="auto"/>
        <w:jc w:val="right"/>
        <w:rPr>
          <w:rFonts w:ascii="仿宋" w:hAnsi="仿宋" w:eastAsia="仿宋" w:cs="Cambria Math"/>
          <w:b/>
          <w:bCs/>
          <w:color w:val="auto"/>
          <w:highlight w:val="none"/>
        </w:rPr>
      </w:pPr>
      <w:r>
        <w:rPr>
          <w:rFonts w:hint="eastAsia" w:ascii="仿宋" w:hAnsi="仿宋" w:eastAsia="仿宋" w:cs="Cambria Math"/>
          <w:color w:val="auto"/>
          <w:highlight w:val="none"/>
        </w:rPr>
        <w:t>日期：</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年</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月</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日</w:t>
      </w:r>
    </w:p>
    <w:p>
      <w:pPr>
        <w:pStyle w:val="66"/>
        <w:spacing w:line="360" w:lineRule="auto"/>
        <w:rPr>
          <w:rFonts w:ascii="仿宋" w:hAnsi="仿宋" w:eastAsia="仿宋" w:cs="仿宋"/>
          <w:color w:val="auto"/>
          <w:highlight w:val="none"/>
        </w:rPr>
      </w:pPr>
      <w:r>
        <w:rPr>
          <w:rFonts w:hint="eastAsia" w:ascii="仿宋" w:hAnsi="仿宋" w:eastAsia="仿宋" w:cs="仿宋"/>
          <w:color w:val="auto"/>
          <w:szCs w:val="24"/>
          <w:highlight w:val="none"/>
        </w:rPr>
        <w:br w:type="page"/>
      </w:r>
    </w:p>
    <w:p>
      <w:pPr>
        <w:pStyle w:val="6"/>
        <w:spacing w:before="0" w:after="0" w:line="360" w:lineRule="auto"/>
        <w:rPr>
          <w:rFonts w:ascii="仿宋" w:hAnsi="仿宋" w:eastAsia="仿宋" w:cs="仿宋"/>
          <w:color w:val="auto"/>
          <w:sz w:val="24"/>
          <w:szCs w:val="24"/>
          <w:highlight w:val="none"/>
        </w:rPr>
      </w:pPr>
      <w:bookmarkStart w:id="189" w:name="_Hlk69983040"/>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、供应商控股及管理关系情况申报表</w:t>
      </w:r>
    </w:p>
    <w:p>
      <w:pPr>
        <w:pStyle w:val="51"/>
        <w:spacing w:before="240" w:after="240" w:line="360" w:lineRule="auto"/>
        <w:ind w:firstLine="0" w:firstLineChars="0"/>
        <w:jc w:val="center"/>
        <w:rPr>
          <w:rFonts w:ascii="仿宋" w:hAnsi="仿宋" w:eastAsia="仿宋" w:cs="仿宋"/>
          <w:b/>
          <w:color w:val="auto"/>
          <w:highlight w:val="none"/>
        </w:rPr>
      </w:pPr>
      <w:r>
        <w:rPr>
          <w:rFonts w:hint="eastAsia" w:ascii="仿宋" w:hAnsi="仿宋" w:eastAsia="仿宋" w:cs="仿宋"/>
          <w:b/>
          <w:color w:val="auto"/>
          <w:highlight w:val="none"/>
        </w:rPr>
        <w:t>供应商控股及管理关系情况申报表</w:t>
      </w:r>
    </w:p>
    <w:p>
      <w:pPr>
        <w:adjustRightInd w:val="0"/>
        <w:snapToGrid w:val="0"/>
        <w:spacing w:line="360" w:lineRule="auto"/>
        <w:ind w:left="-89" w:leftChars="-295" w:hanging="619" w:hangingChars="258"/>
        <w:rPr>
          <w:rFonts w:ascii="仿宋" w:hAnsi="仿宋" w:eastAsia="仿宋" w:cs="宋体"/>
          <w:color w:val="auto"/>
          <w:highlight w:val="none"/>
        </w:rPr>
      </w:pPr>
      <w:r>
        <w:rPr>
          <w:rFonts w:hint="eastAsia" w:ascii="仿宋" w:hAnsi="仿宋" w:eastAsia="仿宋" w:cs="宋体"/>
          <w:color w:val="auto"/>
          <w:highlight w:val="none"/>
        </w:rPr>
        <w:t>致：</w:t>
      </w:r>
      <w:r>
        <w:rPr>
          <w:rFonts w:hint="eastAsia" w:ascii="仿宋" w:hAnsi="仿宋" w:eastAsia="仿宋" w:cs="宋体"/>
          <w:color w:val="auto"/>
          <w:highlight w:val="none"/>
          <w:u w:val="single"/>
        </w:rPr>
        <w:t xml:space="preserve"> 中国人民财产保险股份有限公司</w:t>
      </w:r>
      <w:r>
        <w:rPr>
          <w:rFonts w:hint="eastAsia" w:ascii="仿宋" w:hAnsi="仿宋" w:eastAsia="仿宋" w:cs="宋体"/>
          <w:color w:val="auto"/>
          <w:highlight w:val="none"/>
          <w:u w:val="single"/>
          <w:lang w:eastAsia="zh-CN"/>
        </w:rPr>
        <w:t>泸县</w:t>
      </w:r>
      <w:r>
        <w:rPr>
          <w:rFonts w:hint="eastAsia" w:ascii="仿宋" w:hAnsi="仿宋" w:eastAsia="仿宋" w:cs="宋体"/>
          <w:color w:val="auto"/>
          <w:highlight w:val="none"/>
          <w:u w:val="single"/>
        </w:rPr>
        <w:t xml:space="preserve">支公司 </w:t>
      </w:r>
      <w:r>
        <w:rPr>
          <w:rFonts w:hint="eastAsia" w:ascii="仿宋" w:hAnsi="仿宋" w:eastAsia="仿宋" w:cs="宋体"/>
          <w:color w:val="auto"/>
          <w:highlight w:val="none"/>
        </w:rPr>
        <w:t>：</w:t>
      </w:r>
    </w:p>
    <w:p>
      <w:pPr>
        <w:adjustRightInd w:val="0"/>
        <w:snapToGrid w:val="0"/>
        <w:spacing w:line="360" w:lineRule="auto"/>
        <w:ind w:left="-706" w:leftChars="-294" w:right="-586" w:rightChars="-244" w:firstLine="616" w:firstLineChars="257"/>
        <w:rPr>
          <w:rFonts w:ascii="仿宋" w:hAnsi="仿宋" w:eastAsia="仿宋" w:cs="宋体"/>
          <w:color w:val="auto"/>
          <w:highlight w:val="none"/>
        </w:rPr>
      </w:pPr>
      <w:r>
        <w:rPr>
          <w:rFonts w:hint="eastAsia" w:ascii="仿宋" w:hAnsi="仿宋" w:eastAsia="仿宋" w:cs="宋体"/>
          <w:color w:val="auto"/>
          <w:highlight w:val="none"/>
        </w:rPr>
        <w:t>我方参加</w:t>
      </w:r>
      <w:r>
        <w:rPr>
          <w:rFonts w:hint="eastAsia" w:ascii="仿宋" w:hAnsi="仿宋" w:eastAsia="仿宋" w:cs="宋体"/>
          <w:color w:val="auto"/>
          <w:highlight w:val="none"/>
          <w:u w:val="single"/>
        </w:rPr>
        <w:t xml:space="preserve">   </w:t>
      </w:r>
      <w:r>
        <w:rPr>
          <w:rFonts w:hint="eastAsia" w:ascii="仿宋" w:hAnsi="仿宋" w:eastAsia="仿宋" w:cs="Cambria Math"/>
          <w:color w:val="auto"/>
          <w:highlight w:val="none"/>
          <w:u w:val="single"/>
          <w:lang w:eastAsia="zh-CN"/>
        </w:rPr>
        <w:t xml:space="preserve">人保财险四川省泸州市泸县支公司食堂食材物资采购项目 </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项目名称）的比选，根据法律法规维护投标公正性的相关规定，我方与采购人之间不存在利害关系可能影响采购公正性的法人、其他组织或者个人，特就本单位控股及管理关系情况申报如下，并承担申报不实的责任。如我方中选该项目并签署合同后，一旦发现我方申报不实，采购人可无条件终止合同。</w:t>
      </w:r>
    </w:p>
    <w:tbl>
      <w:tblPr>
        <w:tblStyle w:val="29"/>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434"/>
        <w:gridCol w:w="5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申报人名称</w:t>
            </w:r>
          </w:p>
        </w:tc>
        <w:tc>
          <w:tcPr>
            <w:tcW w:w="7926" w:type="dxa"/>
            <w:gridSpan w:val="2"/>
            <w:vAlign w:val="center"/>
          </w:tcPr>
          <w:p>
            <w:pPr>
              <w:adjustRightInd w:val="0"/>
              <w:snapToGrid w:val="0"/>
              <w:spacing w:line="440" w:lineRule="exact"/>
              <w:rPr>
                <w:rFonts w:ascii="仿宋" w:hAnsi="仿宋" w:eastAsia="仿宋"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法定代表人/单位负责人</w:t>
            </w:r>
          </w:p>
        </w:tc>
        <w:tc>
          <w:tcPr>
            <w:tcW w:w="2434" w:type="dxa"/>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姓    名</w:t>
            </w:r>
          </w:p>
        </w:tc>
        <w:tc>
          <w:tcPr>
            <w:tcW w:w="5492" w:type="dxa"/>
            <w:vAlign w:val="center"/>
          </w:tcPr>
          <w:p>
            <w:pPr>
              <w:adjustRightInd w:val="0"/>
              <w:snapToGrid w:val="0"/>
              <w:spacing w:line="440" w:lineRule="exact"/>
              <w:rPr>
                <w:rFonts w:ascii="仿宋" w:hAnsi="仿宋" w:eastAsia="仿宋"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vAlign w:val="center"/>
          </w:tcPr>
          <w:p>
            <w:pPr>
              <w:adjustRightInd w:val="0"/>
              <w:snapToGrid w:val="0"/>
              <w:spacing w:line="440" w:lineRule="exact"/>
              <w:rPr>
                <w:rFonts w:ascii="仿宋" w:hAnsi="仿宋" w:eastAsia="仿宋" w:cs="宋体"/>
                <w:color w:val="auto"/>
                <w:highlight w:val="none"/>
              </w:rPr>
            </w:pPr>
          </w:p>
        </w:tc>
        <w:tc>
          <w:tcPr>
            <w:tcW w:w="2434" w:type="dxa"/>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身份证号</w:t>
            </w:r>
          </w:p>
        </w:tc>
        <w:tc>
          <w:tcPr>
            <w:tcW w:w="5492" w:type="dxa"/>
            <w:vAlign w:val="center"/>
          </w:tcPr>
          <w:p>
            <w:pPr>
              <w:adjustRightInd w:val="0"/>
              <w:snapToGrid w:val="0"/>
              <w:spacing w:line="440" w:lineRule="exact"/>
              <w:rPr>
                <w:rFonts w:ascii="仿宋" w:hAnsi="仿宋" w:eastAsia="仿宋"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单位负责人为同一人单位名称</w:t>
            </w:r>
          </w:p>
        </w:tc>
        <w:tc>
          <w:tcPr>
            <w:tcW w:w="7926" w:type="dxa"/>
            <w:gridSpan w:val="2"/>
            <w:vAlign w:val="center"/>
          </w:tcPr>
          <w:p>
            <w:pPr>
              <w:adjustRightInd w:val="0"/>
              <w:snapToGrid w:val="0"/>
              <w:spacing w:line="440" w:lineRule="exact"/>
              <w:rPr>
                <w:rFonts w:ascii="仿宋" w:hAnsi="仿宋" w:eastAsia="仿宋"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控股关系</w:t>
            </w:r>
          </w:p>
        </w:tc>
        <w:tc>
          <w:tcPr>
            <w:tcW w:w="2434" w:type="dxa"/>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控股股东/投资人名称及出资比例</w:t>
            </w:r>
          </w:p>
        </w:tc>
        <w:tc>
          <w:tcPr>
            <w:tcW w:w="5492" w:type="dxa"/>
            <w:vAlign w:val="center"/>
          </w:tcPr>
          <w:p>
            <w:pPr>
              <w:adjustRightInd w:val="0"/>
              <w:snapToGrid w:val="0"/>
              <w:spacing w:line="440" w:lineRule="exact"/>
              <w:rPr>
                <w:rFonts w:ascii="仿宋" w:hAnsi="仿宋" w:eastAsia="仿宋"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vAlign w:val="center"/>
          </w:tcPr>
          <w:p>
            <w:pPr>
              <w:adjustRightInd w:val="0"/>
              <w:snapToGrid w:val="0"/>
              <w:spacing w:line="440" w:lineRule="exact"/>
              <w:rPr>
                <w:rFonts w:ascii="仿宋" w:hAnsi="仿宋" w:eastAsia="仿宋" w:cs="宋体"/>
                <w:color w:val="auto"/>
                <w:highlight w:val="none"/>
              </w:rPr>
            </w:pPr>
          </w:p>
        </w:tc>
        <w:tc>
          <w:tcPr>
            <w:tcW w:w="2434" w:type="dxa"/>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被控股/被投资单位名称及出资比例</w:t>
            </w:r>
          </w:p>
        </w:tc>
        <w:tc>
          <w:tcPr>
            <w:tcW w:w="5492" w:type="dxa"/>
            <w:vAlign w:val="center"/>
          </w:tcPr>
          <w:p>
            <w:pPr>
              <w:adjustRightInd w:val="0"/>
              <w:snapToGrid w:val="0"/>
              <w:spacing w:line="440" w:lineRule="exact"/>
              <w:rPr>
                <w:rFonts w:ascii="仿宋" w:hAnsi="仿宋" w:eastAsia="仿宋"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管理关系</w:t>
            </w:r>
          </w:p>
        </w:tc>
        <w:tc>
          <w:tcPr>
            <w:tcW w:w="2434" w:type="dxa"/>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管理关系单位名称</w:t>
            </w:r>
          </w:p>
        </w:tc>
        <w:tc>
          <w:tcPr>
            <w:tcW w:w="5492" w:type="dxa"/>
            <w:vAlign w:val="center"/>
          </w:tcPr>
          <w:p>
            <w:pPr>
              <w:adjustRightInd w:val="0"/>
              <w:snapToGrid w:val="0"/>
              <w:spacing w:line="440" w:lineRule="exact"/>
              <w:rPr>
                <w:rFonts w:ascii="仿宋" w:hAnsi="仿宋" w:eastAsia="仿宋"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vAlign w:val="center"/>
          </w:tcPr>
          <w:p>
            <w:pPr>
              <w:adjustRightInd w:val="0"/>
              <w:snapToGrid w:val="0"/>
              <w:spacing w:line="440" w:lineRule="exact"/>
              <w:rPr>
                <w:rFonts w:ascii="仿宋" w:hAnsi="仿宋" w:eastAsia="仿宋" w:cs="宋体"/>
                <w:color w:val="auto"/>
                <w:highlight w:val="none"/>
              </w:rPr>
            </w:pPr>
          </w:p>
        </w:tc>
        <w:tc>
          <w:tcPr>
            <w:tcW w:w="2434" w:type="dxa"/>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被管理关系单位名称</w:t>
            </w:r>
          </w:p>
        </w:tc>
        <w:tc>
          <w:tcPr>
            <w:tcW w:w="5492" w:type="dxa"/>
            <w:vAlign w:val="center"/>
          </w:tcPr>
          <w:p>
            <w:pPr>
              <w:adjustRightInd w:val="0"/>
              <w:snapToGrid w:val="0"/>
              <w:spacing w:line="440" w:lineRule="exact"/>
              <w:rPr>
                <w:rFonts w:ascii="仿宋" w:hAnsi="仿宋" w:eastAsia="仿宋"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vAlign w:val="center"/>
          </w:tcPr>
          <w:p>
            <w:pPr>
              <w:adjustRightInd w:val="0"/>
              <w:snapToGrid w:val="0"/>
              <w:spacing w:line="440" w:lineRule="exact"/>
              <w:rPr>
                <w:rFonts w:ascii="仿宋" w:hAnsi="仿宋" w:eastAsia="仿宋" w:cs="宋体"/>
                <w:color w:val="auto"/>
                <w:highlight w:val="none"/>
              </w:rPr>
            </w:pPr>
            <w:r>
              <w:rPr>
                <w:rFonts w:hint="eastAsia" w:ascii="仿宋" w:hAnsi="仿宋" w:eastAsia="仿宋" w:cs="宋体"/>
                <w:color w:val="auto"/>
                <w:highlight w:val="none"/>
              </w:rPr>
              <w:t>备注：</w:t>
            </w:r>
          </w:p>
        </w:tc>
      </w:tr>
    </w:tbl>
    <w:p>
      <w:pPr>
        <w:adjustRightInd w:val="0"/>
        <w:snapToGrid w:val="0"/>
        <w:spacing w:line="360" w:lineRule="auto"/>
        <w:rPr>
          <w:rFonts w:ascii="仿宋" w:hAnsi="仿宋" w:eastAsia="仿宋" w:cs="宋体"/>
          <w:color w:val="auto"/>
          <w:highlight w:val="none"/>
        </w:rPr>
      </w:pPr>
      <w:r>
        <w:rPr>
          <w:rFonts w:hint="eastAsia" w:ascii="仿宋" w:hAnsi="仿宋" w:eastAsia="仿宋" w:cs="宋体"/>
          <w:color w:val="auto"/>
          <w:highlight w:val="none"/>
        </w:rPr>
        <w:t>注：</w:t>
      </w:r>
    </w:p>
    <w:p>
      <w:pPr>
        <w:adjustRightInd w:val="0"/>
        <w:snapToGrid w:val="0"/>
        <w:spacing w:line="360" w:lineRule="auto"/>
        <w:rPr>
          <w:rFonts w:ascii="仿宋" w:hAnsi="仿宋" w:eastAsia="仿宋" w:cs="宋体"/>
          <w:color w:val="auto"/>
          <w:highlight w:val="none"/>
        </w:rPr>
      </w:pPr>
      <w:r>
        <w:rPr>
          <w:rFonts w:hint="eastAsia" w:ascii="仿宋" w:hAnsi="仿宋" w:eastAsia="仿宋" w:cs="宋体"/>
          <w:color w:val="auto"/>
          <w:highlight w:val="none"/>
        </w:rPr>
        <w:t>1.控股股东/投资人是指出资比例在50%以上，或者出资比例不足50%，但享有公司股东会/董事会控制权的投资方（含单位或者个人）</w:t>
      </w:r>
    </w:p>
    <w:p>
      <w:pPr>
        <w:adjustRightInd w:val="0"/>
        <w:snapToGrid w:val="0"/>
        <w:spacing w:line="360" w:lineRule="auto"/>
        <w:ind w:left="12" w:leftChars="5"/>
        <w:rPr>
          <w:rFonts w:ascii="仿宋" w:hAnsi="仿宋" w:eastAsia="仿宋" w:cs="宋体"/>
          <w:color w:val="auto"/>
          <w:highlight w:val="none"/>
        </w:rPr>
      </w:pPr>
      <w:r>
        <w:rPr>
          <w:rFonts w:hint="eastAsia" w:ascii="仿宋" w:hAnsi="仿宋" w:eastAsia="仿宋" w:cs="宋体"/>
          <w:color w:val="auto"/>
          <w:highlight w:val="none"/>
        </w:rPr>
        <w:t xml:space="preserve">2.管理关系单位是指与不具有出资持股关系的其他单位之间存在管理与被管理关系的单位； </w:t>
      </w:r>
    </w:p>
    <w:p>
      <w:pPr>
        <w:adjustRightInd w:val="0"/>
        <w:snapToGrid w:val="0"/>
        <w:spacing w:line="360" w:lineRule="auto"/>
        <w:rPr>
          <w:rFonts w:ascii="仿宋" w:hAnsi="仿宋" w:eastAsia="仿宋" w:cs="宋体"/>
          <w:color w:val="auto"/>
          <w:highlight w:val="none"/>
        </w:rPr>
      </w:pPr>
      <w:r>
        <w:rPr>
          <w:rFonts w:hint="eastAsia" w:ascii="仿宋" w:hAnsi="仿宋" w:eastAsia="仿宋" w:cs="宋体"/>
          <w:color w:val="auto"/>
          <w:highlight w:val="none"/>
        </w:rPr>
        <w:t>3.如未有相关情况，请在相应栏填写“无”。</w:t>
      </w:r>
    </w:p>
    <w:p>
      <w:pPr>
        <w:pStyle w:val="78"/>
        <w:adjustRightInd w:val="0"/>
        <w:snapToGrid w:val="0"/>
        <w:spacing w:line="360" w:lineRule="auto"/>
        <w:jc w:val="left"/>
        <w:rPr>
          <w:rFonts w:ascii="仿宋" w:hAnsi="仿宋" w:eastAsia="仿宋" w:cs="宋体"/>
          <w:color w:val="auto"/>
          <w:sz w:val="24"/>
          <w:highlight w:val="none"/>
        </w:rPr>
      </w:pPr>
      <w:r>
        <w:rPr>
          <w:rFonts w:hint="eastAsia" w:ascii="仿宋" w:hAnsi="仿宋" w:eastAsia="仿宋" w:cs="宋体"/>
          <w:color w:val="auto"/>
          <w:sz w:val="24"/>
          <w:highlight w:val="none"/>
        </w:rPr>
        <w:t xml:space="preserve">2.管理关系单位是指与不具有出资持股关系的其他单位之间存在管理与被管理关系的单位； </w:t>
      </w:r>
    </w:p>
    <w:p>
      <w:pPr>
        <w:pStyle w:val="78"/>
        <w:adjustRightInd w:val="0"/>
        <w:snapToGrid w:val="0"/>
        <w:spacing w:line="360" w:lineRule="auto"/>
        <w:rPr>
          <w:rFonts w:ascii="仿宋" w:hAnsi="仿宋" w:eastAsia="仿宋" w:cs="宋体"/>
          <w:color w:val="auto"/>
          <w:sz w:val="24"/>
          <w:highlight w:val="none"/>
        </w:rPr>
      </w:pPr>
      <w:r>
        <w:rPr>
          <w:rFonts w:hint="eastAsia" w:ascii="仿宋" w:hAnsi="仿宋" w:eastAsia="仿宋" w:cs="宋体"/>
          <w:color w:val="auto"/>
          <w:sz w:val="24"/>
          <w:highlight w:val="none"/>
        </w:rPr>
        <w:t>3.如未有相关情况，请在相应栏填写“无”。</w:t>
      </w:r>
    </w:p>
    <w:p>
      <w:pPr>
        <w:spacing w:line="360" w:lineRule="auto"/>
        <w:ind w:left="480" w:hanging="480" w:hangingChars="200"/>
        <w:rPr>
          <w:rFonts w:ascii="仿宋" w:hAnsi="仿宋" w:eastAsia="仿宋" w:cs="宋体"/>
          <w:color w:val="auto"/>
          <w:highlight w:val="none"/>
        </w:rPr>
      </w:pPr>
    </w:p>
    <w:p>
      <w:pPr>
        <w:spacing w:line="360" w:lineRule="auto"/>
        <w:ind w:firstLine="5520" w:firstLineChars="2300"/>
        <w:jc w:val="both"/>
        <w:rPr>
          <w:rFonts w:ascii="仿宋" w:hAnsi="仿宋" w:eastAsia="仿宋" w:cs="宋体"/>
          <w:color w:val="auto"/>
          <w:highlight w:val="none"/>
        </w:rPr>
      </w:pPr>
      <w:r>
        <w:rPr>
          <w:rFonts w:hint="eastAsia" w:ascii="仿宋" w:hAnsi="仿宋" w:eastAsia="仿宋" w:cs="宋体"/>
          <w:color w:val="auto"/>
          <w:highlight w:val="none"/>
        </w:rPr>
        <w:t>供应商名称：</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（盖章）</w:t>
      </w:r>
    </w:p>
    <w:p>
      <w:pPr>
        <w:spacing w:line="360" w:lineRule="auto"/>
        <w:ind w:firstLine="5520" w:firstLineChars="2300"/>
        <w:rPr>
          <w:rFonts w:hint="eastAsia" w:ascii="仿宋" w:hAnsi="仿宋" w:eastAsia="仿宋" w:cs="仿宋"/>
          <w:b/>
          <w:bCs/>
          <w:color w:val="auto"/>
          <w:sz w:val="24"/>
          <w:szCs w:val="24"/>
          <w:highlight w:val="none"/>
          <w:lang w:val="en-US" w:eastAsia="zh-CN" w:bidi="ar-SA"/>
        </w:rPr>
      </w:pPr>
      <w:r>
        <w:rPr>
          <w:rFonts w:hint="eastAsia" w:ascii="仿宋" w:hAnsi="仿宋" w:eastAsia="仿宋" w:cs="宋体"/>
          <w:color w:val="auto"/>
          <w:highlight w:val="none"/>
        </w:rPr>
        <w:t>日期：</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年</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月</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日</w:t>
      </w:r>
      <w:r>
        <w:rPr>
          <w:rFonts w:hint="eastAsia" w:ascii="仿宋" w:hAnsi="仿宋" w:eastAsia="仿宋" w:cs="仿宋"/>
          <w:color w:val="auto"/>
          <w:highlight w:val="none"/>
        </w:rPr>
        <w:br w:type="page"/>
      </w:r>
      <w:r>
        <w:rPr>
          <w:rFonts w:hint="eastAsia" w:ascii="仿宋" w:hAnsi="仿宋" w:eastAsia="仿宋" w:cs="仿宋"/>
          <w:b/>
          <w:bCs/>
          <w:color w:val="auto"/>
          <w:sz w:val="24"/>
          <w:szCs w:val="24"/>
          <w:highlight w:val="none"/>
          <w:lang w:val="en-US" w:eastAsia="zh-CN" w:bidi="ar-SA"/>
        </w:rPr>
        <w:t>6、非联合体比选响应声明</w:t>
      </w:r>
    </w:p>
    <w:bookmarkEnd w:id="188"/>
    <w:bookmarkEnd w:id="189"/>
    <w:p>
      <w:pPr>
        <w:pStyle w:val="2"/>
        <w:spacing w:before="240"/>
        <w:rPr>
          <w:rFonts w:ascii="仿宋" w:hAnsi="仿宋" w:eastAsia="仿宋" w:cs="Cambria Math"/>
          <w:b/>
          <w:bCs/>
          <w:color w:val="auto"/>
          <w:highlight w:val="none"/>
        </w:rPr>
      </w:pPr>
      <w:bookmarkStart w:id="190" w:name="_Toc71192048"/>
      <w:r>
        <w:rPr>
          <w:rFonts w:hint="eastAsia" w:ascii="仿宋" w:hAnsi="仿宋" w:eastAsia="仿宋" w:cs="Cambria Math"/>
          <w:b/>
          <w:bCs/>
          <w:color w:val="auto"/>
          <w:highlight w:val="none"/>
        </w:rPr>
        <w:t>非联合体比选响应声明</w:t>
      </w:r>
    </w:p>
    <w:p>
      <w:pPr>
        <w:adjustRightInd w:val="0"/>
        <w:snapToGrid w:val="0"/>
        <w:spacing w:before="240" w:line="360" w:lineRule="auto"/>
        <w:rPr>
          <w:rFonts w:ascii="仿宋" w:hAnsi="仿宋" w:eastAsia="仿宋" w:cs="Cambria Math"/>
          <w:color w:val="auto"/>
          <w:highlight w:val="none"/>
        </w:rPr>
      </w:pPr>
      <w:r>
        <w:rPr>
          <w:rFonts w:hint="eastAsia" w:ascii="仿宋" w:hAnsi="仿宋" w:eastAsia="仿宋" w:cs="Cambria Math"/>
          <w:color w:val="auto"/>
          <w:highlight w:val="none"/>
        </w:rPr>
        <w:t>致：</w:t>
      </w:r>
      <w:r>
        <w:rPr>
          <w:rFonts w:hint="eastAsia" w:ascii="仿宋" w:hAnsi="仿宋" w:eastAsia="仿宋" w:cs="Cambria Math"/>
          <w:color w:val="auto"/>
          <w:sz w:val="24"/>
          <w:szCs w:val="24"/>
          <w:highlight w:val="none"/>
        </w:rPr>
        <w:t>中国人民财产保险股份有限公司</w:t>
      </w:r>
      <w:r>
        <w:rPr>
          <w:rFonts w:hint="eastAsia" w:ascii="仿宋" w:hAnsi="仿宋" w:eastAsia="仿宋" w:cs="Cambria Math"/>
          <w:color w:val="auto"/>
          <w:sz w:val="24"/>
          <w:szCs w:val="24"/>
          <w:highlight w:val="none"/>
          <w:lang w:eastAsia="zh-CN"/>
        </w:rPr>
        <w:t>泸县</w:t>
      </w:r>
      <w:r>
        <w:rPr>
          <w:rFonts w:hint="eastAsia" w:ascii="仿宋" w:hAnsi="仿宋" w:eastAsia="仿宋" w:cs="Cambria Math"/>
          <w:color w:val="auto"/>
          <w:sz w:val="24"/>
          <w:szCs w:val="24"/>
          <w:highlight w:val="none"/>
        </w:rPr>
        <w:t>支公司</w:t>
      </w:r>
    </w:p>
    <w:p>
      <w:pPr>
        <w:adjustRightInd w:val="0"/>
        <w:snapToGrid w:val="0"/>
        <w:spacing w:before="240" w:line="360" w:lineRule="auto"/>
        <w:ind w:firstLine="480" w:firstLineChars="200"/>
        <w:rPr>
          <w:rFonts w:ascii="仿宋" w:hAnsi="仿宋" w:eastAsia="仿宋" w:cs="Cambria Math"/>
          <w:color w:val="auto"/>
          <w:highlight w:val="none"/>
        </w:rPr>
      </w:pPr>
      <w:r>
        <w:rPr>
          <w:rFonts w:hint="eastAsia" w:ascii="仿宋" w:hAnsi="仿宋" w:eastAsia="仿宋" w:cs="Cambria Math"/>
          <w:color w:val="auto"/>
          <w:highlight w:val="none"/>
        </w:rPr>
        <w:t>我方</w:t>
      </w:r>
      <w:r>
        <w:rPr>
          <w:rFonts w:hint="eastAsia" w:ascii="仿宋" w:hAnsi="仿宋" w:eastAsia="仿宋" w:cs="Cambria Math"/>
          <w:color w:val="auto"/>
          <w:highlight w:val="none"/>
          <w:u w:val="single"/>
        </w:rPr>
        <w:t xml:space="preserve">     </w:t>
      </w:r>
      <w:r>
        <w:rPr>
          <w:rFonts w:ascii="仿宋" w:hAnsi="仿宋" w:eastAsia="仿宋" w:cs="Cambria Math"/>
          <w:color w:val="auto"/>
          <w:highlight w:val="none"/>
          <w:u w:val="single"/>
        </w:rPr>
        <w:t xml:space="preserve"> </w:t>
      </w:r>
      <w:r>
        <w:rPr>
          <w:rFonts w:hint="eastAsia" w:ascii="仿宋" w:hAnsi="仿宋" w:eastAsia="仿宋" w:cs="Cambria Math"/>
          <w:color w:val="auto"/>
          <w:highlight w:val="none"/>
          <w:u w:val="single"/>
        </w:rPr>
        <w:t>（供应商名称）</w:t>
      </w:r>
      <w:r>
        <w:rPr>
          <w:rFonts w:ascii="仿宋" w:hAnsi="仿宋" w:eastAsia="仿宋" w:cs="Cambria Math"/>
          <w:color w:val="auto"/>
          <w:highlight w:val="none"/>
          <w:u w:val="single"/>
        </w:rPr>
        <w:t xml:space="preserve">   </w:t>
      </w:r>
      <w:r>
        <w:rPr>
          <w:rFonts w:hint="eastAsia" w:ascii="仿宋" w:hAnsi="仿宋" w:eastAsia="仿宋" w:cs="Cambria Math"/>
          <w:color w:val="auto"/>
          <w:highlight w:val="none"/>
        </w:rPr>
        <w:t>独立参与</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sz w:val="24"/>
          <w:szCs w:val="24"/>
          <w:highlight w:val="none"/>
          <w:u w:val="single"/>
          <w:lang w:eastAsia="zh-CN"/>
        </w:rPr>
        <w:t xml:space="preserve">人保财险四川省泸州市泸县支公司食堂食材物资采购项目 </w:t>
      </w:r>
      <w:r>
        <w:rPr>
          <w:rFonts w:ascii="仿宋" w:hAnsi="仿宋" w:eastAsia="仿宋" w:cs="Cambria Math"/>
          <w:color w:val="auto"/>
          <w:highlight w:val="none"/>
          <w:u w:val="single"/>
        </w:rPr>
        <w:t xml:space="preserve"> </w:t>
      </w:r>
      <w:r>
        <w:rPr>
          <w:rFonts w:hint="eastAsia" w:ascii="仿宋" w:hAnsi="仿宋" w:eastAsia="仿宋" w:cs="Cambria Math"/>
          <w:color w:val="auto"/>
          <w:highlight w:val="none"/>
        </w:rPr>
        <w:t>比选响应，非联合体参与比选响应。</w:t>
      </w:r>
      <w:r>
        <w:rPr>
          <w:rFonts w:ascii="仿宋" w:hAnsi="仿宋" w:eastAsia="仿宋" w:cs="Cambria Math"/>
          <w:color w:val="auto"/>
          <w:highlight w:val="none"/>
        </w:rPr>
        <w:t xml:space="preserve"> </w:t>
      </w:r>
    </w:p>
    <w:p>
      <w:pPr>
        <w:pStyle w:val="2"/>
        <w:ind w:firstLine="480" w:firstLineChars="200"/>
        <w:jc w:val="both"/>
        <w:rPr>
          <w:rFonts w:ascii="仿宋" w:hAnsi="仿宋" w:eastAsia="仿宋" w:cs="Cambria Math"/>
          <w:color w:val="auto"/>
          <w:highlight w:val="none"/>
        </w:rPr>
      </w:pPr>
      <w:r>
        <w:rPr>
          <w:rFonts w:hint="eastAsia" w:ascii="仿宋" w:hAnsi="仿宋" w:eastAsia="仿宋" w:cs="Cambria Math"/>
          <w:color w:val="auto"/>
          <w:highlight w:val="none"/>
        </w:rPr>
        <w:t>特此声明。</w:t>
      </w:r>
    </w:p>
    <w:p>
      <w:pPr>
        <w:pStyle w:val="76"/>
        <w:ind w:firstLine="640"/>
        <w:rPr>
          <w:rFonts w:ascii="仿宋" w:hAnsi="仿宋" w:eastAsia="仿宋"/>
          <w:color w:val="auto"/>
          <w:highlight w:val="none"/>
        </w:rPr>
      </w:pPr>
    </w:p>
    <w:p>
      <w:pPr>
        <w:pStyle w:val="76"/>
        <w:ind w:firstLine="640"/>
        <w:rPr>
          <w:rFonts w:ascii="仿宋" w:hAnsi="仿宋" w:eastAsia="仿宋"/>
          <w:color w:val="auto"/>
          <w:highlight w:val="none"/>
        </w:rPr>
      </w:pPr>
    </w:p>
    <w:p>
      <w:pPr>
        <w:pStyle w:val="76"/>
        <w:ind w:firstLine="640"/>
        <w:rPr>
          <w:rFonts w:ascii="仿宋" w:hAnsi="仿宋" w:eastAsia="仿宋"/>
          <w:color w:val="auto"/>
          <w:highlight w:val="none"/>
        </w:rPr>
      </w:pPr>
    </w:p>
    <w:p>
      <w:pPr>
        <w:pStyle w:val="76"/>
        <w:ind w:firstLine="640"/>
        <w:rPr>
          <w:rFonts w:ascii="仿宋" w:hAnsi="仿宋" w:eastAsia="仿宋"/>
          <w:color w:val="auto"/>
          <w:highlight w:val="none"/>
        </w:rPr>
      </w:pPr>
    </w:p>
    <w:p>
      <w:pPr>
        <w:pStyle w:val="76"/>
        <w:ind w:firstLine="640"/>
        <w:rPr>
          <w:rFonts w:ascii="仿宋" w:hAnsi="仿宋" w:eastAsia="仿宋"/>
          <w:color w:val="auto"/>
          <w:highlight w:val="none"/>
        </w:rPr>
      </w:pPr>
    </w:p>
    <w:p>
      <w:pPr>
        <w:pStyle w:val="76"/>
        <w:ind w:firstLine="640"/>
        <w:rPr>
          <w:rFonts w:ascii="仿宋" w:hAnsi="仿宋" w:eastAsia="仿宋"/>
          <w:color w:val="auto"/>
          <w:highlight w:val="none"/>
        </w:rPr>
      </w:pPr>
    </w:p>
    <w:p>
      <w:pPr>
        <w:pStyle w:val="76"/>
        <w:ind w:firstLine="640"/>
        <w:rPr>
          <w:rFonts w:ascii="仿宋" w:hAnsi="仿宋" w:eastAsia="仿宋"/>
          <w:color w:val="auto"/>
          <w:highlight w:val="none"/>
        </w:rPr>
      </w:pPr>
    </w:p>
    <w:p>
      <w:pPr>
        <w:spacing w:line="360" w:lineRule="auto"/>
        <w:ind w:firstLine="4080" w:firstLineChars="1700"/>
        <w:jc w:val="right"/>
        <w:rPr>
          <w:rFonts w:ascii="仿宋" w:hAnsi="仿宋" w:eastAsia="仿宋" w:cs="Cambria Math"/>
          <w:color w:val="auto"/>
          <w:highlight w:val="none"/>
        </w:rPr>
      </w:pPr>
      <w:r>
        <w:rPr>
          <w:rFonts w:hint="eastAsia" w:ascii="仿宋" w:hAnsi="仿宋" w:eastAsia="仿宋" w:cs="Cambria Math"/>
          <w:color w:val="auto"/>
          <w:highlight w:val="none"/>
        </w:rPr>
        <w:t>供应商名称：</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（盖章）</w:t>
      </w:r>
    </w:p>
    <w:p>
      <w:pPr>
        <w:spacing w:line="360" w:lineRule="auto"/>
        <w:jc w:val="right"/>
        <w:rPr>
          <w:rFonts w:ascii="仿宋" w:hAnsi="仿宋" w:eastAsia="仿宋" w:cs="Cambria Math"/>
          <w:b/>
          <w:bCs/>
          <w:color w:val="auto"/>
          <w:highlight w:val="none"/>
        </w:rPr>
      </w:pPr>
      <w:r>
        <w:rPr>
          <w:rFonts w:hint="eastAsia" w:ascii="仿宋" w:hAnsi="仿宋" w:eastAsia="仿宋" w:cs="Cambria Math"/>
          <w:color w:val="auto"/>
          <w:highlight w:val="none"/>
        </w:rPr>
        <w:t>日期：</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年</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月</w:t>
      </w:r>
      <w:r>
        <w:rPr>
          <w:rFonts w:hint="eastAsia" w:ascii="仿宋" w:hAnsi="仿宋" w:eastAsia="仿宋" w:cs="Cambria Math"/>
          <w:color w:val="auto"/>
          <w:highlight w:val="none"/>
          <w:u w:val="single"/>
        </w:rPr>
        <w:t xml:space="preserve">   </w:t>
      </w:r>
      <w:r>
        <w:rPr>
          <w:rFonts w:hint="eastAsia" w:ascii="仿宋" w:hAnsi="仿宋" w:eastAsia="仿宋" w:cs="Cambria Math"/>
          <w:color w:val="auto"/>
          <w:highlight w:val="none"/>
        </w:rPr>
        <w:t>日</w:t>
      </w:r>
    </w:p>
    <w:p>
      <w:pPr>
        <w:rPr>
          <w:rFonts w:ascii="仿宋" w:hAnsi="仿宋" w:eastAsia="仿宋" w:cs="仿宋"/>
          <w:color w:val="auto"/>
          <w:highlight w:val="none"/>
        </w:rPr>
      </w:pPr>
      <w:r>
        <w:rPr>
          <w:rFonts w:ascii="仿宋" w:hAnsi="仿宋" w:eastAsia="仿宋" w:cs="仿宋"/>
          <w:color w:val="auto"/>
          <w:highlight w:val="none"/>
        </w:rPr>
        <w:br w:type="page"/>
      </w:r>
    </w:p>
    <w:p>
      <w:pPr>
        <w:pStyle w:val="5"/>
        <w:spacing w:before="0" w:after="0" w:line="360" w:lineRule="auto"/>
        <w:rPr>
          <w:rFonts w:ascii="仿宋" w:hAnsi="仿宋" w:cs="宋体"/>
          <w:color w:val="auto"/>
          <w:szCs w:val="24"/>
          <w:highlight w:val="none"/>
        </w:rPr>
      </w:pPr>
      <w:bookmarkStart w:id="191" w:name="_Toc144139212"/>
      <w:bookmarkStart w:id="192" w:name="_Toc112068411"/>
      <w:bookmarkStart w:id="193" w:name="_Toc18208"/>
      <w:bookmarkStart w:id="194" w:name="_Toc65683009"/>
      <w:bookmarkStart w:id="195" w:name="_Toc15130"/>
      <w:bookmarkStart w:id="196" w:name="_Toc14812"/>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五</w:t>
      </w:r>
      <w:r>
        <w:rPr>
          <w:rFonts w:ascii="仿宋" w:hAnsi="仿宋" w:eastAsia="仿宋" w:cs="仿宋"/>
          <w:color w:val="auto"/>
          <w:sz w:val="24"/>
          <w:szCs w:val="24"/>
          <w:highlight w:val="none"/>
        </w:rPr>
        <w:t>）</w:t>
      </w:r>
      <w:r>
        <w:rPr>
          <w:rFonts w:hint="eastAsia" w:ascii="仿宋" w:hAnsi="仿宋" w:eastAsia="仿宋" w:cs="仿宋"/>
          <w:color w:val="auto"/>
          <w:sz w:val="24"/>
          <w:szCs w:val="24"/>
          <w:highlight w:val="none"/>
        </w:rPr>
        <w:t>供应商</w:t>
      </w:r>
      <w:r>
        <w:rPr>
          <w:rFonts w:ascii="仿宋" w:hAnsi="仿宋" w:eastAsia="仿宋" w:cs="仿宋"/>
          <w:color w:val="auto"/>
          <w:sz w:val="24"/>
          <w:szCs w:val="24"/>
          <w:highlight w:val="none"/>
        </w:rPr>
        <w:t>须知应答偏离表</w:t>
      </w:r>
      <w:bookmarkEnd w:id="191"/>
      <w:bookmarkEnd w:id="192"/>
      <w:bookmarkEnd w:id="193"/>
      <w:bookmarkEnd w:id="194"/>
      <w:bookmarkEnd w:id="195"/>
      <w:bookmarkEnd w:id="196"/>
    </w:p>
    <w:p>
      <w:pPr>
        <w:spacing w:line="360" w:lineRule="auto"/>
        <w:jc w:val="center"/>
        <w:rPr>
          <w:rFonts w:ascii="仿宋" w:hAnsi="仿宋" w:eastAsia="仿宋" w:cs="宋体"/>
          <w:b/>
          <w:bCs/>
          <w:color w:val="auto"/>
          <w:highlight w:val="none"/>
        </w:rPr>
      </w:pPr>
      <w:r>
        <w:rPr>
          <w:rFonts w:hint="eastAsia" w:ascii="仿宋" w:hAnsi="仿宋" w:eastAsia="仿宋" w:cs="宋体"/>
          <w:b/>
          <w:bCs/>
          <w:color w:val="auto"/>
          <w:highlight w:val="none"/>
        </w:rPr>
        <w:t>供应商须知应答偏离表</w:t>
      </w:r>
    </w:p>
    <w:p>
      <w:pPr>
        <w:spacing w:line="360" w:lineRule="auto"/>
        <w:rPr>
          <w:rFonts w:ascii="仿宋" w:hAnsi="仿宋" w:eastAsia="仿宋" w:cs="宋体"/>
          <w:color w:val="auto"/>
          <w:highlight w:val="none"/>
          <w:u w:val="single"/>
        </w:rPr>
      </w:pPr>
      <w:r>
        <w:rPr>
          <w:rFonts w:hint="eastAsia" w:ascii="仿宋" w:hAnsi="仿宋" w:eastAsia="仿宋" w:cs="仿宋"/>
          <w:color w:val="auto"/>
          <w:highlight w:val="none"/>
        </w:rPr>
        <w:t>供应商名称：</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 xml:space="preserve"> </w:t>
      </w:r>
      <w:r>
        <w:rPr>
          <w:rFonts w:ascii="仿宋" w:hAnsi="仿宋" w:eastAsia="仿宋" w:cs="宋体"/>
          <w:color w:val="auto"/>
          <w:highlight w:val="none"/>
        </w:rPr>
        <w:t xml:space="preserve">        </w:t>
      </w:r>
      <w:r>
        <w:rPr>
          <w:rFonts w:hint="eastAsia" w:ascii="仿宋" w:hAnsi="仿宋" w:eastAsia="仿宋" w:cs="宋体"/>
          <w:color w:val="auto"/>
          <w:highlight w:val="none"/>
        </w:rPr>
        <w:t xml:space="preserve"> </w:t>
      </w:r>
    </w:p>
    <w:tbl>
      <w:tblPr>
        <w:tblStyle w:val="29"/>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pPr>
              <w:spacing w:line="360" w:lineRule="auto"/>
              <w:jc w:val="center"/>
              <w:rPr>
                <w:rFonts w:ascii="仿宋" w:hAnsi="仿宋" w:eastAsia="仿宋" w:cs="宋体"/>
                <w:color w:val="auto"/>
                <w:szCs w:val="21"/>
                <w:highlight w:val="none"/>
              </w:rPr>
            </w:pPr>
            <w:r>
              <w:rPr>
                <w:rFonts w:hint="eastAsia" w:ascii="仿宋" w:hAnsi="仿宋" w:eastAsia="仿宋" w:cs="宋体"/>
                <w:color w:val="auto"/>
                <w:szCs w:val="21"/>
                <w:highlight w:val="none"/>
              </w:rPr>
              <w:t>序号</w:t>
            </w:r>
          </w:p>
        </w:tc>
        <w:tc>
          <w:tcPr>
            <w:tcW w:w="2285" w:type="dxa"/>
            <w:vAlign w:val="center"/>
          </w:tcPr>
          <w:p>
            <w:pPr>
              <w:spacing w:line="360" w:lineRule="auto"/>
              <w:jc w:val="center"/>
              <w:rPr>
                <w:rFonts w:ascii="仿宋" w:hAnsi="仿宋" w:eastAsia="仿宋" w:cs="宋体"/>
                <w:color w:val="auto"/>
                <w:szCs w:val="21"/>
                <w:highlight w:val="none"/>
              </w:rPr>
            </w:pPr>
            <w:r>
              <w:rPr>
                <w:rFonts w:hint="eastAsia" w:ascii="仿宋" w:hAnsi="仿宋" w:eastAsia="仿宋" w:cs="宋体"/>
                <w:color w:val="auto"/>
                <w:szCs w:val="21"/>
                <w:highlight w:val="none"/>
              </w:rPr>
              <w:t>条目号</w:t>
            </w:r>
          </w:p>
        </w:tc>
        <w:tc>
          <w:tcPr>
            <w:tcW w:w="2495" w:type="dxa"/>
            <w:vAlign w:val="center"/>
          </w:tcPr>
          <w:p>
            <w:pPr>
              <w:spacing w:line="360" w:lineRule="auto"/>
              <w:jc w:val="center"/>
              <w:rPr>
                <w:rFonts w:ascii="仿宋" w:hAnsi="仿宋" w:eastAsia="仿宋" w:cs="宋体"/>
                <w:color w:val="auto"/>
                <w:szCs w:val="21"/>
                <w:highlight w:val="none"/>
              </w:rPr>
            </w:pPr>
            <w:r>
              <w:rPr>
                <w:rFonts w:hint="eastAsia" w:ascii="仿宋" w:hAnsi="仿宋" w:eastAsia="仿宋" w:cs="宋体"/>
                <w:color w:val="auto"/>
                <w:szCs w:val="21"/>
                <w:highlight w:val="none"/>
              </w:rPr>
              <w:t>原文内容</w:t>
            </w:r>
          </w:p>
        </w:tc>
        <w:tc>
          <w:tcPr>
            <w:tcW w:w="2704" w:type="dxa"/>
            <w:vAlign w:val="center"/>
          </w:tcPr>
          <w:p>
            <w:pPr>
              <w:spacing w:line="360" w:lineRule="auto"/>
              <w:jc w:val="center"/>
              <w:rPr>
                <w:rFonts w:ascii="仿宋" w:hAnsi="仿宋" w:eastAsia="仿宋" w:cs="宋体"/>
                <w:color w:val="auto"/>
                <w:szCs w:val="21"/>
                <w:highlight w:val="none"/>
              </w:rPr>
            </w:pPr>
            <w:r>
              <w:rPr>
                <w:rFonts w:hint="eastAsia" w:ascii="仿宋" w:hAnsi="仿宋" w:eastAsia="仿宋" w:cs="宋体"/>
                <w:color w:val="auto"/>
                <w:szCs w:val="21"/>
                <w:highlight w:val="none"/>
              </w:rPr>
              <w:t>应答</w:t>
            </w:r>
          </w:p>
        </w:tc>
        <w:tc>
          <w:tcPr>
            <w:tcW w:w="1408" w:type="dxa"/>
            <w:vAlign w:val="center"/>
          </w:tcPr>
          <w:p>
            <w:pPr>
              <w:spacing w:line="360" w:lineRule="auto"/>
              <w:jc w:val="center"/>
              <w:rPr>
                <w:rFonts w:ascii="仿宋" w:hAnsi="仿宋" w:eastAsia="仿宋" w:cs="宋体"/>
                <w:color w:val="auto"/>
                <w:szCs w:val="21"/>
                <w:highlight w:val="none"/>
              </w:rPr>
            </w:pPr>
            <w:r>
              <w:rPr>
                <w:rFonts w:hint="eastAsia" w:ascii="仿宋" w:hAnsi="仿宋" w:eastAsia="仿宋" w:cs="宋体"/>
                <w:color w:val="auto"/>
                <w:szCs w:val="21"/>
                <w:highlight w:val="none"/>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color w:val="auto"/>
                <w:szCs w:val="21"/>
                <w:highlight w:val="none"/>
              </w:rPr>
            </w:pPr>
          </w:p>
        </w:tc>
        <w:tc>
          <w:tcPr>
            <w:tcW w:w="2285" w:type="dxa"/>
          </w:tcPr>
          <w:p>
            <w:pPr>
              <w:spacing w:line="360" w:lineRule="auto"/>
              <w:rPr>
                <w:rFonts w:ascii="仿宋" w:hAnsi="仿宋" w:eastAsia="仿宋" w:cs="宋体"/>
                <w:color w:val="auto"/>
                <w:szCs w:val="21"/>
                <w:highlight w:val="none"/>
              </w:rPr>
            </w:pPr>
          </w:p>
        </w:tc>
        <w:tc>
          <w:tcPr>
            <w:tcW w:w="2495" w:type="dxa"/>
          </w:tcPr>
          <w:p>
            <w:pPr>
              <w:spacing w:line="360" w:lineRule="auto"/>
              <w:rPr>
                <w:rFonts w:ascii="仿宋" w:hAnsi="仿宋" w:eastAsia="仿宋" w:cs="宋体"/>
                <w:color w:val="auto"/>
                <w:szCs w:val="21"/>
                <w:highlight w:val="none"/>
              </w:rPr>
            </w:pPr>
          </w:p>
        </w:tc>
        <w:tc>
          <w:tcPr>
            <w:tcW w:w="2704" w:type="dxa"/>
          </w:tcPr>
          <w:p>
            <w:pPr>
              <w:spacing w:line="360" w:lineRule="auto"/>
              <w:rPr>
                <w:rFonts w:ascii="仿宋" w:hAnsi="仿宋" w:eastAsia="仿宋" w:cs="宋体"/>
                <w:color w:val="auto"/>
                <w:szCs w:val="21"/>
                <w:highlight w:val="none"/>
              </w:rPr>
            </w:pPr>
          </w:p>
        </w:tc>
        <w:tc>
          <w:tcPr>
            <w:tcW w:w="1408" w:type="dxa"/>
          </w:tcPr>
          <w:p>
            <w:pPr>
              <w:spacing w:line="360" w:lineRule="auto"/>
              <w:rPr>
                <w:rFonts w:ascii="仿宋" w:hAnsi="仿宋" w:eastAsia="仿宋" w:cs="宋体"/>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宋体"/>
                <w:color w:val="auto"/>
                <w:szCs w:val="21"/>
                <w:highlight w:val="none"/>
              </w:rPr>
            </w:pPr>
          </w:p>
        </w:tc>
        <w:tc>
          <w:tcPr>
            <w:tcW w:w="2285" w:type="dxa"/>
          </w:tcPr>
          <w:p>
            <w:pPr>
              <w:spacing w:line="360" w:lineRule="auto"/>
              <w:rPr>
                <w:rFonts w:ascii="仿宋" w:hAnsi="仿宋" w:eastAsia="仿宋" w:cs="宋体"/>
                <w:color w:val="auto"/>
                <w:szCs w:val="21"/>
                <w:highlight w:val="none"/>
              </w:rPr>
            </w:pPr>
          </w:p>
        </w:tc>
        <w:tc>
          <w:tcPr>
            <w:tcW w:w="2495" w:type="dxa"/>
          </w:tcPr>
          <w:p>
            <w:pPr>
              <w:spacing w:line="360" w:lineRule="auto"/>
              <w:rPr>
                <w:rFonts w:ascii="仿宋" w:hAnsi="仿宋" w:eastAsia="仿宋" w:cs="宋体"/>
                <w:color w:val="auto"/>
                <w:szCs w:val="21"/>
                <w:highlight w:val="none"/>
              </w:rPr>
            </w:pPr>
          </w:p>
        </w:tc>
        <w:tc>
          <w:tcPr>
            <w:tcW w:w="2704" w:type="dxa"/>
          </w:tcPr>
          <w:p>
            <w:pPr>
              <w:spacing w:line="360" w:lineRule="auto"/>
              <w:rPr>
                <w:rFonts w:ascii="仿宋" w:hAnsi="仿宋" w:eastAsia="仿宋" w:cs="宋体"/>
                <w:color w:val="auto"/>
                <w:szCs w:val="21"/>
                <w:highlight w:val="none"/>
              </w:rPr>
            </w:pPr>
          </w:p>
        </w:tc>
        <w:tc>
          <w:tcPr>
            <w:tcW w:w="1408" w:type="dxa"/>
          </w:tcPr>
          <w:p>
            <w:pPr>
              <w:spacing w:line="360" w:lineRule="auto"/>
              <w:rPr>
                <w:rFonts w:ascii="仿宋" w:hAnsi="仿宋" w:eastAsia="仿宋" w:cs="宋体"/>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color w:val="auto"/>
                <w:szCs w:val="21"/>
                <w:highlight w:val="none"/>
              </w:rPr>
            </w:pPr>
          </w:p>
        </w:tc>
        <w:tc>
          <w:tcPr>
            <w:tcW w:w="2285" w:type="dxa"/>
          </w:tcPr>
          <w:p>
            <w:pPr>
              <w:spacing w:line="360" w:lineRule="auto"/>
              <w:rPr>
                <w:rFonts w:ascii="仿宋" w:hAnsi="仿宋" w:eastAsia="仿宋" w:cs="宋体"/>
                <w:color w:val="auto"/>
                <w:szCs w:val="21"/>
                <w:highlight w:val="none"/>
              </w:rPr>
            </w:pPr>
          </w:p>
        </w:tc>
        <w:tc>
          <w:tcPr>
            <w:tcW w:w="2495" w:type="dxa"/>
          </w:tcPr>
          <w:p>
            <w:pPr>
              <w:spacing w:line="360" w:lineRule="auto"/>
              <w:rPr>
                <w:rFonts w:ascii="仿宋" w:hAnsi="仿宋" w:eastAsia="仿宋" w:cs="宋体"/>
                <w:color w:val="auto"/>
                <w:szCs w:val="21"/>
                <w:highlight w:val="none"/>
              </w:rPr>
            </w:pPr>
          </w:p>
        </w:tc>
        <w:tc>
          <w:tcPr>
            <w:tcW w:w="2704" w:type="dxa"/>
          </w:tcPr>
          <w:p>
            <w:pPr>
              <w:spacing w:line="360" w:lineRule="auto"/>
              <w:rPr>
                <w:rFonts w:ascii="仿宋" w:hAnsi="仿宋" w:eastAsia="仿宋" w:cs="宋体"/>
                <w:color w:val="auto"/>
                <w:szCs w:val="21"/>
                <w:highlight w:val="none"/>
              </w:rPr>
            </w:pPr>
          </w:p>
        </w:tc>
        <w:tc>
          <w:tcPr>
            <w:tcW w:w="1408" w:type="dxa"/>
          </w:tcPr>
          <w:p>
            <w:pPr>
              <w:spacing w:line="360" w:lineRule="auto"/>
              <w:rPr>
                <w:rFonts w:ascii="仿宋" w:hAnsi="仿宋" w:eastAsia="仿宋" w:cs="宋体"/>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color w:val="auto"/>
                <w:szCs w:val="21"/>
                <w:highlight w:val="none"/>
              </w:rPr>
            </w:pPr>
          </w:p>
        </w:tc>
        <w:tc>
          <w:tcPr>
            <w:tcW w:w="2285" w:type="dxa"/>
          </w:tcPr>
          <w:p>
            <w:pPr>
              <w:spacing w:line="360" w:lineRule="auto"/>
              <w:rPr>
                <w:rFonts w:ascii="仿宋" w:hAnsi="仿宋" w:eastAsia="仿宋" w:cs="宋体"/>
                <w:color w:val="auto"/>
                <w:szCs w:val="21"/>
                <w:highlight w:val="none"/>
              </w:rPr>
            </w:pPr>
          </w:p>
        </w:tc>
        <w:tc>
          <w:tcPr>
            <w:tcW w:w="2495" w:type="dxa"/>
          </w:tcPr>
          <w:p>
            <w:pPr>
              <w:spacing w:line="360" w:lineRule="auto"/>
              <w:rPr>
                <w:rFonts w:ascii="仿宋" w:hAnsi="仿宋" w:eastAsia="仿宋" w:cs="宋体"/>
                <w:color w:val="auto"/>
                <w:szCs w:val="21"/>
                <w:highlight w:val="none"/>
              </w:rPr>
            </w:pPr>
          </w:p>
        </w:tc>
        <w:tc>
          <w:tcPr>
            <w:tcW w:w="2704" w:type="dxa"/>
          </w:tcPr>
          <w:p>
            <w:pPr>
              <w:spacing w:line="360" w:lineRule="auto"/>
              <w:rPr>
                <w:rFonts w:ascii="仿宋" w:hAnsi="仿宋" w:eastAsia="仿宋" w:cs="宋体"/>
                <w:color w:val="auto"/>
                <w:szCs w:val="21"/>
                <w:highlight w:val="none"/>
              </w:rPr>
            </w:pPr>
          </w:p>
        </w:tc>
        <w:tc>
          <w:tcPr>
            <w:tcW w:w="1408" w:type="dxa"/>
          </w:tcPr>
          <w:p>
            <w:pPr>
              <w:spacing w:line="360" w:lineRule="auto"/>
              <w:rPr>
                <w:rFonts w:ascii="仿宋" w:hAnsi="仿宋" w:eastAsia="仿宋" w:cs="宋体"/>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宋体"/>
                <w:color w:val="auto"/>
                <w:szCs w:val="21"/>
                <w:highlight w:val="none"/>
              </w:rPr>
            </w:pPr>
          </w:p>
        </w:tc>
        <w:tc>
          <w:tcPr>
            <w:tcW w:w="2285" w:type="dxa"/>
          </w:tcPr>
          <w:p>
            <w:pPr>
              <w:spacing w:line="360" w:lineRule="auto"/>
              <w:rPr>
                <w:rFonts w:ascii="仿宋" w:hAnsi="仿宋" w:eastAsia="仿宋" w:cs="宋体"/>
                <w:color w:val="auto"/>
                <w:szCs w:val="21"/>
                <w:highlight w:val="none"/>
              </w:rPr>
            </w:pPr>
          </w:p>
        </w:tc>
        <w:tc>
          <w:tcPr>
            <w:tcW w:w="2495" w:type="dxa"/>
          </w:tcPr>
          <w:p>
            <w:pPr>
              <w:spacing w:line="360" w:lineRule="auto"/>
              <w:rPr>
                <w:rFonts w:ascii="仿宋" w:hAnsi="仿宋" w:eastAsia="仿宋" w:cs="宋体"/>
                <w:color w:val="auto"/>
                <w:szCs w:val="21"/>
                <w:highlight w:val="none"/>
              </w:rPr>
            </w:pPr>
          </w:p>
        </w:tc>
        <w:tc>
          <w:tcPr>
            <w:tcW w:w="2704" w:type="dxa"/>
          </w:tcPr>
          <w:p>
            <w:pPr>
              <w:spacing w:line="360" w:lineRule="auto"/>
              <w:rPr>
                <w:rFonts w:ascii="仿宋" w:hAnsi="仿宋" w:eastAsia="仿宋" w:cs="宋体"/>
                <w:color w:val="auto"/>
                <w:szCs w:val="21"/>
                <w:highlight w:val="none"/>
              </w:rPr>
            </w:pPr>
          </w:p>
        </w:tc>
        <w:tc>
          <w:tcPr>
            <w:tcW w:w="1408" w:type="dxa"/>
          </w:tcPr>
          <w:p>
            <w:pPr>
              <w:spacing w:line="360" w:lineRule="auto"/>
              <w:rPr>
                <w:rFonts w:ascii="仿宋" w:hAnsi="仿宋" w:eastAsia="仿宋" w:cs="宋体"/>
                <w:color w:val="auto"/>
                <w:szCs w:val="21"/>
                <w:highlight w:val="none"/>
              </w:rPr>
            </w:pPr>
          </w:p>
        </w:tc>
      </w:tr>
    </w:tbl>
    <w:p>
      <w:pPr>
        <w:spacing w:line="360" w:lineRule="auto"/>
        <w:ind w:left="480" w:hanging="480" w:hangingChars="200"/>
        <w:rPr>
          <w:rFonts w:ascii="仿宋" w:hAnsi="仿宋" w:eastAsia="仿宋" w:cs="宋体"/>
          <w:b/>
          <w:bCs/>
          <w:color w:val="auto"/>
          <w:highlight w:val="none"/>
        </w:rPr>
      </w:pPr>
      <w:r>
        <w:rPr>
          <w:rFonts w:hint="eastAsia" w:ascii="仿宋" w:hAnsi="仿宋" w:eastAsia="仿宋" w:cs="宋体"/>
          <w:color w:val="auto"/>
          <w:highlight w:val="none"/>
        </w:rPr>
        <w:t>注：所有偏离须在本表中列出，未在本偏离表中列出偏离，将视为供应商已完全接受比选文件要求</w:t>
      </w:r>
      <w:r>
        <w:rPr>
          <w:rFonts w:hint="eastAsia" w:ascii="仿宋" w:hAnsi="仿宋" w:eastAsia="仿宋" w:cs="宋体"/>
          <w:b/>
          <w:bCs/>
          <w:color w:val="auto"/>
          <w:highlight w:val="none"/>
        </w:rPr>
        <w:t>。如全部满足，在偏离表中应答“全部满足”即可。</w:t>
      </w:r>
    </w:p>
    <w:p>
      <w:pPr>
        <w:spacing w:line="360" w:lineRule="auto"/>
        <w:ind w:firstLine="4080" w:firstLineChars="1700"/>
        <w:jc w:val="right"/>
        <w:rPr>
          <w:rFonts w:ascii="仿宋" w:hAnsi="仿宋" w:eastAsia="仿宋" w:cs="宋体"/>
          <w:color w:val="auto"/>
          <w:highlight w:val="none"/>
        </w:rPr>
      </w:pPr>
    </w:p>
    <w:p>
      <w:pPr>
        <w:spacing w:line="360" w:lineRule="auto"/>
        <w:ind w:firstLine="4080" w:firstLineChars="1700"/>
        <w:jc w:val="right"/>
        <w:rPr>
          <w:rFonts w:ascii="仿宋" w:hAnsi="仿宋" w:eastAsia="仿宋" w:cs="宋体"/>
          <w:color w:val="auto"/>
          <w:highlight w:val="none"/>
        </w:rPr>
      </w:pPr>
    </w:p>
    <w:p>
      <w:pPr>
        <w:spacing w:line="360" w:lineRule="auto"/>
        <w:ind w:firstLine="4080" w:firstLineChars="1700"/>
        <w:jc w:val="right"/>
        <w:rPr>
          <w:rFonts w:ascii="仿宋" w:hAnsi="仿宋" w:eastAsia="仿宋" w:cs="宋体"/>
          <w:color w:val="auto"/>
          <w:highlight w:val="none"/>
        </w:rPr>
      </w:pPr>
    </w:p>
    <w:p>
      <w:pPr>
        <w:spacing w:line="360" w:lineRule="auto"/>
        <w:ind w:firstLine="4080" w:firstLineChars="1700"/>
        <w:jc w:val="right"/>
        <w:rPr>
          <w:rFonts w:ascii="仿宋" w:hAnsi="仿宋" w:eastAsia="仿宋" w:cs="宋体"/>
          <w:color w:val="auto"/>
          <w:highlight w:val="none"/>
        </w:rPr>
      </w:pPr>
      <w:r>
        <w:rPr>
          <w:rFonts w:hint="eastAsia" w:ascii="仿宋" w:hAnsi="仿宋" w:eastAsia="仿宋" w:cs="宋体"/>
          <w:color w:val="auto"/>
          <w:highlight w:val="none"/>
        </w:rPr>
        <w:t>供应商名称：</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（盖章）</w:t>
      </w:r>
    </w:p>
    <w:p>
      <w:pPr>
        <w:spacing w:line="360" w:lineRule="auto"/>
        <w:jc w:val="right"/>
        <w:rPr>
          <w:rFonts w:ascii="仿宋" w:hAnsi="仿宋" w:eastAsia="仿宋" w:cs="宋体"/>
          <w:color w:val="auto"/>
          <w:highlight w:val="none"/>
        </w:rPr>
        <w:sectPr>
          <w:pgSz w:w="11906" w:h="16838"/>
          <w:pgMar w:top="1417" w:right="1134" w:bottom="1134" w:left="1134" w:header="851" w:footer="992" w:gutter="0"/>
          <w:pgNumType w:fmt="decimal"/>
          <w:cols w:space="720" w:num="1"/>
          <w:titlePg/>
          <w:docGrid w:type="lines" w:linePitch="312" w:charSpace="0"/>
        </w:sectPr>
      </w:pPr>
      <w:r>
        <w:rPr>
          <w:rFonts w:hint="eastAsia" w:ascii="仿宋" w:hAnsi="仿宋" w:eastAsia="仿宋" w:cs="宋体"/>
          <w:color w:val="auto"/>
          <w:highlight w:val="none"/>
        </w:rPr>
        <w:t>日期：</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年</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月</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日</w:t>
      </w:r>
    </w:p>
    <w:p>
      <w:pPr>
        <w:spacing w:line="360" w:lineRule="auto"/>
        <w:rPr>
          <w:rFonts w:ascii="仿宋" w:hAnsi="仿宋" w:eastAsia="仿宋" w:cs="仿宋"/>
          <w:b/>
          <w:bCs/>
          <w:color w:val="auto"/>
          <w:highlight w:val="none"/>
        </w:rPr>
      </w:pPr>
      <w:r>
        <w:rPr>
          <w:rFonts w:hint="eastAsia" w:ascii="仿宋" w:hAnsi="仿宋" w:eastAsia="仿宋" w:cs="仿宋"/>
          <w:b/>
          <w:bCs/>
          <w:color w:val="auto"/>
          <w:highlight w:val="none"/>
        </w:rPr>
        <w:t>（六）合同条款应答偏</w:t>
      </w:r>
      <w:r>
        <w:rPr>
          <w:rFonts w:ascii="仿宋" w:hAnsi="仿宋" w:eastAsia="仿宋" w:cs="仿宋"/>
          <w:b/>
          <w:bCs/>
          <w:color w:val="auto"/>
          <w:highlight w:val="none"/>
        </w:rPr>
        <w:t>离表</w:t>
      </w:r>
    </w:p>
    <w:p>
      <w:pPr>
        <w:spacing w:line="360" w:lineRule="auto"/>
        <w:jc w:val="center"/>
        <w:rPr>
          <w:rFonts w:ascii="仿宋" w:hAnsi="仿宋" w:eastAsia="仿宋" w:cs="仿宋"/>
          <w:b/>
          <w:bCs/>
          <w:color w:val="auto"/>
          <w:highlight w:val="none"/>
        </w:rPr>
      </w:pPr>
      <w:r>
        <w:rPr>
          <w:rFonts w:hint="eastAsia" w:ascii="仿宋" w:hAnsi="仿宋" w:eastAsia="仿宋" w:cs="仿宋"/>
          <w:b/>
          <w:bCs/>
          <w:color w:val="auto"/>
          <w:highlight w:val="none"/>
        </w:rPr>
        <w:t>合同条款应答偏离表</w:t>
      </w:r>
    </w:p>
    <w:p>
      <w:pPr>
        <w:spacing w:line="360" w:lineRule="auto"/>
        <w:rPr>
          <w:rFonts w:ascii="仿宋" w:hAnsi="仿宋" w:eastAsia="仿宋" w:cs="仿宋"/>
          <w:color w:val="auto"/>
          <w:highlight w:val="none"/>
          <w:u w:val="single"/>
        </w:rPr>
      </w:pPr>
      <w:r>
        <w:rPr>
          <w:rFonts w:hint="eastAsia" w:ascii="仿宋" w:hAnsi="仿宋" w:eastAsia="仿宋" w:cs="仿宋"/>
          <w:color w:val="auto"/>
          <w:highlight w:val="none"/>
        </w:rPr>
        <w:t>供应商名称：</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 xml:space="preserve">   </w:t>
      </w:r>
    </w:p>
    <w:tbl>
      <w:tblPr>
        <w:tblStyle w:val="29"/>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pPr>
              <w:spacing w:line="360" w:lineRule="auto"/>
              <w:jc w:val="center"/>
              <w:rPr>
                <w:rFonts w:ascii="仿宋" w:hAnsi="仿宋" w:eastAsia="仿宋" w:cs="Cambria Math"/>
                <w:color w:val="auto"/>
                <w:szCs w:val="21"/>
                <w:highlight w:val="none"/>
              </w:rPr>
            </w:pPr>
            <w:r>
              <w:rPr>
                <w:rFonts w:hint="eastAsia" w:ascii="仿宋" w:hAnsi="仿宋" w:eastAsia="仿宋" w:cs="Cambria Math"/>
                <w:color w:val="auto"/>
                <w:szCs w:val="21"/>
                <w:highlight w:val="none"/>
              </w:rPr>
              <w:t>序号</w:t>
            </w:r>
          </w:p>
        </w:tc>
        <w:tc>
          <w:tcPr>
            <w:tcW w:w="2285" w:type="dxa"/>
            <w:vAlign w:val="center"/>
          </w:tcPr>
          <w:p>
            <w:pPr>
              <w:spacing w:line="360" w:lineRule="auto"/>
              <w:jc w:val="center"/>
              <w:rPr>
                <w:rFonts w:ascii="仿宋" w:hAnsi="仿宋" w:eastAsia="仿宋" w:cs="Cambria Math"/>
                <w:color w:val="auto"/>
                <w:szCs w:val="21"/>
                <w:highlight w:val="none"/>
              </w:rPr>
            </w:pPr>
            <w:r>
              <w:rPr>
                <w:rFonts w:hint="eastAsia" w:ascii="仿宋" w:hAnsi="仿宋" w:eastAsia="仿宋" w:cs="Cambria Math"/>
                <w:color w:val="auto"/>
                <w:szCs w:val="21"/>
                <w:highlight w:val="none"/>
              </w:rPr>
              <w:t>条目号</w:t>
            </w:r>
          </w:p>
        </w:tc>
        <w:tc>
          <w:tcPr>
            <w:tcW w:w="2495" w:type="dxa"/>
            <w:vAlign w:val="center"/>
          </w:tcPr>
          <w:p>
            <w:pPr>
              <w:spacing w:line="360" w:lineRule="auto"/>
              <w:jc w:val="center"/>
              <w:rPr>
                <w:rFonts w:ascii="仿宋" w:hAnsi="仿宋" w:eastAsia="仿宋" w:cs="Cambria Math"/>
                <w:color w:val="auto"/>
                <w:szCs w:val="21"/>
                <w:highlight w:val="none"/>
              </w:rPr>
            </w:pPr>
            <w:r>
              <w:rPr>
                <w:rFonts w:hint="eastAsia" w:ascii="仿宋" w:hAnsi="仿宋" w:eastAsia="仿宋" w:cs="Cambria Math"/>
                <w:color w:val="auto"/>
                <w:szCs w:val="21"/>
                <w:highlight w:val="none"/>
              </w:rPr>
              <w:t>原文内容</w:t>
            </w:r>
          </w:p>
        </w:tc>
        <w:tc>
          <w:tcPr>
            <w:tcW w:w="2704" w:type="dxa"/>
            <w:vAlign w:val="center"/>
          </w:tcPr>
          <w:p>
            <w:pPr>
              <w:spacing w:line="360" w:lineRule="auto"/>
              <w:jc w:val="center"/>
              <w:rPr>
                <w:rFonts w:ascii="仿宋" w:hAnsi="仿宋" w:eastAsia="仿宋" w:cs="Cambria Math"/>
                <w:color w:val="auto"/>
                <w:szCs w:val="21"/>
                <w:highlight w:val="none"/>
              </w:rPr>
            </w:pPr>
            <w:r>
              <w:rPr>
                <w:rFonts w:hint="eastAsia" w:ascii="仿宋" w:hAnsi="仿宋" w:eastAsia="仿宋" w:cs="Cambria Math"/>
                <w:color w:val="auto"/>
                <w:szCs w:val="21"/>
                <w:highlight w:val="none"/>
              </w:rPr>
              <w:t>应答</w:t>
            </w:r>
          </w:p>
        </w:tc>
        <w:tc>
          <w:tcPr>
            <w:tcW w:w="1408" w:type="dxa"/>
            <w:vAlign w:val="center"/>
          </w:tcPr>
          <w:p>
            <w:pPr>
              <w:spacing w:line="360" w:lineRule="auto"/>
              <w:jc w:val="center"/>
              <w:rPr>
                <w:rFonts w:ascii="仿宋" w:hAnsi="仿宋" w:eastAsia="仿宋" w:cs="Cambria Math"/>
                <w:color w:val="auto"/>
                <w:szCs w:val="21"/>
                <w:highlight w:val="none"/>
              </w:rPr>
            </w:pPr>
            <w:r>
              <w:rPr>
                <w:rFonts w:hint="eastAsia" w:ascii="仿宋" w:hAnsi="仿宋" w:eastAsia="仿宋" w:cs="Cambria Math"/>
                <w:color w:val="auto"/>
                <w:szCs w:val="21"/>
                <w:highlight w:val="none"/>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color w:val="auto"/>
                <w:szCs w:val="21"/>
                <w:highlight w:val="none"/>
              </w:rPr>
            </w:pPr>
          </w:p>
        </w:tc>
        <w:tc>
          <w:tcPr>
            <w:tcW w:w="2285" w:type="dxa"/>
          </w:tcPr>
          <w:p>
            <w:pPr>
              <w:spacing w:line="360" w:lineRule="auto"/>
              <w:rPr>
                <w:rFonts w:ascii="仿宋" w:hAnsi="仿宋" w:eastAsia="仿宋" w:cs="Cambria Math"/>
                <w:color w:val="auto"/>
                <w:szCs w:val="21"/>
                <w:highlight w:val="none"/>
              </w:rPr>
            </w:pPr>
          </w:p>
        </w:tc>
        <w:tc>
          <w:tcPr>
            <w:tcW w:w="2495" w:type="dxa"/>
          </w:tcPr>
          <w:p>
            <w:pPr>
              <w:spacing w:line="360" w:lineRule="auto"/>
              <w:rPr>
                <w:rFonts w:ascii="仿宋" w:hAnsi="仿宋" w:eastAsia="仿宋" w:cs="Cambria Math"/>
                <w:color w:val="auto"/>
                <w:szCs w:val="21"/>
                <w:highlight w:val="none"/>
              </w:rPr>
            </w:pPr>
          </w:p>
        </w:tc>
        <w:tc>
          <w:tcPr>
            <w:tcW w:w="2704" w:type="dxa"/>
          </w:tcPr>
          <w:p>
            <w:pPr>
              <w:spacing w:line="360" w:lineRule="auto"/>
              <w:rPr>
                <w:rFonts w:ascii="仿宋" w:hAnsi="仿宋" w:eastAsia="仿宋" w:cs="Cambria Math"/>
                <w:color w:val="auto"/>
                <w:szCs w:val="21"/>
                <w:highlight w:val="none"/>
              </w:rPr>
            </w:pPr>
          </w:p>
        </w:tc>
        <w:tc>
          <w:tcPr>
            <w:tcW w:w="1408" w:type="dxa"/>
          </w:tcPr>
          <w:p>
            <w:pPr>
              <w:spacing w:line="360" w:lineRule="auto"/>
              <w:rPr>
                <w:rFonts w:ascii="仿宋" w:hAnsi="仿宋" w:eastAsia="仿宋" w:cs="Cambria Math"/>
                <w:color w:val="auto"/>
                <w:szCs w:val="21"/>
                <w:highlight w:val="none"/>
              </w:rPr>
            </w:pPr>
          </w:p>
        </w:tc>
      </w:tr>
    </w:tbl>
    <w:p>
      <w:pPr>
        <w:spacing w:before="240" w:line="360" w:lineRule="auto"/>
        <w:ind w:left="480" w:hanging="480" w:hangingChars="200"/>
        <w:rPr>
          <w:rFonts w:ascii="仿宋" w:hAnsi="仿宋" w:eastAsia="仿宋" w:cs="Cambria Math"/>
          <w:color w:val="auto"/>
          <w:highlight w:val="none"/>
        </w:rPr>
      </w:pPr>
      <w:r>
        <w:rPr>
          <w:rFonts w:hint="eastAsia" w:ascii="仿宋" w:hAnsi="仿宋" w:eastAsia="仿宋" w:cs="Cambria Math"/>
          <w:color w:val="auto"/>
          <w:highlight w:val="none"/>
        </w:rPr>
        <w:t>注：所有偏离必须在本表中列出，未在本偏离表中列出偏离，将视为供应商已完全接受比选文件要求；</w:t>
      </w:r>
      <w:r>
        <w:rPr>
          <w:rFonts w:hint="eastAsia" w:ascii="仿宋" w:hAnsi="仿宋" w:eastAsia="仿宋" w:cs="Cambria Math"/>
          <w:b/>
          <w:bCs/>
          <w:color w:val="auto"/>
          <w:highlight w:val="none"/>
        </w:rPr>
        <w:t>如全部满足，在偏离表中应答“全部满足”即可</w:t>
      </w:r>
      <w:r>
        <w:rPr>
          <w:rFonts w:hint="eastAsia" w:ascii="仿宋" w:hAnsi="仿宋" w:eastAsia="仿宋" w:cs="Cambria Math"/>
          <w:color w:val="auto"/>
          <w:highlight w:val="none"/>
        </w:rPr>
        <w:t>。</w:t>
      </w:r>
    </w:p>
    <w:p>
      <w:pPr>
        <w:spacing w:line="600" w:lineRule="exact"/>
        <w:rPr>
          <w:rFonts w:ascii="仿宋" w:hAnsi="仿宋" w:eastAsia="仿宋" w:cs="仿宋"/>
          <w:color w:val="auto"/>
          <w:szCs w:val="21"/>
          <w:highlight w:val="none"/>
        </w:rPr>
      </w:pPr>
    </w:p>
    <w:p>
      <w:pPr>
        <w:spacing w:line="360" w:lineRule="auto"/>
        <w:ind w:firstLine="420"/>
        <w:jc w:val="right"/>
        <w:rPr>
          <w:rFonts w:ascii="仿宋" w:hAnsi="仿宋" w:eastAsia="仿宋" w:cs="仿宋"/>
          <w:color w:val="auto"/>
          <w:highlight w:val="none"/>
        </w:rPr>
      </w:pPr>
    </w:p>
    <w:p>
      <w:pPr>
        <w:spacing w:line="440" w:lineRule="exact"/>
        <w:ind w:firstLine="4080" w:firstLineChars="1700"/>
        <w:jc w:val="right"/>
        <w:rPr>
          <w:rFonts w:ascii="仿宋" w:hAnsi="仿宋" w:eastAsia="仿宋" w:cs="仿宋"/>
          <w:color w:val="auto"/>
          <w:highlight w:val="none"/>
        </w:rPr>
      </w:pPr>
      <w:r>
        <w:rPr>
          <w:rFonts w:hint="eastAsia" w:ascii="仿宋" w:hAnsi="仿宋" w:eastAsia="仿宋" w:cs="仿宋"/>
          <w:color w:val="auto"/>
          <w:highlight w:val="none"/>
        </w:rPr>
        <w:t>供应商名称：</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（盖章）</w:t>
      </w:r>
    </w:p>
    <w:p>
      <w:pPr>
        <w:spacing w:line="440" w:lineRule="exact"/>
        <w:jc w:val="right"/>
        <w:rPr>
          <w:rFonts w:ascii="仿宋" w:hAnsi="仿宋" w:eastAsia="仿宋" w:cs="仿宋"/>
          <w:color w:val="auto"/>
          <w:highlight w:val="none"/>
        </w:rPr>
      </w:pPr>
      <w:r>
        <w:rPr>
          <w:rFonts w:hint="eastAsia" w:ascii="仿宋" w:hAnsi="仿宋" w:eastAsia="仿宋" w:cs="仿宋"/>
          <w:color w:val="auto"/>
          <w:highlight w:val="none"/>
        </w:rPr>
        <w:t>日期：</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年</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月</w:t>
      </w:r>
      <w:r>
        <w:rPr>
          <w:rFonts w:hint="eastAsia" w:ascii="仿宋" w:hAnsi="仿宋" w:eastAsia="仿宋" w:cs="仿宋"/>
          <w:color w:val="auto"/>
          <w:highlight w:val="none"/>
          <w:u w:val="single"/>
        </w:rPr>
        <w:t xml:space="preserve">   </w:t>
      </w:r>
      <w:r>
        <w:rPr>
          <w:rFonts w:hint="eastAsia" w:ascii="仿宋" w:hAnsi="仿宋" w:eastAsia="仿宋" w:cs="仿宋"/>
          <w:color w:val="auto"/>
          <w:highlight w:val="none"/>
        </w:rPr>
        <w:t>日</w:t>
      </w:r>
    </w:p>
    <w:p>
      <w:pPr>
        <w:spacing w:line="360" w:lineRule="auto"/>
        <w:rPr>
          <w:rFonts w:ascii="仿宋" w:hAnsi="仿宋" w:eastAsia="仿宋" w:cs="仿宋"/>
          <w:color w:val="auto"/>
          <w:highlight w:val="none"/>
          <w:u w:val="single"/>
        </w:rPr>
      </w:pPr>
    </w:p>
    <w:p>
      <w:pPr>
        <w:pStyle w:val="5"/>
        <w:spacing w:before="0" w:after="0" w:line="360" w:lineRule="auto"/>
        <w:rPr>
          <w:rFonts w:ascii="仿宋" w:hAnsi="仿宋" w:eastAsia="仿宋" w:cs="宋体"/>
          <w:color w:val="auto"/>
          <w:sz w:val="24"/>
          <w:highlight w:val="none"/>
        </w:rPr>
        <w:sectPr>
          <w:pgSz w:w="11906" w:h="16838"/>
          <w:pgMar w:top="1417" w:right="1134" w:bottom="1134" w:left="1134" w:header="851" w:footer="992" w:gutter="0"/>
          <w:pgNumType w:fmt="decimal"/>
          <w:cols w:space="720" w:num="1"/>
          <w:titlePg/>
          <w:docGrid w:type="lines" w:linePitch="312" w:charSpace="0"/>
        </w:sectPr>
      </w:pPr>
      <w:r>
        <w:rPr>
          <w:rFonts w:ascii="仿宋" w:hAnsi="仿宋" w:eastAsia="仿宋" w:cs="仿宋"/>
          <w:color w:val="auto"/>
          <w:sz w:val="24"/>
          <w:szCs w:val="24"/>
          <w:highlight w:val="none"/>
        </w:rPr>
        <w:br w:type="page"/>
      </w:r>
    </w:p>
    <w:p>
      <w:pPr>
        <w:pStyle w:val="5"/>
        <w:spacing w:before="0" w:after="0" w:line="360" w:lineRule="auto"/>
        <w:rPr>
          <w:rFonts w:ascii="仿宋" w:hAnsi="仿宋" w:eastAsia="仿宋" w:cs="仿宋"/>
          <w:color w:val="auto"/>
          <w:sz w:val="24"/>
          <w:szCs w:val="24"/>
          <w:highlight w:val="none"/>
        </w:rPr>
      </w:pPr>
      <w:bookmarkStart w:id="197" w:name="_Toc17890"/>
      <w:bookmarkStart w:id="198" w:name="_Toc4864"/>
      <w:r>
        <w:rPr>
          <w:rFonts w:hint="eastAsia" w:ascii="仿宋" w:hAnsi="仿宋" w:eastAsia="仿宋" w:cs="仿宋"/>
          <w:color w:val="auto"/>
          <w:sz w:val="24"/>
          <w:szCs w:val="24"/>
          <w:highlight w:val="none"/>
        </w:rPr>
        <w:t>（七）供应商行为准则承诺书</w:t>
      </w:r>
      <w:bookmarkEnd w:id="197"/>
      <w:bookmarkEnd w:id="198"/>
    </w:p>
    <w:p>
      <w:pPr>
        <w:jc w:val="center"/>
        <w:rPr>
          <w:rFonts w:ascii="仿宋" w:hAnsi="仿宋" w:eastAsia="仿宋" w:cs="宋体"/>
          <w:b/>
          <w:bCs/>
          <w:color w:val="auto"/>
          <w:sz w:val="28"/>
          <w:szCs w:val="28"/>
          <w:highlight w:val="none"/>
        </w:rPr>
      </w:pPr>
      <w:bookmarkStart w:id="199" w:name="_Toc15599"/>
      <w:r>
        <w:rPr>
          <w:rFonts w:hint="eastAsia" w:ascii="仿宋" w:hAnsi="仿宋" w:eastAsia="仿宋" w:cs="宋体"/>
          <w:b/>
          <w:bCs/>
          <w:color w:val="auto"/>
          <w:sz w:val="28"/>
          <w:szCs w:val="28"/>
          <w:highlight w:val="none"/>
        </w:rPr>
        <w:t>供应商行为准则承诺书</w:t>
      </w:r>
    </w:p>
    <w:p>
      <w:pPr>
        <w:spacing w:line="360" w:lineRule="auto"/>
        <w:ind w:firstLine="480" w:firstLineChars="200"/>
        <w:rPr>
          <w:rFonts w:ascii="仿宋" w:hAnsi="仿宋" w:eastAsia="仿宋" w:cs="仿宋"/>
          <w:color w:val="auto"/>
          <w:highlight w:val="none"/>
        </w:rPr>
      </w:pP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70" w:firstLineChars="196"/>
        <w:rPr>
          <w:rFonts w:ascii="仿宋" w:hAnsi="仿宋" w:eastAsia="仿宋" w:cs="仿宋"/>
          <w:color w:val="auto"/>
          <w:highlight w:val="none"/>
        </w:rPr>
      </w:pPr>
      <w:r>
        <w:rPr>
          <w:rFonts w:hint="eastAsia" w:ascii="仿宋" w:hAnsi="仿宋" w:eastAsia="仿宋" w:cs="仿宋"/>
          <w:color w:val="auto"/>
          <w:highlight w:val="none"/>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70" w:firstLineChars="196"/>
        <w:rPr>
          <w:rFonts w:ascii="仿宋" w:hAnsi="仿宋" w:eastAsia="仿宋" w:cs="仿宋"/>
          <w:color w:val="auto"/>
          <w:highlight w:val="none"/>
        </w:rPr>
      </w:pPr>
      <w:r>
        <w:rPr>
          <w:rFonts w:hint="eastAsia" w:ascii="仿宋" w:hAnsi="仿宋" w:eastAsia="仿宋" w:cs="仿宋"/>
          <w:color w:val="auto"/>
          <w:highlight w:val="none"/>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70" w:firstLineChars="196"/>
        <w:rPr>
          <w:rFonts w:ascii="仿宋" w:hAnsi="仿宋" w:eastAsia="仿宋" w:cs="仿宋"/>
          <w:color w:val="auto"/>
          <w:highlight w:val="none"/>
        </w:rPr>
      </w:pPr>
      <w:r>
        <w:rPr>
          <w:rFonts w:hint="eastAsia" w:ascii="仿宋" w:hAnsi="仿宋" w:eastAsia="仿宋" w:cs="仿宋"/>
          <w:color w:val="auto"/>
          <w:highlight w:val="none"/>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70" w:firstLineChars="196"/>
        <w:rPr>
          <w:rFonts w:ascii="仿宋" w:hAnsi="仿宋" w:eastAsia="仿宋" w:cs="仿宋"/>
          <w:color w:val="auto"/>
          <w:highlight w:val="none"/>
        </w:rPr>
      </w:pPr>
      <w:r>
        <w:rPr>
          <w:rFonts w:hint="eastAsia" w:ascii="仿宋" w:hAnsi="仿宋" w:eastAsia="仿宋" w:cs="仿宋"/>
          <w:color w:val="auto"/>
          <w:highlight w:val="none"/>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70" w:firstLineChars="196"/>
        <w:rPr>
          <w:rFonts w:ascii="仿宋" w:hAnsi="仿宋" w:eastAsia="仿宋" w:cs="仿宋"/>
          <w:color w:val="auto"/>
          <w:highlight w:val="none"/>
        </w:rPr>
      </w:pPr>
      <w:r>
        <w:rPr>
          <w:rFonts w:hint="eastAsia" w:ascii="仿宋" w:hAnsi="仿宋" w:eastAsia="仿宋" w:cs="仿宋"/>
          <w:color w:val="auto"/>
          <w:highlight w:val="none"/>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70" w:firstLineChars="196"/>
        <w:rPr>
          <w:rFonts w:ascii="仿宋" w:hAnsi="仿宋" w:eastAsia="仿宋" w:cs="仿宋"/>
          <w:color w:val="auto"/>
          <w:highlight w:val="none"/>
        </w:rPr>
      </w:pPr>
      <w:r>
        <w:rPr>
          <w:rFonts w:hint="eastAsia" w:ascii="仿宋" w:hAnsi="仿宋" w:eastAsia="仿宋" w:cs="仿宋"/>
          <w:color w:val="auto"/>
          <w:highlight w:val="none"/>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八、供应商承诺遵守中国人民保险有关采购管理和供应商管理的相关规定、履行相应义务。</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九、供应商参与中国人民保险采购过程中，将认真阅读并理解邀请文件的内容，并保证严格保密文件内容，不泄露中国人民保险任何信息。</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十三、采购过程中涉及函件往来的，使用供应商以下地址及联系方式：</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公司名称（全称、盖章）：________________</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法定代表人（负责人）姓名、职务：__________________</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邮编：__________地址：__________________</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t>电话：__________传真：__________________</w:t>
      </w:r>
    </w:p>
    <w:p>
      <w:pPr>
        <w:pStyle w:val="77"/>
        <w:spacing w:line="360" w:lineRule="auto"/>
        <w:ind w:firstLine="480"/>
        <w:rPr>
          <w:rFonts w:ascii="仿宋" w:hAnsi="仿宋" w:eastAsia="仿宋" w:cs="仿宋"/>
          <w:bCs/>
          <w:color w:val="auto"/>
          <w:sz w:val="24"/>
          <w:highlight w:val="none"/>
        </w:rPr>
      </w:pPr>
      <w:r>
        <w:rPr>
          <w:rFonts w:hint="eastAsia" w:ascii="仿宋" w:hAnsi="仿宋" w:eastAsia="仿宋" w:cs="仿宋"/>
          <w:bCs/>
          <w:color w:val="auto"/>
          <w:sz w:val="24"/>
          <w:highlight w:val="none"/>
        </w:rPr>
        <w:t>法定代表人（负责人）或授权代表签字：______________</w:t>
      </w:r>
    </w:p>
    <w:p>
      <w:pPr>
        <w:pStyle w:val="5"/>
        <w:spacing w:before="0" w:after="0" w:line="360" w:lineRule="auto"/>
        <w:rPr>
          <w:rFonts w:ascii="仿宋" w:hAnsi="仿宋" w:cs="宋体"/>
          <w:color w:val="auto"/>
          <w:szCs w:val="24"/>
          <w:highlight w:val="none"/>
        </w:rPr>
      </w:pPr>
      <w:r>
        <w:rPr>
          <w:rFonts w:hint="eastAsia" w:ascii="仿宋" w:hAnsi="仿宋" w:eastAsia="仿宋" w:cs="仿宋"/>
          <w:color w:val="auto"/>
          <w:highlight w:val="none"/>
        </w:rPr>
        <w:br w:type="page"/>
      </w:r>
      <w:bookmarkStart w:id="200" w:name="_Toc8068"/>
      <w:bookmarkStart w:id="201" w:name="_Toc12311"/>
      <w:r>
        <w:rPr>
          <w:rFonts w:hint="eastAsia" w:ascii="仿宋" w:hAnsi="仿宋" w:eastAsia="仿宋" w:cs="宋体"/>
          <w:bCs w:val="0"/>
          <w:color w:val="auto"/>
          <w:sz w:val="24"/>
          <w:szCs w:val="24"/>
          <w:highlight w:val="none"/>
        </w:rPr>
        <w:t>（八）供应商廉洁诚信承诺书</w:t>
      </w:r>
      <w:bookmarkEnd w:id="199"/>
      <w:bookmarkEnd w:id="200"/>
      <w:bookmarkEnd w:id="201"/>
    </w:p>
    <w:p>
      <w:pPr>
        <w:spacing w:line="600" w:lineRule="exact"/>
        <w:jc w:val="center"/>
        <w:rPr>
          <w:rFonts w:ascii="仿宋" w:hAnsi="仿宋" w:eastAsia="仿宋" w:cs="宋体"/>
          <w:b/>
          <w:bCs/>
          <w:color w:val="auto"/>
          <w:sz w:val="28"/>
          <w:szCs w:val="28"/>
          <w:highlight w:val="none"/>
        </w:rPr>
      </w:pPr>
      <w:r>
        <w:rPr>
          <w:rFonts w:hint="eastAsia" w:ascii="仿宋" w:hAnsi="仿宋" w:eastAsia="仿宋" w:cs="宋体"/>
          <w:b/>
          <w:bCs/>
          <w:color w:val="auto"/>
          <w:sz w:val="28"/>
          <w:szCs w:val="28"/>
          <w:highlight w:val="none"/>
        </w:rPr>
        <w:t>供应商廉洁诚信承诺书</w:t>
      </w:r>
    </w:p>
    <w:p>
      <w:pPr>
        <w:spacing w:line="360" w:lineRule="auto"/>
        <w:ind w:firstLine="480" w:firstLineChars="200"/>
        <w:rPr>
          <w:rFonts w:ascii="仿宋" w:hAnsi="仿宋" w:eastAsia="仿宋" w:cs="宋体"/>
          <w:color w:val="auto"/>
          <w:highlight w:val="none"/>
        </w:rPr>
      </w:pP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为维护公平竞争的市场秩序和公正透明的商业环境，保证与</w:t>
      </w:r>
      <w:r>
        <w:rPr>
          <w:rFonts w:hint="eastAsia" w:ascii="仿宋" w:hAnsi="仿宋" w:eastAsia="仿宋" w:cs="仿宋"/>
          <w:color w:val="auto"/>
          <w:highlight w:val="none"/>
        </w:rPr>
        <w:t>中国人民保险集团公司、各子公司以及各级分支机构（以下简称“中国人民保险”）</w:t>
      </w:r>
      <w:r>
        <w:rPr>
          <w:rFonts w:hint="eastAsia" w:ascii="仿宋" w:hAnsi="仿宋" w:eastAsia="仿宋" w:cs="宋体"/>
          <w:color w:val="auto"/>
          <w:highlight w:val="none"/>
        </w:rPr>
        <w:t>合作项目的顺利进行，我方作为参与</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的合作过程中郑重承诺如下：</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一、遵守法律法规承诺。我们将严格遵守《中华人民共和国反不正当竞争法》《关于禁止商业贿赂行为的暂行规定》等国家法律法规和</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采购管理、供应商管理相关制度要求，坚决不从事任何违法违规违纪行为。</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二、避免利害关系承诺。我们将在采购过程中主动申报与</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及相关主体的关联及利害关系，包括我们的相关主体与</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三、廉洁自律承诺。我们坚决不以任何形式为获取或意图获取交易机会、竞争优势或谋取不正当利益而向</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或相关主体实施商业贿赂或营私舞弊行为，包括但不限于：</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（1）以任何方式实施商业贿赂或违规提供金钱、实物、回扣、折扣、宴请与游玩活动或其他不正当利益；</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（2）为其安排有可能影响公平、公正交易的宴请、健身、娱乐等活动；</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（3）为其投资入股、个人借款或买卖股票、债券等提供方便；</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（4）为其购买或装修住房、婚丧嫁娶、配偶子女上学或工作安排以及出国出境、旅游等提供方便；</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（5）违反规定为其在我方相关企业工作、挂名兼职、合伙经营、介绍承揽业务等提供方便；</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（6）向其提供借款、融资、担保等；</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（7）给予或承诺给予其不正当利益的其他行为；</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（8）其他违反国家法律法规或商业道德准则的影响公正交易的行为。</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我们也不会以任何方式向</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或相关主体索要金钱、实物等不正当利益，或收受中国人保或相关主体给予的金钱、实物等不正当利益。</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四、诚实信用承诺。我们坚决不进行任何违背诚实信用原则的行为，包括但不限于：</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出借、转让资质证书；</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伙同他人串标、围标或非法排挤竞争对手；</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在采购活动中提供虚假资料，以他人名义参与或者以其他方式弄虚作假，夸大自身技术和提供服务的能力，损害贵方合法权益；</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（4）隐瞒任何可能对贵方利益造成影响的信息，不配合贵方的审计。</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六、加强内部管理承诺。为了实现以上承诺要求，我们将积极配合采取以下措施，不断加强自身内部管理：</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（1）廉洁教育培训：加强对员工的廉洁教育和培训，提高员工的道德素质和法律意识，建立健全内部管理制度，确保员工行为的合规性和廉洁性；</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（2）设立监督机制：通过专门的监督机构或人员，对我方的业务活动进行实时监督，确保员工行为的合规性；</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（3）建立举报制度：鼓励员工积极举报违规行为，对举报人予以保护并给予奖励。</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七、配合监督承诺。我们将积极配合</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八、如违反上述承诺，我方自愿承担以下法律责任：</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（1）如我方及我方工作人员违反本承诺书承诺，</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有权依据其采购管理、供应商管理和采购文件相关要求，对我方进行严肃处理，相关处罚结果记入供应商诚信档案；</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（2）如我方及我方工作人员违反本承诺书承诺，</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及其子公司等所有关联主体有权限制或取消我方在</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参与采购项目的资格；</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（3）如我方及我方工作人员违反本承诺书承诺，</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及其子公司等所有关联主体有权选择单方全面终止与我方的合同及合作而无需承担任何责任；</w:t>
      </w: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（4）如我方及我方工作人员违反本承诺书承诺，除承担前述（1）（2）（3）项责任外，</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及其子公司等所有关联主体有权扣除我方缴纳的投标保证金，投标保证金不足以弥补损失的，还有权要求我方承担相应的赔偿责任。</w:t>
      </w:r>
    </w:p>
    <w:p>
      <w:pPr>
        <w:spacing w:line="360" w:lineRule="auto"/>
        <w:ind w:firstLine="480" w:firstLineChars="200"/>
        <w:rPr>
          <w:rFonts w:ascii="仿宋" w:hAnsi="仿宋" w:eastAsia="仿宋" w:cs="宋体"/>
          <w:color w:val="auto"/>
          <w:highlight w:val="none"/>
        </w:rPr>
      </w:pPr>
    </w:p>
    <w:p>
      <w:pPr>
        <w:spacing w:line="360" w:lineRule="auto"/>
        <w:ind w:firstLine="480" w:firstLineChars="200"/>
        <w:rPr>
          <w:rFonts w:ascii="仿宋" w:hAnsi="仿宋" w:eastAsia="仿宋" w:cs="宋体"/>
          <w:color w:val="auto"/>
          <w:highlight w:val="none"/>
        </w:rPr>
      </w:pPr>
      <w:r>
        <w:rPr>
          <w:rFonts w:hint="eastAsia" w:ascii="仿宋" w:hAnsi="仿宋" w:eastAsia="仿宋" w:cs="宋体"/>
          <w:color w:val="auto"/>
          <w:highlight w:val="none"/>
        </w:rPr>
        <w:t>本承诺书自承诺方签字和盖章之日起生效。如我方成功中选</w:t>
      </w:r>
      <w:r>
        <w:rPr>
          <w:rFonts w:hint="eastAsia" w:ascii="仿宋" w:hAnsi="仿宋" w:eastAsia="仿宋" w:cs="仿宋"/>
          <w:color w:val="auto"/>
          <w:highlight w:val="none"/>
        </w:rPr>
        <w:t>中国人民保险</w:t>
      </w:r>
      <w:r>
        <w:rPr>
          <w:rFonts w:hint="eastAsia" w:ascii="仿宋" w:hAnsi="仿宋" w:eastAsia="仿宋" w:cs="宋体"/>
          <w:color w:val="auto"/>
          <w:highlight w:val="none"/>
        </w:rPr>
        <w:t>采购项目，将按中国人民保险管理要求签署廉洁诚信协议作为采购合同附件，并严格遵守协议相关条款。</w:t>
      </w:r>
    </w:p>
    <w:p>
      <w:pPr>
        <w:spacing w:line="360" w:lineRule="auto"/>
        <w:ind w:firstLine="480" w:firstLineChars="200"/>
        <w:rPr>
          <w:rFonts w:ascii="仿宋" w:hAnsi="仿宋" w:eastAsia="仿宋" w:cs="宋体"/>
          <w:color w:val="auto"/>
          <w:highlight w:val="none"/>
        </w:rPr>
      </w:pPr>
    </w:p>
    <w:p>
      <w:pPr>
        <w:tabs>
          <w:tab w:val="left" w:pos="458"/>
        </w:tabs>
        <w:spacing w:line="360" w:lineRule="auto"/>
        <w:ind w:firstLine="3578" w:firstLineChars="1491"/>
        <w:rPr>
          <w:rFonts w:ascii="仿宋" w:hAnsi="仿宋" w:eastAsia="仿宋" w:cs="仿宋"/>
          <w:color w:val="auto"/>
          <w:highlight w:val="none"/>
        </w:rPr>
      </w:pPr>
      <w:r>
        <w:rPr>
          <w:rFonts w:hint="eastAsia" w:ascii="仿宋" w:hAnsi="仿宋" w:eastAsia="仿宋" w:cs="仿宋"/>
          <w:color w:val="auto"/>
          <w:highlight w:val="none"/>
        </w:rPr>
        <w:t>公司名称（全称、盖章）：________________</w:t>
      </w:r>
    </w:p>
    <w:p>
      <w:pPr>
        <w:spacing w:line="360" w:lineRule="auto"/>
        <w:ind w:firstLine="3578" w:firstLineChars="1491"/>
        <w:rPr>
          <w:rFonts w:ascii="仿宋" w:hAnsi="仿宋" w:eastAsia="仿宋" w:cs="仿宋"/>
          <w:color w:val="auto"/>
          <w:highlight w:val="none"/>
        </w:rPr>
      </w:pPr>
      <w:r>
        <w:rPr>
          <w:rFonts w:hint="eastAsia" w:ascii="仿宋" w:hAnsi="仿宋" w:eastAsia="仿宋" w:cs="仿宋"/>
          <w:color w:val="auto"/>
          <w:highlight w:val="none"/>
        </w:rPr>
        <w:t>法定代表人姓名、职务：__________________</w:t>
      </w:r>
    </w:p>
    <w:p>
      <w:pPr>
        <w:spacing w:line="360" w:lineRule="auto"/>
        <w:ind w:firstLine="3578" w:firstLineChars="1491"/>
        <w:rPr>
          <w:rFonts w:ascii="仿宋" w:hAnsi="仿宋" w:eastAsia="仿宋" w:cs="仿宋"/>
          <w:color w:val="auto"/>
          <w:highlight w:val="none"/>
        </w:rPr>
      </w:pPr>
      <w:r>
        <w:rPr>
          <w:rFonts w:hint="eastAsia" w:ascii="仿宋" w:hAnsi="仿宋" w:eastAsia="仿宋" w:cs="仿宋"/>
          <w:color w:val="auto"/>
          <w:highlight w:val="none"/>
        </w:rPr>
        <w:t>法定代表人或授权代表签字：______________</w:t>
      </w:r>
    </w:p>
    <w:p>
      <w:pPr>
        <w:spacing w:line="360" w:lineRule="auto"/>
        <w:ind w:firstLine="3578" w:firstLineChars="1491"/>
        <w:rPr>
          <w:rStyle w:val="58"/>
          <w:rFonts w:ascii="仿宋" w:hAnsi="仿宋" w:eastAsia="仿宋" w:cs="仿宋"/>
          <w:color w:val="auto"/>
          <w:highlight w:val="none"/>
        </w:rPr>
      </w:pPr>
      <w:r>
        <w:rPr>
          <w:rFonts w:hint="eastAsia" w:ascii="仿宋" w:hAnsi="仿宋" w:eastAsia="仿宋" w:cs="仿宋"/>
          <w:color w:val="auto"/>
          <w:highlight w:val="none"/>
        </w:rPr>
        <w:t>日期：__________________________________</w:t>
      </w:r>
      <w:r>
        <w:rPr>
          <w:rFonts w:hint="eastAsia" w:ascii="仿宋" w:hAnsi="仿宋" w:eastAsia="仿宋" w:cs="仿宋"/>
          <w:color w:val="auto"/>
          <w:highlight w:val="none"/>
        </w:rPr>
        <w:br w:type="page"/>
      </w:r>
    </w:p>
    <w:p>
      <w:pPr>
        <w:pStyle w:val="5"/>
        <w:spacing w:before="0" w:after="0" w:line="360" w:lineRule="auto"/>
        <w:rPr>
          <w:rFonts w:ascii="仿宋" w:hAnsi="仿宋" w:eastAsia="仿宋" w:cs="宋体"/>
          <w:bCs w:val="0"/>
          <w:color w:val="auto"/>
          <w:sz w:val="21"/>
          <w:szCs w:val="24"/>
          <w:highlight w:val="none"/>
        </w:rPr>
      </w:pPr>
      <w:bookmarkStart w:id="202" w:name="_Toc23102"/>
      <w:r>
        <w:rPr>
          <w:rFonts w:hint="eastAsia" w:ascii="仿宋" w:hAnsi="仿宋" w:eastAsia="仿宋" w:cs="宋体"/>
          <w:color w:val="auto"/>
          <w:sz w:val="24"/>
          <w:highlight w:val="none"/>
        </w:rPr>
        <w:t>（</w:t>
      </w:r>
      <w:r>
        <w:rPr>
          <w:rFonts w:hint="eastAsia" w:ascii="仿宋" w:hAnsi="仿宋" w:eastAsia="仿宋" w:cs="宋体"/>
          <w:color w:val="auto"/>
          <w:sz w:val="24"/>
          <w:highlight w:val="none"/>
          <w:lang w:eastAsia="zh-CN"/>
        </w:rPr>
        <w:t>九</w:t>
      </w:r>
      <w:r>
        <w:rPr>
          <w:rFonts w:hint="eastAsia" w:ascii="仿宋" w:hAnsi="仿宋" w:eastAsia="仿宋" w:cs="宋体"/>
          <w:color w:val="auto"/>
          <w:sz w:val="24"/>
          <w:highlight w:val="none"/>
        </w:rPr>
        <w:t>）其他材料</w:t>
      </w:r>
      <w:bookmarkEnd w:id="202"/>
    </w:p>
    <w:p>
      <w:pPr>
        <w:spacing w:line="360" w:lineRule="auto"/>
        <w:rPr>
          <w:rFonts w:ascii="宋体" w:hAnsi="宋体"/>
          <w:color w:val="auto"/>
          <w:szCs w:val="21"/>
          <w:highlight w:val="none"/>
        </w:rPr>
        <w:sectPr>
          <w:pgSz w:w="11906" w:h="16838"/>
          <w:pgMar w:top="1417" w:right="1134" w:bottom="1134" w:left="1134" w:header="851" w:footer="992" w:gutter="0"/>
          <w:pgNumType w:fmt="decimal"/>
          <w:cols w:space="720" w:num="1"/>
          <w:titlePg/>
          <w:docGrid w:type="lines" w:linePitch="312" w:charSpace="0"/>
        </w:sectPr>
      </w:pPr>
      <w:r>
        <w:rPr>
          <w:rFonts w:hint="eastAsia" w:ascii="仿宋" w:hAnsi="仿宋" w:eastAsia="仿宋" w:cs="Cambria Math"/>
          <w:color w:val="auto"/>
          <w:highlight w:val="none"/>
        </w:rPr>
        <w:t>供应商</w:t>
      </w:r>
      <w:r>
        <w:rPr>
          <w:rFonts w:ascii="仿宋" w:hAnsi="仿宋" w:eastAsia="仿宋" w:cs="Cambria Math"/>
          <w:color w:val="auto"/>
          <w:highlight w:val="none"/>
        </w:rPr>
        <w:t>认为需提供的其他材料</w:t>
      </w:r>
      <w:r>
        <w:rPr>
          <w:rFonts w:hint="eastAsia" w:ascii="仿宋" w:hAnsi="仿宋" w:eastAsia="仿宋" w:cs="Cambria Math"/>
          <w:color w:val="auto"/>
          <w:highlight w:val="none"/>
        </w:rPr>
        <w:t>。</w:t>
      </w:r>
    </w:p>
    <w:bookmarkEnd w:id="190"/>
    <w:p>
      <w:pPr>
        <w:pStyle w:val="4"/>
        <w:numPr>
          <w:ilvl w:val="0"/>
          <w:numId w:val="7"/>
        </w:numPr>
        <w:jc w:val="both"/>
        <w:rPr>
          <w:rFonts w:hint="eastAsia" w:ascii="仿宋" w:hAnsi="仿宋" w:eastAsia="仿宋" w:cs="仿宋"/>
          <w:color w:val="auto"/>
          <w:sz w:val="24"/>
          <w:szCs w:val="24"/>
          <w:highlight w:val="none"/>
        </w:rPr>
      </w:pPr>
      <w:bookmarkStart w:id="203" w:name="_Toc28698"/>
      <w:bookmarkStart w:id="204" w:name="_Toc9914"/>
      <w:r>
        <w:rPr>
          <w:rFonts w:hint="eastAsia" w:ascii="仿宋" w:hAnsi="仿宋" w:eastAsia="仿宋" w:cs="仿宋"/>
          <w:color w:val="auto"/>
          <w:sz w:val="24"/>
          <w:szCs w:val="24"/>
          <w:highlight w:val="none"/>
        </w:rPr>
        <w:t>技术文件</w:t>
      </w:r>
      <w:bookmarkEnd w:id="203"/>
      <w:bookmarkEnd w:id="204"/>
      <w:bookmarkStart w:id="205" w:name="_Toc23108"/>
    </w:p>
    <w:p>
      <w:pPr>
        <w:pStyle w:val="5"/>
        <w:spacing w:before="0" w:after="0" w:line="360" w:lineRule="auto"/>
        <w:rPr>
          <w:rFonts w:ascii="仿宋" w:hAnsi="仿宋" w:eastAsia="仿宋" w:cs="仿宋"/>
          <w:color w:val="auto"/>
          <w:sz w:val="24"/>
          <w:szCs w:val="24"/>
          <w:highlight w:val="none"/>
        </w:rPr>
      </w:pPr>
      <w:bookmarkStart w:id="206" w:name="_Toc12050"/>
      <w:bookmarkStart w:id="207" w:name="_Toc8284"/>
      <w:bookmarkStart w:id="208" w:name="_Toc13022"/>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一</w:t>
      </w:r>
      <w:r>
        <w:rPr>
          <w:rFonts w:hint="eastAsia" w:ascii="仿宋" w:hAnsi="仿宋" w:eastAsia="仿宋" w:cs="仿宋"/>
          <w:color w:val="auto"/>
          <w:sz w:val="24"/>
          <w:szCs w:val="24"/>
          <w:highlight w:val="none"/>
        </w:rPr>
        <w:t>）技术</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方案</w:t>
      </w:r>
      <w:bookmarkEnd w:id="206"/>
      <w:bookmarkEnd w:id="207"/>
      <w:bookmarkEnd w:id="208"/>
    </w:p>
    <w:p>
      <w:pPr>
        <w:spacing w:line="360" w:lineRule="auto"/>
        <w:rPr>
          <w:rFonts w:ascii="仿宋" w:hAnsi="仿宋" w:eastAsia="仿宋" w:cs="Cambria Math"/>
          <w:color w:val="auto"/>
          <w:highlight w:val="none"/>
        </w:rPr>
      </w:pPr>
      <w:bookmarkStart w:id="209" w:name="_Toc517281860"/>
      <w:bookmarkStart w:id="210" w:name="_Toc444891358"/>
      <w:r>
        <w:rPr>
          <w:rFonts w:hint="eastAsia" w:ascii="仿宋" w:hAnsi="仿宋" w:eastAsia="仿宋" w:cs="Cambria Math"/>
          <w:color w:val="auto"/>
          <w:highlight w:val="none"/>
          <w:lang w:val="en-US" w:eastAsia="zh-CN"/>
        </w:rPr>
        <w:t xml:space="preserve">    </w:t>
      </w:r>
      <w:r>
        <w:rPr>
          <w:rFonts w:hint="eastAsia" w:ascii="仿宋" w:hAnsi="仿宋" w:eastAsia="仿宋" w:cs="Cambria Math"/>
          <w:color w:val="auto"/>
          <w:highlight w:val="none"/>
        </w:rPr>
        <w:t>供应商按技术服务要求编写响应方案。供应商必须充分理解服务要求中的内容，对服务要求中所提各项需求必须明确说明是否满足或部分满足，并简要说明如何满足以及相关内容，该说明应与需求说明采用相同的顺序。</w:t>
      </w:r>
    </w:p>
    <w:p>
      <w:pPr>
        <w:spacing w:line="360" w:lineRule="auto"/>
        <w:ind w:firstLine="480" w:firstLineChars="200"/>
        <w:rPr>
          <w:rFonts w:ascii="仿宋" w:hAnsi="仿宋" w:eastAsia="仿宋" w:cs="仿宋"/>
          <w:color w:val="auto"/>
          <w:highlight w:val="none"/>
        </w:rPr>
      </w:pPr>
      <w:r>
        <w:rPr>
          <w:rFonts w:hint="eastAsia" w:ascii="仿宋" w:hAnsi="仿宋" w:eastAsia="仿宋" w:cs="仿宋"/>
          <w:color w:val="auto"/>
          <w:highlight w:val="none"/>
        </w:rPr>
        <w:br w:type="page"/>
      </w:r>
    </w:p>
    <w:p>
      <w:pPr>
        <w:rPr>
          <w:rFonts w:ascii="仿宋" w:hAnsi="仿宋" w:eastAsia="仿宋" w:cs="仿宋"/>
          <w:color w:val="auto"/>
          <w:highlight w:val="none"/>
        </w:rPr>
      </w:pPr>
    </w:p>
    <w:p>
      <w:pPr>
        <w:pStyle w:val="5"/>
        <w:spacing w:before="0" w:after="0" w:line="360" w:lineRule="auto"/>
        <w:rPr>
          <w:rFonts w:hint="eastAsia" w:ascii="仿宋" w:hAnsi="仿宋" w:eastAsia="仿宋" w:cs="仿宋"/>
          <w:color w:val="auto"/>
          <w:sz w:val="24"/>
          <w:szCs w:val="24"/>
          <w:highlight w:val="none"/>
        </w:rPr>
      </w:pPr>
      <w:bookmarkStart w:id="211" w:name="_Toc596"/>
      <w:bookmarkStart w:id="212" w:name="_Toc10973"/>
      <w:bookmarkStart w:id="213" w:name="_Toc20365"/>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eastAsia="zh-CN"/>
        </w:rPr>
        <w:t>二</w:t>
      </w:r>
      <w:r>
        <w:rPr>
          <w:rFonts w:hint="eastAsia" w:ascii="仿宋" w:hAnsi="仿宋" w:eastAsia="仿宋" w:cs="仿宋"/>
          <w:color w:val="auto"/>
          <w:sz w:val="24"/>
          <w:szCs w:val="24"/>
          <w:highlight w:val="none"/>
        </w:rPr>
        <w:t>）</w:t>
      </w:r>
      <w:bookmarkEnd w:id="209"/>
      <w:bookmarkEnd w:id="210"/>
      <w:r>
        <w:rPr>
          <w:rFonts w:hint="eastAsia" w:ascii="仿宋" w:hAnsi="仿宋" w:eastAsia="仿宋" w:cs="仿宋"/>
          <w:color w:val="auto"/>
          <w:sz w:val="24"/>
          <w:szCs w:val="24"/>
          <w:highlight w:val="none"/>
        </w:rPr>
        <w:t>其他材料</w:t>
      </w:r>
      <w:bookmarkEnd w:id="211"/>
      <w:bookmarkEnd w:id="212"/>
      <w:bookmarkEnd w:id="213"/>
    </w:p>
    <w:p>
      <w:pPr>
        <w:spacing w:line="360" w:lineRule="auto"/>
        <w:rPr>
          <w:rFonts w:hint="eastAsia" w:ascii="仿宋" w:hAnsi="仿宋" w:eastAsia="仿宋" w:cs="仿宋"/>
          <w:color w:val="auto"/>
          <w:highlight w:val="none"/>
          <w:lang w:eastAsia="zh-CN"/>
        </w:rPr>
        <w:sectPr>
          <w:pgSz w:w="11906" w:h="16838"/>
          <w:pgMar w:top="1417" w:right="1134" w:bottom="1134" w:left="1134" w:header="964" w:footer="964" w:gutter="0"/>
          <w:pgNumType w:fmt="decimal"/>
          <w:cols w:space="720" w:num="1"/>
          <w:docGrid w:linePitch="312" w:charSpace="0"/>
        </w:sectPr>
      </w:pPr>
      <w:r>
        <w:rPr>
          <w:rFonts w:hint="eastAsia" w:ascii="仿宋" w:hAnsi="仿宋" w:eastAsia="仿宋" w:cs="Cambria Math"/>
          <w:color w:val="auto"/>
          <w:highlight w:val="none"/>
        </w:rPr>
        <w:t>供应商</w:t>
      </w:r>
      <w:r>
        <w:rPr>
          <w:rFonts w:ascii="仿宋" w:hAnsi="仿宋" w:eastAsia="仿宋" w:cs="Cambria Math"/>
          <w:color w:val="auto"/>
          <w:highlight w:val="none"/>
        </w:rPr>
        <w:t>认为需提供的其他材料</w:t>
      </w:r>
      <w:r>
        <w:rPr>
          <w:rFonts w:hint="eastAsia" w:ascii="仿宋" w:hAnsi="仿宋" w:eastAsia="仿宋" w:cs="Cambria Math"/>
          <w:color w:val="auto"/>
          <w:highlight w:val="none"/>
          <w:lang w:eastAsia="zh-CN"/>
        </w:rPr>
        <w:t>。</w:t>
      </w:r>
    </w:p>
    <w:bookmarkEnd w:id="205"/>
    <w:p>
      <w:pPr>
        <w:spacing w:line="360" w:lineRule="auto"/>
        <w:rPr>
          <w:rFonts w:ascii="仿宋" w:hAnsi="仿宋" w:eastAsia="仿宋" w:cs="仿宋"/>
          <w:color w:val="auto"/>
          <w:highlight w:val="none"/>
        </w:rPr>
      </w:pPr>
      <w:r>
        <w:rPr>
          <w:rFonts w:hint="eastAsia" w:ascii="仿宋" w:hAnsi="仿宋" w:eastAsia="仿宋" w:cs="仿宋"/>
          <w:color w:val="auto"/>
          <w:highlight w:val="none"/>
        </w:rPr>
        <w:t>三、报价文件</w:t>
      </w:r>
    </w:p>
    <w:p>
      <w:pPr>
        <w:pStyle w:val="5"/>
        <w:spacing w:before="0" w:after="0" w:line="360" w:lineRule="auto"/>
        <w:ind w:firstLine="482"/>
        <w:rPr>
          <w:rFonts w:ascii="仿宋" w:hAnsi="仿宋" w:eastAsia="仿宋" w:cs="仿宋"/>
          <w:color w:val="auto"/>
          <w:sz w:val="24"/>
          <w:szCs w:val="24"/>
          <w:highlight w:val="none"/>
        </w:rPr>
      </w:pPr>
      <w:bookmarkStart w:id="214" w:name="_Toc7744"/>
      <w:bookmarkStart w:id="215" w:name="_Toc8710"/>
      <w:r>
        <w:rPr>
          <w:rFonts w:hint="eastAsia" w:ascii="仿宋" w:hAnsi="仿宋" w:eastAsia="仿宋" w:cs="仿宋"/>
          <w:color w:val="auto"/>
          <w:sz w:val="24"/>
          <w:szCs w:val="24"/>
          <w:highlight w:val="none"/>
        </w:rPr>
        <w:t>（一）报价一览表</w:t>
      </w:r>
      <w:bookmarkEnd w:id="214"/>
      <w:bookmarkEnd w:id="215"/>
    </w:p>
    <w:p>
      <w:pPr>
        <w:pStyle w:val="11"/>
        <w:spacing w:line="360" w:lineRule="auto"/>
        <w:ind w:hanging="142"/>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r>
        <w:rPr>
          <w:rFonts w:hint="eastAsia" w:ascii="仿宋" w:hAnsi="仿宋" w:eastAsia="仿宋" w:cs="仿宋"/>
          <w:color w:val="auto"/>
          <w:sz w:val="24"/>
          <w:szCs w:val="24"/>
          <w:highlight w:val="none"/>
          <w:u w:val="single"/>
        </w:rPr>
        <w:t xml:space="preserve">  </w:t>
      </w:r>
      <w:r>
        <w:rPr>
          <w:rFonts w:hint="eastAsia" w:ascii="仿宋" w:hAnsi="仿宋" w:eastAsia="仿宋" w:cs="仿宋"/>
          <w:color w:val="auto"/>
          <w:sz w:val="24"/>
          <w:szCs w:val="24"/>
          <w:highlight w:val="none"/>
          <w:u w:val="single"/>
          <w:lang w:eastAsia="zh-CN"/>
        </w:rPr>
        <w:t xml:space="preserve">人保财险四川省泸州市泸县支公司食堂食材物资采购项目 </w:t>
      </w:r>
      <w:r>
        <w:rPr>
          <w:rFonts w:hint="eastAsia" w:ascii="仿宋" w:hAnsi="仿宋" w:eastAsia="仿宋" w:cs="仿宋"/>
          <w:color w:val="auto"/>
          <w:sz w:val="24"/>
          <w:szCs w:val="24"/>
          <w:highlight w:val="none"/>
          <w:u w:val="single"/>
        </w:rPr>
        <w:t xml:space="preserve"> </w:t>
      </w:r>
    </w:p>
    <w:p>
      <w:pPr>
        <w:pStyle w:val="11"/>
        <w:spacing w:line="360" w:lineRule="auto"/>
        <w:ind w:hanging="142"/>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货币单位：</w:t>
      </w:r>
      <w:r>
        <w:rPr>
          <w:rFonts w:hint="eastAsia" w:ascii="仿宋" w:hAnsi="仿宋" w:eastAsia="仿宋" w:cs="仿宋"/>
          <w:color w:val="auto"/>
          <w:sz w:val="24"/>
          <w:szCs w:val="24"/>
          <w:highlight w:val="none"/>
          <w:u w:val="single"/>
        </w:rPr>
        <w:t xml:space="preserve"> 人民币元    </w:t>
      </w:r>
    </w:p>
    <w:p>
      <w:pPr>
        <w:spacing w:line="360" w:lineRule="auto"/>
        <w:rPr>
          <w:color w:val="auto"/>
          <w:highlight w:val="none"/>
        </w:rPr>
      </w:pPr>
    </w:p>
    <w:tbl>
      <w:tblPr>
        <w:tblStyle w:val="29"/>
        <w:tblW w:w="5000" w:type="pct"/>
        <w:jc w:val="center"/>
        <w:tblLayout w:type="autofit"/>
        <w:tblCellMar>
          <w:top w:w="0" w:type="dxa"/>
          <w:left w:w="108" w:type="dxa"/>
          <w:bottom w:w="0" w:type="dxa"/>
          <w:right w:w="108" w:type="dxa"/>
        </w:tblCellMar>
      </w:tblPr>
      <w:tblGrid>
        <w:gridCol w:w="1014"/>
        <w:gridCol w:w="1598"/>
        <w:gridCol w:w="3088"/>
        <w:gridCol w:w="3336"/>
      </w:tblGrid>
      <w:tr>
        <w:tblPrEx>
          <w:tblCellMar>
            <w:top w:w="0" w:type="dxa"/>
            <w:left w:w="108" w:type="dxa"/>
            <w:bottom w:w="0" w:type="dxa"/>
            <w:right w:w="108" w:type="dxa"/>
          </w:tblCellMar>
        </w:tblPrEx>
        <w:trPr>
          <w:trHeight w:val="927" w:hRule="atLeast"/>
          <w:jc w:val="center"/>
        </w:trPr>
        <w:tc>
          <w:tcPr>
            <w:tcW w:w="561"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
                <w:bCs/>
                <w:color w:val="auto"/>
                <w:szCs w:val="21"/>
                <w:highlight w:val="none"/>
              </w:rPr>
            </w:pPr>
            <w:r>
              <w:rPr>
                <w:rFonts w:hint="eastAsia" w:ascii="仿宋" w:hAnsi="仿宋" w:eastAsia="仿宋" w:cs="宋体"/>
                <w:b/>
                <w:bCs/>
                <w:color w:val="auto"/>
                <w:szCs w:val="21"/>
                <w:highlight w:val="none"/>
              </w:rPr>
              <w:t>序号</w:t>
            </w:r>
          </w:p>
        </w:tc>
        <w:tc>
          <w:tcPr>
            <w:tcW w:w="884" w:type="pct"/>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宋体"/>
                <w:b/>
                <w:bCs/>
                <w:color w:val="auto"/>
                <w:szCs w:val="21"/>
                <w:highlight w:val="none"/>
                <w:lang w:eastAsia="zh-CN"/>
              </w:rPr>
            </w:pPr>
            <w:r>
              <w:rPr>
                <w:rFonts w:hint="eastAsia" w:ascii="仿宋" w:hAnsi="仿宋" w:eastAsia="仿宋" w:cs="宋体"/>
                <w:b/>
                <w:bCs/>
                <w:color w:val="auto"/>
                <w:szCs w:val="21"/>
                <w:highlight w:val="none"/>
                <w:lang w:val="en-US" w:eastAsia="zh-CN"/>
              </w:rPr>
              <w:t>项目</w:t>
            </w:r>
          </w:p>
        </w:tc>
        <w:tc>
          <w:tcPr>
            <w:tcW w:w="1708" w:type="pct"/>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宋体"/>
                <w:b/>
                <w:bCs/>
                <w:color w:val="auto"/>
                <w:szCs w:val="21"/>
                <w:highlight w:val="none"/>
                <w:lang w:eastAsia="zh-CN"/>
              </w:rPr>
            </w:pPr>
            <w:r>
              <w:rPr>
                <w:rFonts w:hint="eastAsia" w:ascii="楷体" w:hAnsi="楷体" w:eastAsia="楷体" w:cs="仿宋_GB2312"/>
                <w:i w:val="0"/>
                <w:iCs w:val="0"/>
                <w:color w:val="auto"/>
                <w:szCs w:val="32"/>
                <w:highlight w:val="none"/>
                <w:lang w:val="en-US" w:eastAsia="zh-CN"/>
              </w:rPr>
              <w:t>报价（折扣优惠率）</w:t>
            </w:r>
          </w:p>
        </w:tc>
        <w:tc>
          <w:tcPr>
            <w:tcW w:w="184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
                <w:bCs/>
                <w:color w:val="auto"/>
                <w:szCs w:val="21"/>
                <w:highlight w:val="none"/>
              </w:rPr>
            </w:pPr>
            <w:r>
              <w:rPr>
                <w:rFonts w:hint="eastAsia" w:ascii="仿宋" w:hAnsi="仿宋" w:eastAsia="仿宋" w:cs="宋体"/>
                <w:b/>
                <w:bCs/>
                <w:color w:val="auto"/>
                <w:szCs w:val="21"/>
                <w:highlight w:val="none"/>
              </w:rPr>
              <w:t>备注</w:t>
            </w:r>
          </w:p>
        </w:tc>
      </w:tr>
      <w:tr>
        <w:tblPrEx>
          <w:tblCellMar>
            <w:top w:w="0" w:type="dxa"/>
            <w:left w:w="108" w:type="dxa"/>
            <w:bottom w:w="0" w:type="dxa"/>
            <w:right w:w="108" w:type="dxa"/>
          </w:tblCellMar>
        </w:tblPrEx>
        <w:trPr>
          <w:trHeight w:val="1409" w:hRule="atLeast"/>
          <w:jc w:val="center"/>
        </w:trPr>
        <w:tc>
          <w:tcPr>
            <w:tcW w:w="561"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Cs/>
                <w:color w:val="auto"/>
                <w:szCs w:val="21"/>
                <w:highlight w:val="none"/>
              </w:rPr>
            </w:pPr>
            <w:r>
              <w:rPr>
                <w:rFonts w:hint="eastAsia" w:ascii="仿宋" w:hAnsi="仿宋" w:eastAsia="仿宋" w:cs="宋体"/>
                <w:bCs/>
                <w:color w:val="auto"/>
                <w:szCs w:val="21"/>
                <w:highlight w:val="none"/>
              </w:rPr>
              <w:t>1</w:t>
            </w:r>
          </w:p>
        </w:tc>
        <w:tc>
          <w:tcPr>
            <w:tcW w:w="884" w:type="pct"/>
            <w:tcBorders>
              <w:top w:val="single" w:color="auto" w:sz="4" w:space="0"/>
              <w:left w:val="nil"/>
              <w:bottom w:val="single" w:color="auto" w:sz="4" w:space="0"/>
              <w:right w:val="single" w:color="auto" w:sz="4" w:space="0"/>
            </w:tcBorders>
            <w:vAlign w:val="center"/>
          </w:tcPr>
          <w:p>
            <w:pPr>
              <w:jc w:val="center"/>
              <w:rPr>
                <w:rFonts w:ascii="仿宋" w:hAnsi="仿宋" w:eastAsia="仿宋" w:cs="宋体"/>
                <w:bCs/>
                <w:color w:val="auto"/>
                <w:szCs w:val="21"/>
                <w:highlight w:val="none"/>
              </w:rPr>
            </w:pPr>
            <w:r>
              <w:rPr>
                <w:rFonts w:hint="eastAsia" w:ascii="Times New Roman" w:hAnsi="Times New Roman" w:eastAsia="楷体" w:cs="Times New Roman"/>
                <w:i w:val="0"/>
                <w:iCs w:val="0"/>
                <w:color w:val="auto"/>
                <w:szCs w:val="32"/>
                <w:highlight w:val="none"/>
                <w:lang w:val="en-US" w:eastAsia="zh-CN"/>
              </w:rPr>
              <w:t>食堂食材物资</w:t>
            </w:r>
            <w:r>
              <w:rPr>
                <w:rFonts w:hint="eastAsia" w:ascii="仿宋" w:hAnsi="仿宋" w:eastAsia="仿宋" w:cs="仿宋"/>
                <w:color w:val="auto"/>
                <w:highlight w:val="none"/>
                <w:lang w:val="en-US" w:eastAsia="zh-CN"/>
              </w:rPr>
              <w:t>（</w:t>
            </w:r>
            <w:r>
              <w:rPr>
                <w:rFonts w:hint="default" w:ascii="Times New Roman" w:hAnsi="Times New Roman" w:eastAsia="楷体" w:cs="Times New Roman"/>
                <w:i w:val="0"/>
                <w:iCs w:val="0"/>
                <w:color w:val="auto"/>
                <w:szCs w:val="32"/>
                <w:highlight w:val="none"/>
              </w:rPr>
              <w:t>蔬菜类、水产类、肉制品类、粮油类、蛋类、调料干货类、耗材类</w:t>
            </w:r>
            <w:r>
              <w:rPr>
                <w:rFonts w:hint="eastAsia" w:ascii="Times New Roman" w:hAnsi="Times New Roman" w:eastAsia="楷体" w:cs="Times New Roman"/>
                <w:i w:val="0"/>
                <w:iCs w:val="0"/>
                <w:color w:val="auto"/>
                <w:szCs w:val="32"/>
                <w:highlight w:val="none"/>
                <w:lang w:eastAsia="zh-CN"/>
              </w:rPr>
              <w:t>：</w:t>
            </w:r>
            <w:r>
              <w:rPr>
                <w:rFonts w:hint="default" w:ascii="Times New Roman" w:hAnsi="Times New Roman" w:eastAsia="楷体" w:cs="Times New Roman"/>
                <w:i w:val="0"/>
                <w:iCs w:val="0"/>
                <w:color w:val="auto"/>
                <w:szCs w:val="32"/>
                <w:highlight w:val="none"/>
              </w:rPr>
              <w:t>如洗洁精、碗筷、油污清洁剂等</w:t>
            </w:r>
            <w:r>
              <w:rPr>
                <w:rFonts w:hint="eastAsia" w:ascii="仿宋" w:hAnsi="仿宋" w:eastAsia="仿宋" w:cs="仿宋"/>
                <w:color w:val="auto"/>
                <w:highlight w:val="none"/>
                <w:lang w:val="en-US" w:eastAsia="zh-CN"/>
              </w:rPr>
              <w:t>）</w:t>
            </w:r>
          </w:p>
        </w:tc>
        <w:tc>
          <w:tcPr>
            <w:tcW w:w="1708" w:type="pct"/>
            <w:tcBorders>
              <w:top w:val="single" w:color="auto" w:sz="4" w:space="0"/>
              <w:left w:val="nil"/>
              <w:bottom w:val="single" w:color="auto" w:sz="4" w:space="0"/>
              <w:right w:val="single" w:color="auto" w:sz="4" w:space="0"/>
            </w:tcBorders>
            <w:vAlign w:val="center"/>
          </w:tcPr>
          <w:p>
            <w:pPr>
              <w:jc w:val="center"/>
              <w:rPr>
                <w:rFonts w:hint="default" w:ascii="仿宋" w:hAnsi="仿宋" w:eastAsia="仿宋" w:cs="宋体"/>
                <w:color w:val="auto"/>
                <w:szCs w:val="21"/>
                <w:highlight w:val="none"/>
                <w:u w:val="single"/>
                <w:lang w:val="en-US" w:eastAsia="zh-CN"/>
              </w:rPr>
            </w:pPr>
            <w:r>
              <w:rPr>
                <w:rFonts w:hint="eastAsia" w:ascii="仿宋" w:hAnsi="仿宋" w:eastAsia="仿宋" w:cs="宋体"/>
                <w:color w:val="auto"/>
                <w:szCs w:val="21"/>
                <w:highlight w:val="none"/>
                <w:u w:val="none"/>
                <w:lang w:val="en-US" w:eastAsia="zh-CN"/>
              </w:rPr>
              <w:t xml:space="preserve">  </w:t>
            </w:r>
            <w:r>
              <w:rPr>
                <w:rFonts w:hint="eastAsia" w:ascii="仿宋" w:hAnsi="仿宋" w:eastAsia="仿宋" w:cs="宋体"/>
                <w:color w:val="auto"/>
                <w:szCs w:val="21"/>
                <w:highlight w:val="none"/>
                <w:u w:val="single"/>
                <w:lang w:val="en-US" w:eastAsia="zh-CN"/>
              </w:rPr>
              <w:t xml:space="preserve">    </w:t>
            </w:r>
            <w:r>
              <w:rPr>
                <w:rFonts w:hint="eastAsia" w:ascii="仿宋" w:hAnsi="仿宋" w:eastAsia="仿宋" w:cs="宋体"/>
                <w:color w:val="auto"/>
                <w:szCs w:val="21"/>
                <w:highlight w:val="none"/>
                <w:u w:val="none"/>
                <w:lang w:val="en-US" w:eastAsia="zh-CN"/>
              </w:rPr>
              <w:t>%</w:t>
            </w:r>
          </w:p>
        </w:tc>
        <w:tc>
          <w:tcPr>
            <w:tcW w:w="1845" w:type="pct"/>
            <w:tcBorders>
              <w:top w:val="single" w:color="auto" w:sz="4" w:space="0"/>
              <w:left w:val="single" w:color="auto" w:sz="4" w:space="0"/>
              <w:bottom w:val="single" w:color="auto" w:sz="4" w:space="0"/>
              <w:right w:val="single" w:color="auto" w:sz="4" w:space="0"/>
            </w:tcBorders>
            <w:vAlign w:val="center"/>
          </w:tcPr>
          <w:p>
            <w:pPr>
              <w:widowControl w:val="0"/>
              <w:numPr>
                <w:ilvl w:val="0"/>
                <w:numId w:val="0"/>
              </w:numPr>
              <w:autoSpaceDE w:val="0"/>
              <w:adjustRightInd w:val="0"/>
              <w:spacing w:line="360" w:lineRule="auto"/>
              <w:jc w:val="left"/>
              <w:textAlignment w:val="baseline"/>
              <w:rPr>
                <w:rFonts w:ascii="仿宋" w:hAnsi="仿宋" w:eastAsia="仿宋" w:cs="宋体"/>
                <w:color w:val="auto"/>
                <w:szCs w:val="21"/>
                <w:highlight w:val="none"/>
              </w:rPr>
            </w:pPr>
            <w:r>
              <w:rPr>
                <w:rFonts w:hint="eastAsia" w:ascii="楷体" w:hAnsi="楷体" w:eastAsia="楷体" w:cs="Arial"/>
                <w:color w:val="auto"/>
                <w:highlight w:val="none"/>
                <w:lang w:val="en-US" w:eastAsia="zh-CN"/>
              </w:rPr>
              <w:t>采买金额</w:t>
            </w:r>
            <w:r>
              <w:rPr>
                <w:rFonts w:hint="eastAsia" w:ascii="楷体" w:hAnsi="楷体" w:eastAsia="楷体" w:cs="Arial"/>
                <w:color w:val="auto"/>
                <w:highlight w:val="none"/>
              </w:rPr>
              <w:t>以</w:t>
            </w:r>
            <w:r>
              <w:rPr>
                <w:rFonts w:hint="default" w:ascii="楷体" w:hAnsi="楷体" w:eastAsia="楷体" w:cs="Arial"/>
                <w:color w:val="auto"/>
                <w:szCs w:val="24"/>
                <w:highlight w:val="none"/>
                <w:lang w:val="en-US" w:eastAsia="zh-CN"/>
              </w:rPr>
              <w:t>泸县吉都汇百货超市</w:t>
            </w:r>
            <w:r>
              <w:rPr>
                <w:rFonts w:hint="eastAsia" w:ascii="楷体" w:hAnsi="楷体" w:eastAsia="楷体" w:cs="Arial"/>
                <w:color w:val="auto"/>
                <w:highlight w:val="none"/>
              </w:rPr>
              <w:t>价格为参考，按中标折扣</w:t>
            </w:r>
            <w:r>
              <w:rPr>
                <w:rFonts w:hint="eastAsia" w:ascii="楷体" w:hAnsi="楷体" w:eastAsia="楷体" w:cs="Arial"/>
                <w:color w:val="auto"/>
                <w:highlight w:val="none"/>
                <w:lang w:eastAsia="zh-CN"/>
              </w:rPr>
              <w:t>进行</w:t>
            </w:r>
            <w:r>
              <w:rPr>
                <w:rFonts w:hint="eastAsia" w:ascii="楷体" w:hAnsi="楷体" w:eastAsia="楷体" w:cs="Arial"/>
                <w:color w:val="auto"/>
                <w:highlight w:val="none"/>
              </w:rPr>
              <w:t>结算</w:t>
            </w:r>
            <w:r>
              <w:rPr>
                <w:rFonts w:hint="eastAsia" w:ascii="楷体" w:hAnsi="楷体" w:eastAsia="楷体" w:cs="Arial"/>
                <w:color w:val="auto"/>
                <w:spacing w:val="24"/>
                <w:highlight w:val="none"/>
                <w:lang w:val="en-US" w:eastAsia="zh-CN"/>
              </w:rPr>
              <w:t>。</w:t>
            </w:r>
          </w:p>
        </w:tc>
      </w:tr>
    </w:tbl>
    <w:p>
      <w:pPr>
        <w:spacing w:line="360" w:lineRule="auto"/>
        <w:rPr>
          <w:rFonts w:ascii="仿宋" w:hAnsi="仿宋" w:eastAsia="仿宋" w:cs="仿宋"/>
          <w:bCs/>
          <w:color w:val="auto"/>
          <w:highlight w:val="none"/>
        </w:rPr>
      </w:pPr>
    </w:p>
    <w:p>
      <w:pPr>
        <w:spacing w:line="360" w:lineRule="auto"/>
        <w:rPr>
          <w:rFonts w:ascii="仿宋" w:hAnsi="仿宋" w:eastAsia="仿宋" w:cs="仿宋"/>
          <w:bCs/>
          <w:color w:val="auto"/>
          <w:highlight w:val="none"/>
        </w:rPr>
      </w:pPr>
      <w:r>
        <w:rPr>
          <w:rFonts w:hint="eastAsia" w:ascii="仿宋" w:hAnsi="仿宋" w:eastAsia="仿宋" w:cs="仿宋"/>
          <w:bCs/>
          <w:color w:val="auto"/>
          <w:highlight w:val="none"/>
        </w:rPr>
        <w:t>备注：</w:t>
      </w:r>
    </w:p>
    <w:p>
      <w:pPr>
        <w:spacing w:line="360" w:lineRule="auto"/>
        <w:rPr>
          <w:rFonts w:ascii="仿宋" w:hAnsi="仿宋" w:eastAsia="仿宋"/>
          <w:bCs/>
          <w:color w:val="auto"/>
          <w:highlight w:val="none"/>
        </w:rPr>
      </w:pPr>
      <w:r>
        <w:rPr>
          <w:rFonts w:hint="eastAsia" w:ascii="仿宋" w:hAnsi="仿宋" w:eastAsia="仿宋"/>
          <w:bCs/>
          <w:color w:val="auto"/>
          <w:highlight w:val="none"/>
        </w:rPr>
        <w:t>1.本次报价精确到小数点后两位（四舍五入）。</w:t>
      </w:r>
    </w:p>
    <w:p>
      <w:pPr>
        <w:pStyle w:val="2"/>
        <w:rPr>
          <w:color w:val="auto"/>
          <w:highlight w:val="none"/>
        </w:rPr>
      </w:pPr>
      <w:r>
        <w:rPr>
          <w:rFonts w:hint="eastAsia" w:ascii="仿宋" w:hAnsi="仿宋" w:eastAsia="仿宋" w:cs="宋体"/>
          <w:bCs/>
          <w:color w:val="auto"/>
          <w:highlight w:val="none"/>
        </w:rPr>
        <w:t>2.</w:t>
      </w:r>
      <w:r>
        <w:rPr>
          <w:rFonts w:hint="eastAsia" w:ascii="仿宋" w:hAnsi="仿宋" w:eastAsia="仿宋"/>
          <w:bCs/>
          <w:color w:val="auto"/>
          <w:highlight w:val="none"/>
        </w:rPr>
        <w:t>以上报价单位为人民币。报价总价为完成本项目规定工作所需的全部费用。</w:t>
      </w:r>
    </w:p>
    <w:p>
      <w:pPr>
        <w:rPr>
          <w:color w:val="auto"/>
          <w:highlight w:val="none"/>
        </w:rPr>
      </w:pPr>
    </w:p>
    <w:p>
      <w:pPr>
        <w:pStyle w:val="2"/>
        <w:rPr>
          <w:color w:val="auto"/>
          <w:highlight w:val="none"/>
        </w:rPr>
      </w:pPr>
    </w:p>
    <w:p>
      <w:pPr>
        <w:pStyle w:val="2"/>
        <w:rPr>
          <w:color w:val="auto"/>
          <w:highlight w:val="none"/>
        </w:rPr>
      </w:pPr>
    </w:p>
    <w:p>
      <w:pPr>
        <w:rPr>
          <w:color w:val="auto"/>
          <w:highlight w:val="none"/>
        </w:rPr>
      </w:pPr>
    </w:p>
    <w:p>
      <w:pPr>
        <w:widowControl w:val="0"/>
        <w:numPr>
          <w:ilvl w:val="0"/>
          <w:numId w:val="1"/>
        </w:numPr>
        <w:spacing w:line="440" w:lineRule="exact"/>
        <w:jc w:val="right"/>
        <w:rPr>
          <w:rFonts w:ascii="仿宋" w:hAnsi="仿宋" w:eastAsia="仿宋" w:cs="宋体"/>
          <w:color w:val="auto"/>
          <w:highlight w:val="none"/>
        </w:rPr>
      </w:pPr>
      <w:bookmarkStart w:id="216" w:name="_Toc517281864"/>
      <w:bookmarkStart w:id="217" w:name="_Toc530319762"/>
      <w:bookmarkStart w:id="218" w:name="_Toc482180015"/>
      <w:bookmarkStart w:id="219" w:name="_Toc518302646"/>
      <w:bookmarkStart w:id="220" w:name="_Toc16591840"/>
      <w:bookmarkStart w:id="221" w:name="_Toc2267055"/>
    </w:p>
    <w:p>
      <w:pPr>
        <w:widowControl w:val="0"/>
        <w:numPr>
          <w:ilvl w:val="0"/>
          <w:numId w:val="1"/>
        </w:numPr>
        <w:spacing w:line="440" w:lineRule="exact"/>
        <w:jc w:val="right"/>
        <w:rPr>
          <w:rFonts w:ascii="仿宋" w:hAnsi="仿宋" w:eastAsia="仿宋" w:cs="宋体"/>
          <w:color w:val="auto"/>
          <w:highlight w:val="none"/>
        </w:rPr>
      </w:pPr>
      <w:r>
        <w:rPr>
          <w:rFonts w:hint="eastAsia" w:ascii="仿宋" w:hAnsi="仿宋" w:eastAsia="仿宋" w:cs="宋体"/>
          <w:color w:val="auto"/>
          <w:highlight w:val="none"/>
        </w:rPr>
        <w:t>供应商名称：</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（盖章）</w:t>
      </w:r>
    </w:p>
    <w:p>
      <w:pPr>
        <w:widowControl w:val="0"/>
        <w:numPr>
          <w:ilvl w:val="0"/>
          <w:numId w:val="1"/>
        </w:numPr>
        <w:spacing w:line="440" w:lineRule="exact"/>
        <w:jc w:val="right"/>
        <w:rPr>
          <w:rFonts w:ascii="仿宋" w:hAnsi="仿宋" w:eastAsia="仿宋" w:cs="宋体"/>
          <w:color w:val="auto"/>
          <w:highlight w:val="none"/>
        </w:rPr>
      </w:pPr>
      <w:r>
        <w:rPr>
          <w:rFonts w:hint="eastAsia" w:ascii="仿宋" w:hAnsi="仿宋" w:eastAsia="仿宋" w:cs="宋体"/>
          <w:color w:val="auto"/>
          <w:highlight w:val="none"/>
        </w:rPr>
        <w:t>法定代表人或其授权代理人：</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（签字）</w:t>
      </w:r>
    </w:p>
    <w:p>
      <w:pPr>
        <w:widowControl w:val="0"/>
        <w:numPr>
          <w:ilvl w:val="0"/>
          <w:numId w:val="1"/>
        </w:numPr>
        <w:spacing w:line="440" w:lineRule="exact"/>
        <w:jc w:val="right"/>
        <w:rPr>
          <w:rFonts w:ascii="仿宋" w:hAnsi="仿宋" w:eastAsia="仿宋" w:cs="宋体"/>
          <w:color w:val="auto"/>
          <w:highlight w:val="none"/>
        </w:rPr>
      </w:pPr>
      <w:r>
        <w:rPr>
          <w:rFonts w:hint="eastAsia" w:ascii="仿宋" w:hAnsi="仿宋" w:eastAsia="仿宋" w:cs="宋体"/>
          <w:color w:val="auto"/>
          <w:highlight w:val="none"/>
        </w:rPr>
        <w:t>日期：</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年</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月</w:t>
      </w:r>
      <w:r>
        <w:rPr>
          <w:rFonts w:hint="eastAsia" w:ascii="仿宋" w:hAnsi="仿宋" w:eastAsia="仿宋" w:cs="宋体"/>
          <w:color w:val="auto"/>
          <w:highlight w:val="none"/>
          <w:u w:val="single"/>
        </w:rPr>
        <w:t xml:space="preserve">   </w:t>
      </w:r>
      <w:r>
        <w:rPr>
          <w:rFonts w:hint="eastAsia" w:ascii="仿宋" w:hAnsi="仿宋" w:eastAsia="仿宋" w:cs="宋体"/>
          <w:color w:val="auto"/>
          <w:highlight w:val="none"/>
        </w:rPr>
        <w:t>日</w:t>
      </w:r>
    </w:p>
    <w:bookmarkEnd w:id="151"/>
    <w:bookmarkEnd w:id="216"/>
    <w:bookmarkEnd w:id="217"/>
    <w:bookmarkEnd w:id="218"/>
    <w:bookmarkEnd w:id="219"/>
    <w:bookmarkEnd w:id="220"/>
    <w:bookmarkEnd w:id="221"/>
    <w:p>
      <w:pPr>
        <w:pStyle w:val="3"/>
        <w:tabs>
          <w:tab w:val="clear" w:pos="425"/>
        </w:tabs>
        <w:spacing w:before="0" w:after="0" w:line="560" w:lineRule="exact"/>
        <w:ind w:left="0" w:leftChars="0" w:firstLine="0" w:firstLineChars="0"/>
        <w:jc w:val="left"/>
        <w:rPr>
          <w:rFonts w:ascii="仿宋_GB2312" w:hAnsi="宋体" w:eastAsia="仿宋_GB2312" w:cs="宋体"/>
          <w:color w:val="auto"/>
          <w:sz w:val="28"/>
          <w:szCs w:val="28"/>
          <w:highlight w:val="none"/>
        </w:rPr>
      </w:pPr>
    </w:p>
    <w:bookmarkEnd w:id="222"/>
    <w:sectPr>
      <w:footerReference r:id="rId11" w:type="first"/>
      <w:headerReference r:id="rId9" w:type="default"/>
      <w:footerReference r:id="rId10" w:type="default"/>
      <w:pgSz w:w="11906" w:h="16838"/>
      <w:pgMar w:top="1418" w:right="1555" w:bottom="1418" w:left="1531"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2FF" w:usb1="420024FF" w:usb2="00000000" w:usb3="00000000" w:csb0="2000019F" w:csb1="00000000"/>
  </w:font>
  <w:font w:name="楷体">
    <w:panose1 w:val="02010609060101010101"/>
    <w:charset w:val="86"/>
    <w:family w:val="modern"/>
    <w:pitch w:val="default"/>
    <w:sig w:usb0="800002BF" w:usb1="38CF7CFA" w:usb2="00000016" w:usb3="00000000" w:csb0="00040001" w:csb1="00000000"/>
  </w:font>
  <w:font w:name="Monaco">
    <w:altName w:val="Courier New"/>
    <w:panose1 w:val="00000000000000000000"/>
    <w:charset w:val="00"/>
    <w:family w:val="modern"/>
    <w:pitch w:val="default"/>
    <w:sig w:usb0="00000000" w:usb1="00000000" w:usb2="00000000" w:usb3="00000000" w:csb0="00040001" w:csb1="00000000"/>
  </w:font>
  <w:font w:name="新宋体">
    <w:panose1 w:val="02010609030101010101"/>
    <w:charset w:val="86"/>
    <w:family w:val="modern"/>
    <w:pitch w:val="default"/>
    <w:sig w:usb0="00000003" w:usb1="288F0000" w:usb2="0000000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2"/>
      </w:rPr>
    </w:pPr>
    <w:r>
      <w:fldChar w:fldCharType="begin"/>
    </w:r>
    <w:r>
      <w:rPr>
        <w:rStyle w:val="32"/>
      </w:rPr>
      <w:instrText xml:space="preserve">PAGE  </w:instrText>
    </w:r>
    <w:r>
      <w:fldChar w:fldCharType="end"/>
    </w:r>
  </w:p>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lear" w:pos="4153"/>
      </w:tabs>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9"/>
                      <w:jc w:val="cente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w:t>
                    </w:r>
                    <w:r>
                      <w:fldChar w:fldCharType="end"/>
                    </w:r>
                  </w:p>
                </w:txbxContent>
              </v:textbox>
            </v:shape>
          </w:pict>
        </mc:Fallback>
      </mc:AlternateContent>
    </w:r>
  </w:p>
  <w:p>
    <w:pPr>
      <w:pStyle w:val="1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jc w:val="cen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9"/>
                      <w:jc w:val="center"/>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tabs>
        <w:tab w:val="clear" w:pos="4153"/>
      </w:tabs>
      <w:jc w:val="center"/>
      <w:rPr>
        <w:rFonts w:hint="default"/>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59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59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r>
      <w:t>比选文件</w:t>
    </w:r>
  </w:p>
  <w:p>
    <w:pPr>
      <w:pStyle w:val="20"/>
      <w:pBdr>
        <w:bottom w:val="none" w:color="auto" w:sz="0" w:space="0"/>
      </w:pBdr>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2BEBE"/>
    <w:multiLevelType w:val="singleLevel"/>
    <w:tmpl w:val="C6F2BEBE"/>
    <w:lvl w:ilvl="0" w:tentative="0">
      <w:start w:val="4"/>
      <w:numFmt w:val="chineseCounting"/>
      <w:suff w:val="space"/>
      <w:lvlText w:val="第%1章"/>
      <w:lvlJc w:val="left"/>
      <w:rPr>
        <w:rFonts w:hint="eastAsia"/>
      </w:rPr>
    </w:lvl>
  </w:abstractNum>
  <w:abstractNum w:abstractNumId="1">
    <w:nsid w:val="00000016"/>
    <w:multiLevelType w:val="multilevel"/>
    <w:tmpl w:val="00000016"/>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7"/>
      <w:lvlText w:val="           "/>
      <w:lvlJc w:val="left"/>
      <w:pPr>
        <w:tabs>
          <w:tab w:val="left" w:pos="1440"/>
        </w:tabs>
        <w:ind w:left="1152" w:hanging="1152"/>
      </w:pPr>
      <w:rPr>
        <w:rFonts w:hint="eastAsia"/>
      </w:rPr>
    </w:lvl>
    <w:lvl w:ilvl="6" w:tentative="0">
      <w:start w:val="1"/>
      <w:numFmt w:val="decimal"/>
      <w:pStyle w:val="8"/>
      <w:lvlText w:val="%1.%2.%3.%4.%5.%6.%7"/>
      <w:lvlJc w:val="left"/>
      <w:pPr>
        <w:tabs>
          <w:tab w:val="left" w:pos="2520"/>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abstractNum w:abstractNumId="2">
    <w:nsid w:val="326F00D5"/>
    <w:multiLevelType w:val="multilevel"/>
    <w:tmpl w:val="326F00D5"/>
    <w:lvl w:ilvl="0" w:tentative="0">
      <w:start w:val="1"/>
      <w:numFmt w:val="japaneseCounting"/>
      <w:lvlText w:val="%1、"/>
      <w:lvlJc w:val="left"/>
      <w:pPr>
        <w:ind w:left="960" w:hanging="48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3EBB3C91"/>
    <w:multiLevelType w:val="multilevel"/>
    <w:tmpl w:val="3EBB3C91"/>
    <w:lvl w:ilvl="0" w:tentative="0">
      <w:start w:val="1"/>
      <w:numFmt w:val="chineseCountingThousand"/>
      <w:suff w:val="space"/>
      <w:lvlText w:val="%1. "/>
      <w:lvlJc w:val="left"/>
      <w:pPr>
        <w:ind w:left="907" w:hanging="907"/>
      </w:pPr>
      <w:rPr>
        <w:rFonts w:hint="eastAsia"/>
        <w:lang w:val="en-US"/>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84"/>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4">
    <w:nsid w:val="42921256"/>
    <w:multiLevelType w:val="singleLevel"/>
    <w:tmpl w:val="42921256"/>
    <w:lvl w:ilvl="0" w:tentative="0">
      <w:start w:val="2"/>
      <w:numFmt w:val="chineseCounting"/>
      <w:suff w:val="nothing"/>
      <w:lvlText w:val="%1、"/>
      <w:lvlJc w:val="left"/>
      <w:rPr>
        <w:rFonts w:hint="eastAsia"/>
      </w:rPr>
    </w:lvl>
  </w:abstractNum>
  <w:abstractNum w:abstractNumId="5">
    <w:nsid w:val="47AD35DA"/>
    <w:multiLevelType w:val="singleLevel"/>
    <w:tmpl w:val="47AD35DA"/>
    <w:lvl w:ilvl="0" w:tentative="0">
      <w:start w:val="5"/>
      <w:numFmt w:val="chineseCounting"/>
      <w:suff w:val="nothing"/>
      <w:lvlText w:val="%1、"/>
      <w:lvlJc w:val="left"/>
      <w:rPr>
        <w:rFonts w:hint="eastAsia"/>
      </w:rPr>
    </w:lvl>
  </w:abstractNum>
  <w:abstractNum w:abstractNumId="6">
    <w:nsid w:val="5D4608AD"/>
    <w:multiLevelType w:val="multilevel"/>
    <w:tmpl w:val="5D4608AD"/>
    <w:lvl w:ilvl="0" w:tentative="0">
      <w:start w:val="1"/>
      <w:numFmt w:val="chineseCountingThousand"/>
      <w:pStyle w:val="53"/>
      <w:lvlText w:val="%1、"/>
      <w:lvlJc w:val="left"/>
      <w:pPr>
        <w:tabs>
          <w:tab w:val="left" w:pos="1349"/>
        </w:tabs>
        <w:ind w:left="0" w:firstLine="629"/>
      </w:pPr>
      <w:rPr>
        <w:rFonts w:hint="eastAsia"/>
      </w:rPr>
    </w:lvl>
    <w:lvl w:ilvl="1" w:tentative="0">
      <w:start w:val="1"/>
      <w:numFmt w:val="chineseCountingThousand"/>
      <w:lvlText w:val="(%2)"/>
      <w:lvlJc w:val="left"/>
      <w:pPr>
        <w:tabs>
          <w:tab w:val="left" w:pos="1349"/>
        </w:tabs>
        <w:ind w:left="0" w:firstLine="629"/>
      </w:pPr>
      <w:rPr>
        <w:rFonts w:hint="eastAsia"/>
      </w:rPr>
    </w:lvl>
    <w:lvl w:ilvl="2" w:tentative="0">
      <w:start w:val="1"/>
      <w:numFmt w:val="decimal"/>
      <w:lvlText w:val="%3."/>
      <w:lvlJc w:val="left"/>
      <w:pPr>
        <w:tabs>
          <w:tab w:val="left" w:pos="989"/>
        </w:tabs>
        <w:ind w:left="0" w:firstLine="629"/>
      </w:pPr>
      <w:rPr>
        <w:rFonts w:hint="eastAsia"/>
      </w:rPr>
    </w:lvl>
    <w:lvl w:ilvl="3" w:tentative="0">
      <w:start w:val="1"/>
      <w:numFmt w:val="decimal"/>
      <w:lvlText w:val="(%4)"/>
      <w:lvlJc w:val="left"/>
      <w:pPr>
        <w:tabs>
          <w:tab w:val="left" w:pos="1349"/>
        </w:tabs>
        <w:ind w:left="0" w:firstLine="629"/>
      </w:pPr>
      <w:rPr>
        <w:rFonts w:hint="eastAsia"/>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926"/>
        </w:tabs>
        <w:ind w:left="3260" w:hanging="1134"/>
      </w:pPr>
      <w:rPr>
        <w:rFonts w:hint="eastAsia"/>
      </w:rPr>
    </w:lvl>
    <w:lvl w:ilvl="6" w:tentative="0">
      <w:start w:val="1"/>
      <w:numFmt w:val="decimal"/>
      <w:lvlText w:val="%1.%2.%3.%4.%5.%6.%7"/>
      <w:lvlJc w:val="left"/>
      <w:pPr>
        <w:tabs>
          <w:tab w:val="left" w:pos="4711"/>
        </w:tabs>
        <w:ind w:left="3827" w:hanging="1276"/>
      </w:pPr>
      <w:rPr>
        <w:rFonts w:hint="eastAsia"/>
      </w:rPr>
    </w:lvl>
    <w:lvl w:ilvl="7" w:tentative="0">
      <w:start w:val="1"/>
      <w:numFmt w:val="decimal"/>
      <w:lvlText w:val="%1.%2.%3.%4.%5.%6.%7.%8"/>
      <w:lvlJc w:val="left"/>
      <w:pPr>
        <w:tabs>
          <w:tab w:val="left" w:pos="5496"/>
        </w:tabs>
        <w:ind w:left="4394" w:hanging="1418"/>
      </w:pPr>
      <w:rPr>
        <w:rFonts w:hint="eastAsia"/>
      </w:rPr>
    </w:lvl>
    <w:lvl w:ilvl="8" w:tentative="0">
      <w:start w:val="1"/>
      <w:numFmt w:val="decimal"/>
      <w:lvlText w:val="%1.%2.%3.%4.%5.%6.%7.%8.%9"/>
      <w:lvlJc w:val="left"/>
      <w:pPr>
        <w:tabs>
          <w:tab w:val="left" w:pos="6282"/>
        </w:tabs>
        <w:ind w:left="5102" w:hanging="1700"/>
      </w:pPr>
      <w:rPr>
        <w:rFonts w:hint="eastAsia"/>
      </w:rPr>
    </w:lvl>
  </w:abstractNum>
  <w:num w:numId="1">
    <w:abstractNumId w:val="1"/>
  </w:num>
  <w:num w:numId="2">
    <w:abstractNumId w:val="6"/>
  </w:num>
  <w:num w:numId="3">
    <w:abstractNumId w:val="3"/>
  </w:num>
  <w:num w:numId="4">
    <w:abstractNumId w:val="0"/>
  </w:num>
  <w:num w:numId="5">
    <w:abstractNumId w:val="2"/>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E1183E"/>
    <w:rsid w:val="0000058F"/>
    <w:rsid w:val="00001351"/>
    <w:rsid w:val="00004883"/>
    <w:rsid w:val="000060BA"/>
    <w:rsid w:val="000063B7"/>
    <w:rsid w:val="0000746A"/>
    <w:rsid w:val="000112BF"/>
    <w:rsid w:val="00012306"/>
    <w:rsid w:val="00012E9F"/>
    <w:rsid w:val="00015713"/>
    <w:rsid w:val="00021719"/>
    <w:rsid w:val="0002375A"/>
    <w:rsid w:val="00027353"/>
    <w:rsid w:val="00027EFB"/>
    <w:rsid w:val="00030B08"/>
    <w:rsid w:val="0003271C"/>
    <w:rsid w:val="00032BC1"/>
    <w:rsid w:val="00036E66"/>
    <w:rsid w:val="00036EC4"/>
    <w:rsid w:val="00037399"/>
    <w:rsid w:val="00037A1C"/>
    <w:rsid w:val="00046575"/>
    <w:rsid w:val="000503A9"/>
    <w:rsid w:val="000514BA"/>
    <w:rsid w:val="00053A41"/>
    <w:rsid w:val="00055B72"/>
    <w:rsid w:val="000612DD"/>
    <w:rsid w:val="000621BC"/>
    <w:rsid w:val="00063CBA"/>
    <w:rsid w:val="000668AF"/>
    <w:rsid w:val="000701FC"/>
    <w:rsid w:val="00070E95"/>
    <w:rsid w:val="00071E6A"/>
    <w:rsid w:val="00074628"/>
    <w:rsid w:val="0007615C"/>
    <w:rsid w:val="00077638"/>
    <w:rsid w:val="000805C8"/>
    <w:rsid w:val="00084636"/>
    <w:rsid w:val="000877E5"/>
    <w:rsid w:val="00087EAE"/>
    <w:rsid w:val="0009102D"/>
    <w:rsid w:val="00091A25"/>
    <w:rsid w:val="000928E9"/>
    <w:rsid w:val="00093909"/>
    <w:rsid w:val="00094D27"/>
    <w:rsid w:val="0009798B"/>
    <w:rsid w:val="000A1566"/>
    <w:rsid w:val="000A3236"/>
    <w:rsid w:val="000B0226"/>
    <w:rsid w:val="000B236A"/>
    <w:rsid w:val="000C066D"/>
    <w:rsid w:val="000C16C0"/>
    <w:rsid w:val="000C5A44"/>
    <w:rsid w:val="000C6058"/>
    <w:rsid w:val="000C7AB0"/>
    <w:rsid w:val="000C7E52"/>
    <w:rsid w:val="000D2B8A"/>
    <w:rsid w:val="000D4DCA"/>
    <w:rsid w:val="000D718B"/>
    <w:rsid w:val="000E01B4"/>
    <w:rsid w:val="000E13CF"/>
    <w:rsid w:val="000E4913"/>
    <w:rsid w:val="000F08D0"/>
    <w:rsid w:val="000F0B6C"/>
    <w:rsid w:val="000F197A"/>
    <w:rsid w:val="000F29A7"/>
    <w:rsid w:val="000F61FB"/>
    <w:rsid w:val="000F6280"/>
    <w:rsid w:val="000F7453"/>
    <w:rsid w:val="0010302B"/>
    <w:rsid w:val="001077DE"/>
    <w:rsid w:val="0011186D"/>
    <w:rsid w:val="00111940"/>
    <w:rsid w:val="00111A81"/>
    <w:rsid w:val="001124F4"/>
    <w:rsid w:val="001166CC"/>
    <w:rsid w:val="0012321E"/>
    <w:rsid w:val="00124BC3"/>
    <w:rsid w:val="00130AE0"/>
    <w:rsid w:val="00131CC8"/>
    <w:rsid w:val="00132769"/>
    <w:rsid w:val="00142437"/>
    <w:rsid w:val="00143790"/>
    <w:rsid w:val="00147A0D"/>
    <w:rsid w:val="00147BA4"/>
    <w:rsid w:val="00151287"/>
    <w:rsid w:val="0015241B"/>
    <w:rsid w:val="0015677D"/>
    <w:rsid w:val="00157822"/>
    <w:rsid w:val="001624C4"/>
    <w:rsid w:val="001710A5"/>
    <w:rsid w:val="00171A30"/>
    <w:rsid w:val="001748ED"/>
    <w:rsid w:val="00174D8C"/>
    <w:rsid w:val="0018109E"/>
    <w:rsid w:val="00182053"/>
    <w:rsid w:val="00182D8C"/>
    <w:rsid w:val="00187A6C"/>
    <w:rsid w:val="00196511"/>
    <w:rsid w:val="00197ECF"/>
    <w:rsid w:val="001A35BB"/>
    <w:rsid w:val="001A58BA"/>
    <w:rsid w:val="001B036E"/>
    <w:rsid w:val="001B208B"/>
    <w:rsid w:val="001B424E"/>
    <w:rsid w:val="001B4B60"/>
    <w:rsid w:val="001C1FA4"/>
    <w:rsid w:val="001D0C34"/>
    <w:rsid w:val="001D1CB1"/>
    <w:rsid w:val="001D2E9A"/>
    <w:rsid w:val="001D2F99"/>
    <w:rsid w:val="001D394A"/>
    <w:rsid w:val="001D47FE"/>
    <w:rsid w:val="001D59D6"/>
    <w:rsid w:val="001F19F3"/>
    <w:rsid w:val="001F426E"/>
    <w:rsid w:val="001F5053"/>
    <w:rsid w:val="001F631F"/>
    <w:rsid w:val="001F739E"/>
    <w:rsid w:val="00202480"/>
    <w:rsid w:val="00202E15"/>
    <w:rsid w:val="0020519E"/>
    <w:rsid w:val="00210EDE"/>
    <w:rsid w:val="00211367"/>
    <w:rsid w:val="002154D7"/>
    <w:rsid w:val="0021748F"/>
    <w:rsid w:val="002203C8"/>
    <w:rsid w:val="002212FB"/>
    <w:rsid w:val="0022160E"/>
    <w:rsid w:val="00226E0F"/>
    <w:rsid w:val="00227100"/>
    <w:rsid w:val="00227D8C"/>
    <w:rsid w:val="00230768"/>
    <w:rsid w:val="0023388E"/>
    <w:rsid w:val="002350D7"/>
    <w:rsid w:val="00241644"/>
    <w:rsid w:val="00250963"/>
    <w:rsid w:val="00255FA1"/>
    <w:rsid w:val="00256673"/>
    <w:rsid w:val="00264BEA"/>
    <w:rsid w:val="00264FFB"/>
    <w:rsid w:val="0026752E"/>
    <w:rsid w:val="00271A68"/>
    <w:rsid w:val="00274477"/>
    <w:rsid w:val="002759D4"/>
    <w:rsid w:val="00275C4B"/>
    <w:rsid w:val="00276CF3"/>
    <w:rsid w:val="002818D9"/>
    <w:rsid w:val="00281BB9"/>
    <w:rsid w:val="00282651"/>
    <w:rsid w:val="00283C24"/>
    <w:rsid w:val="002905E1"/>
    <w:rsid w:val="00290A0D"/>
    <w:rsid w:val="00290C9C"/>
    <w:rsid w:val="00291A8D"/>
    <w:rsid w:val="0029203A"/>
    <w:rsid w:val="00293D76"/>
    <w:rsid w:val="00295B7A"/>
    <w:rsid w:val="00297C77"/>
    <w:rsid w:val="002A6534"/>
    <w:rsid w:val="002B1848"/>
    <w:rsid w:val="002B2F24"/>
    <w:rsid w:val="002B322F"/>
    <w:rsid w:val="002B3E41"/>
    <w:rsid w:val="002B40A0"/>
    <w:rsid w:val="002B62F9"/>
    <w:rsid w:val="002C1073"/>
    <w:rsid w:val="002C1604"/>
    <w:rsid w:val="002C4718"/>
    <w:rsid w:val="002C6095"/>
    <w:rsid w:val="002C75B7"/>
    <w:rsid w:val="002D123C"/>
    <w:rsid w:val="002D3476"/>
    <w:rsid w:val="002E1A19"/>
    <w:rsid w:val="002E2440"/>
    <w:rsid w:val="002E312B"/>
    <w:rsid w:val="002E3225"/>
    <w:rsid w:val="002E4C43"/>
    <w:rsid w:val="002E5EC8"/>
    <w:rsid w:val="002E6CD2"/>
    <w:rsid w:val="002E71EB"/>
    <w:rsid w:val="002F12FA"/>
    <w:rsid w:val="002F2CF7"/>
    <w:rsid w:val="002F4843"/>
    <w:rsid w:val="002F4A68"/>
    <w:rsid w:val="00301D90"/>
    <w:rsid w:val="00302473"/>
    <w:rsid w:val="00303A30"/>
    <w:rsid w:val="00306525"/>
    <w:rsid w:val="00310884"/>
    <w:rsid w:val="00310B4A"/>
    <w:rsid w:val="00316D5C"/>
    <w:rsid w:val="0031776D"/>
    <w:rsid w:val="00320A70"/>
    <w:rsid w:val="00321332"/>
    <w:rsid w:val="00321D05"/>
    <w:rsid w:val="003240C9"/>
    <w:rsid w:val="003256CE"/>
    <w:rsid w:val="003302E3"/>
    <w:rsid w:val="00331575"/>
    <w:rsid w:val="00332497"/>
    <w:rsid w:val="0034260D"/>
    <w:rsid w:val="00342DBB"/>
    <w:rsid w:val="0034443F"/>
    <w:rsid w:val="00345C1D"/>
    <w:rsid w:val="00346D6A"/>
    <w:rsid w:val="003509AA"/>
    <w:rsid w:val="0035200C"/>
    <w:rsid w:val="003540D8"/>
    <w:rsid w:val="00357641"/>
    <w:rsid w:val="003613F0"/>
    <w:rsid w:val="00362062"/>
    <w:rsid w:val="00366314"/>
    <w:rsid w:val="00366C5C"/>
    <w:rsid w:val="003708F2"/>
    <w:rsid w:val="00385259"/>
    <w:rsid w:val="0038532E"/>
    <w:rsid w:val="00392BD6"/>
    <w:rsid w:val="0039400C"/>
    <w:rsid w:val="003962D8"/>
    <w:rsid w:val="003A3E50"/>
    <w:rsid w:val="003A4EC3"/>
    <w:rsid w:val="003A7308"/>
    <w:rsid w:val="003A7C84"/>
    <w:rsid w:val="003B20FB"/>
    <w:rsid w:val="003B5E6F"/>
    <w:rsid w:val="003B6DCA"/>
    <w:rsid w:val="003B7970"/>
    <w:rsid w:val="003C1B66"/>
    <w:rsid w:val="003C4276"/>
    <w:rsid w:val="003C7D67"/>
    <w:rsid w:val="003D3422"/>
    <w:rsid w:val="003D4E24"/>
    <w:rsid w:val="003D5690"/>
    <w:rsid w:val="003D5A19"/>
    <w:rsid w:val="003D5CFF"/>
    <w:rsid w:val="003E2133"/>
    <w:rsid w:val="003E244E"/>
    <w:rsid w:val="003E2C5C"/>
    <w:rsid w:val="003F7390"/>
    <w:rsid w:val="003F7492"/>
    <w:rsid w:val="00405876"/>
    <w:rsid w:val="004104D4"/>
    <w:rsid w:val="004105E1"/>
    <w:rsid w:val="00415084"/>
    <w:rsid w:val="00420EFC"/>
    <w:rsid w:val="004217B3"/>
    <w:rsid w:val="004220A2"/>
    <w:rsid w:val="00422902"/>
    <w:rsid w:val="00426605"/>
    <w:rsid w:val="00430A81"/>
    <w:rsid w:val="00431D9B"/>
    <w:rsid w:val="00433DEC"/>
    <w:rsid w:val="0043661F"/>
    <w:rsid w:val="00443DE5"/>
    <w:rsid w:val="00444110"/>
    <w:rsid w:val="00452201"/>
    <w:rsid w:val="00452637"/>
    <w:rsid w:val="00460EAA"/>
    <w:rsid w:val="004615C5"/>
    <w:rsid w:val="00463C5C"/>
    <w:rsid w:val="00465180"/>
    <w:rsid w:val="00465802"/>
    <w:rsid w:val="00467DDB"/>
    <w:rsid w:val="0047190A"/>
    <w:rsid w:val="0047218B"/>
    <w:rsid w:val="00474CAA"/>
    <w:rsid w:val="004767A5"/>
    <w:rsid w:val="004820F2"/>
    <w:rsid w:val="0048549C"/>
    <w:rsid w:val="00490AB6"/>
    <w:rsid w:val="004914EA"/>
    <w:rsid w:val="004915DC"/>
    <w:rsid w:val="004915ED"/>
    <w:rsid w:val="00491A7D"/>
    <w:rsid w:val="004927B9"/>
    <w:rsid w:val="004964FF"/>
    <w:rsid w:val="00497645"/>
    <w:rsid w:val="004B0CE3"/>
    <w:rsid w:val="004B30C0"/>
    <w:rsid w:val="004B3E83"/>
    <w:rsid w:val="004B48A8"/>
    <w:rsid w:val="004B4B3B"/>
    <w:rsid w:val="004B7FD0"/>
    <w:rsid w:val="004C1A93"/>
    <w:rsid w:val="004C1AA9"/>
    <w:rsid w:val="004C5F4C"/>
    <w:rsid w:val="004C6169"/>
    <w:rsid w:val="004D1595"/>
    <w:rsid w:val="004D2726"/>
    <w:rsid w:val="004D33F5"/>
    <w:rsid w:val="004D44E4"/>
    <w:rsid w:val="004D4FA3"/>
    <w:rsid w:val="004D59CA"/>
    <w:rsid w:val="004D5A00"/>
    <w:rsid w:val="004D704A"/>
    <w:rsid w:val="004E3240"/>
    <w:rsid w:val="004E3BC1"/>
    <w:rsid w:val="004E6D4B"/>
    <w:rsid w:val="004E7F72"/>
    <w:rsid w:val="004E7FD7"/>
    <w:rsid w:val="004F05DA"/>
    <w:rsid w:val="004F399D"/>
    <w:rsid w:val="004F520F"/>
    <w:rsid w:val="00500EE9"/>
    <w:rsid w:val="00501F40"/>
    <w:rsid w:val="00503711"/>
    <w:rsid w:val="005048E9"/>
    <w:rsid w:val="0050678C"/>
    <w:rsid w:val="00507048"/>
    <w:rsid w:val="0051276A"/>
    <w:rsid w:val="00513B09"/>
    <w:rsid w:val="00516803"/>
    <w:rsid w:val="00517F3E"/>
    <w:rsid w:val="00520D4E"/>
    <w:rsid w:val="00521818"/>
    <w:rsid w:val="00522275"/>
    <w:rsid w:val="005241CA"/>
    <w:rsid w:val="005274D0"/>
    <w:rsid w:val="00527ED5"/>
    <w:rsid w:val="0053306A"/>
    <w:rsid w:val="00537EA4"/>
    <w:rsid w:val="00545294"/>
    <w:rsid w:val="00545B0D"/>
    <w:rsid w:val="00545FE6"/>
    <w:rsid w:val="00552CB1"/>
    <w:rsid w:val="0055725D"/>
    <w:rsid w:val="00560198"/>
    <w:rsid w:val="00564BF3"/>
    <w:rsid w:val="00565783"/>
    <w:rsid w:val="0056638E"/>
    <w:rsid w:val="0056658A"/>
    <w:rsid w:val="0057086B"/>
    <w:rsid w:val="00570905"/>
    <w:rsid w:val="00572529"/>
    <w:rsid w:val="005757A0"/>
    <w:rsid w:val="005765FC"/>
    <w:rsid w:val="0058139C"/>
    <w:rsid w:val="00583880"/>
    <w:rsid w:val="00584A9A"/>
    <w:rsid w:val="00584CA7"/>
    <w:rsid w:val="005949DB"/>
    <w:rsid w:val="005A64FC"/>
    <w:rsid w:val="005A6B5B"/>
    <w:rsid w:val="005B45BD"/>
    <w:rsid w:val="005C0257"/>
    <w:rsid w:val="005C3C4A"/>
    <w:rsid w:val="005C4EA1"/>
    <w:rsid w:val="005D0B01"/>
    <w:rsid w:val="005D197D"/>
    <w:rsid w:val="005D2196"/>
    <w:rsid w:val="005D2D45"/>
    <w:rsid w:val="005D5BB6"/>
    <w:rsid w:val="005E2105"/>
    <w:rsid w:val="005E3E84"/>
    <w:rsid w:val="005E4A86"/>
    <w:rsid w:val="005E5A74"/>
    <w:rsid w:val="005E619A"/>
    <w:rsid w:val="005E7C58"/>
    <w:rsid w:val="005F5572"/>
    <w:rsid w:val="006167C0"/>
    <w:rsid w:val="00622835"/>
    <w:rsid w:val="006329BA"/>
    <w:rsid w:val="0064613E"/>
    <w:rsid w:val="0064654C"/>
    <w:rsid w:val="00646E2F"/>
    <w:rsid w:val="00651120"/>
    <w:rsid w:val="00653288"/>
    <w:rsid w:val="00653868"/>
    <w:rsid w:val="00661FE8"/>
    <w:rsid w:val="006623B0"/>
    <w:rsid w:val="006631C8"/>
    <w:rsid w:val="00665446"/>
    <w:rsid w:val="00666779"/>
    <w:rsid w:val="00670E24"/>
    <w:rsid w:val="00671458"/>
    <w:rsid w:val="00671643"/>
    <w:rsid w:val="0067190C"/>
    <w:rsid w:val="00675EF7"/>
    <w:rsid w:val="0068108C"/>
    <w:rsid w:val="00682DAB"/>
    <w:rsid w:val="0068318F"/>
    <w:rsid w:val="00684BD7"/>
    <w:rsid w:val="0068740A"/>
    <w:rsid w:val="006876A9"/>
    <w:rsid w:val="00690D0F"/>
    <w:rsid w:val="006920D4"/>
    <w:rsid w:val="0069245E"/>
    <w:rsid w:val="006A5E39"/>
    <w:rsid w:val="006B0296"/>
    <w:rsid w:val="006B15D2"/>
    <w:rsid w:val="006B2924"/>
    <w:rsid w:val="006B46F8"/>
    <w:rsid w:val="006B4F75"/>
    <w:rsid w:val="006B53EF"/>
    <w:rsid w:val="006C0520"/>
    <w:rsid w:val="006C05B5"/>
    <w:rsid w:val="006C24FF"/>
    <w:rsid w:val="006C6911"/>
    <w:rsid w:val="006C769E"/>
    <w:rsid w:val="006D0CFC"/>
    <w:rsid w:val="006D47D8"/>
    <w:rsid w:val="006D4AD5"/>
    <w:rsid w:val="006D60A8"/>
    <w:rsid w:val="006D7C85"/>
    <w:rsid w:val="006E06E9"/>
    <w:rsid w:val="006E4078"/>
    <w:rsid w:val="006E6E3A"/>
    <w:rsid w:val="006E7BDD"/>
    <w:rsid w:val="006F4970"/>
    <w:rsid w:val="00700783"/>
    <w:rsid w:val="0070502E"/>
    <w:rsid w:val="00710C1A"/>
    <w:rsid w:val="007151C7"/>
    <w:rsid w:val="00717D15"/>
    <w:rsid w:val="00717FB0"/>
    <w:rsid w:val="007217DA"/>
    <w:rsid w:val="00722A6E"/>
    <w:rsid w:val="00722ECE"/>
    <w:rsid w:val="00723958"/>
    <w:rsid w:val="00734A4D"/>
    <w:rsid w:val="00736489"/>
    <w:rsid w:val="007409A0"/>
    <w:rsid w:val="007454C1"/>
    <w:rsid w:val="00754DDB"/>
    <w:rsid w:val="00756971"/>
    <w:rsid w:val="00757041"/>
    <w:rsid w:val="0075738F"/>
    <w:rsid w:val="00760830"/>
    <w:rsid w:val="00767818"/>
    <w:rsid w:val="007724C3"/>
    <w:rsid w:val="00776E82"/>
    <w:rsid w:val="00783073"/>
    <w:rsid w:val="00783DA9"/>
    <w:rsid w:val="00790DED"/>
    <w:rsid w:val="00792112"/>
    <w:rsid w:val="0079376E"/>
    <w:rsid w:val="00795F77"/>
    <w:rsid w:val="00796275"/>
    <w:rsid w:val="007977DB"/>
    <w:rsid w:val="007A1654"/>
    <w:rsid w:val="007A2E38"/>
    <w:rsid w:val="007A3199"/>
    <w:rsid w:val="007A4D28"/>
    <w:rsid w:val="007B0241"/>
    <w:rsid w:val="007B09B7"/>
    <w:rsid w:val="007B38D5"/>
    <w:rsid w:val="007B4916"/>
    <w:rsid w:val="007B5C0C"/>
    <w:rsid w:val="007B65A5"/>
    <w:rsid w:val="007B72F7"/>
    <w:rsid w:val="007C22CA"/>
    <w:rsid w:val="007C485D"/>
    <w:rsid w:val="007C4BF4"/>
    <w:rsid w:val="007C6335"/>
    <w:rsid w:val="007C6BB6"/>
    <w:rsid w:val="007C7334"/>
    <w:rsid w:val="007C7982"/>
    <w:rsid w:val="007C7A75"/>
    <w:rsid w:val="007D1CA7"/>
    <w:rsid w:val="007D3011"/>
    <w:rsid w:val="007D3306"/>
    <w:rsid w:val="007D3D79"/>
    <w:rsid w:val="007D7271"/>
    <w:rsid w:val="007D759D"/>
    <w:rsid w:val="007D7611"/>
    <w:rsid w:val="007E45B3"/>
    <w:rsid w:val="007E582F"/>
    <w:rsid w:val="007E5ACA"/>
    <w:rsid w:val="007F5014"/>
    <w:rsid w:val="007F6A13"/>
    <w:rsid w:val="00801C54"/>
    <w:rsid w:val="0080431B"/>
    <w:rsid w:val="0080672E"/>
    <w:rsid w:val="00810E46"/>
    <w:rsid w:val="00813A19"/>
    <w:rsid w:val="008156A9"/>
    <w:rsid w:val="00824655"/>
    <w:rsid w:val="0083008E"/>
    <w:rsid w:val="00830295"/>
    <w:rsid w:val="00832390"/>
    <w:rsid w:val="00834CB9"/>
    <w:rsid w:val="008364DC"/>
    <w:rsid w:val="0084012C"/>
    <w:rsid w:val="00842400"/>
    <w:rsid w:val="008469D6"/>
    <w:rsid w:val="00847117"/>
    <w:rsid w:val="00847BEF"/>
    <w:rsid w:val="00853B03"/>
    <w:rsid w:val="00856D62"/>
    <w:rsid w:val="00861524"/>
    <w:rsid w:val="008619A2"/>
    <w:rsid w:val="008641E9"/>
    <w:rsid w:val="00864C50"/>
    <w:rsid w:val="008655E8"/>
    <w:rsid w:val="00866A9C"/>
    <w:rsid w:val="00871D36"/>
    <w:rsid w:val="00875F65"/>
    <w:rsid w:val="0088023A"/>
    <w:rsid w:val="008907A2"/>
    <w:rsid w:val="0089089D"/>
    <w:rsid w:val="00892CE4"/>
    <w:rsid w:val="0089398A"/>
    <w:rsid w:val="00897877"/>
    <w:rsid w:val="008A509B"/>
    <w:rsid w:val="008A7831"/>
    <w:rsid w:val="008B00D9"/>
    <w:rsid w:val="008B2918"/>
    <w:rsid w:val="008C29A4"/>
    <w:rsid w:val="008C3081"/>
    <w:rsid w:val="008D3621"/>
    <w:rsid w:val="008D61AE"/>
    <w:rsid w:val="008E0767"/>
    <w:rsid w:val="008E08BE"/>
    <w:rsid w:val="008E248F"/>
    <w:rsid w:val="008E432B"/>
    <w:rsid w:val="008E7AEE"/>
    <w:rsid w:val="008F4903"/>
    <w:rsid w:val="008F51C8"/>
    <w:rsid w:val="008F5577"/>
    <w:rsid w:val="009002D1"/>
    <w:rsid w:val="0090092E"/>
    <w:rsid w:val="0090164F"/>
    <w:rsid w:val="00903AF2"/>
    <w:rsid w:val="0090412B"/>
    <w:rsid w:val="00913557"/>
    <w:rsid w:val="0091464B"/>
    <w:rsid w:val="009231A0"/>
    <w:rsid w:val="00924025"/>
    <w:rsid w:val="009243B2"/>
    <w:rsid w:val="00925554"/>
    <w:rsid w:val="00925C5B"/>
    <w:rsid w:val="0093020F"/>
    <w:rsid w:val="00932525"/>
    <w:rsid w:val="009342E3"/>
    <w:rsid w:val="009353B8"/>
    <w:rsid w:val="00944A25"/>
    <w:rsid w:val="009450F9"/>
    <w:rsid w:val="00951326"/>
    <w:rsid w:val="0095619D"/>
    <w:rsid w:val="00956C38"/>
    <w:rsid w:val="00960CA0"/>
    <w:rsid w:val="00964582"/>
    <w:rsid w:val="009650E0"/>
    <w:rsid w:val="00966192"/>
    <w:rsid w:val="009727F7"/>
    <w:rsid w:val="009732FE"/>
    <w:rsid w:val="009740A2"/>
    <w:rsid w:val="009772BB"/>
    <w:rsid w:val="009778FF"/>
    <w:rsid w:val="00983AA1"/>
    <w:rsid w:val="00987BF9"/>
    <w:rsid w:val="00992E40"/>
    <w:rsid w:val="00993DBE"/>
    <w:rsid w:val="009957E7"/>
    <w:rsid w:val="00996A09"/>
    <w:rsid w:val="00997C26"/>
    <w:rsid w:val="009A5FC6"/>
    <w:rsid w:val="009B1536"/>
    <w:rsid w:val="009B36FC"/>
    <w:rsid w:val="009B4C9C"/>
    <w:rsid w:val="009B4D8E"/>
    <w:rsid w:val="009B599D"/>
    <w:rsid w:val="009B71DF"/>
    <w:rsid w:val="009C070C"/>
    <w:rsid w:val="009C54EF"/>
    <w:rsid w:val="009C65BB"/>
    <w:rsid w:val="009C6C93"/>
    <w:rsid w:val="009D0438"/>
    <w:rsid w:val="009D13DC"/>
    <w:rsid w:val="009D170D"/>
    <w:rsid w:val="009D2434"/>
    <w:rsid w:val="009D3E6F"/>
    <w:rsid w:val="009D64F5"/>
    <w:rsid w:val="009E313A"/>
    <w:rsid w:val="009E7C8F"/>
    <w:rsid w:val="009F3FDC"/>
    <w:rsid w:val="009F530E"/>
    <w:rsid w:val="00A02097"/>
    <w:rsid w:val="00A0368D"/>
    <w:rsid w:val="00A05A38"/>
    <w:rsid w:val="00A06563"/>
    <w:rsid w:val="00A14215"/>
    <w:rsid w:val="00A15766"/>
    <w:rsid w:val="00A157A4"/>
    <w:rsid w:val="00A15DD5"/>
    <w:rsid w:val="00A16700"/>
    <w:rsid w:val="00A17C01"/>
    <w:rsid w:val="00A34427"/>
    <w:rsid w:val="00A40435"/>
    <w:rsid w:val="00A40CE2"/>
    <w:rsid w:val="00A43BEF"/>
    <w:rsid w:val="00A47D16"/>
    <w:rsid w:val="00A5480D"/>
    <w:rsid w:val="00A568CA"/>
    <w:rsid w:val="00A604FD"/>
    <w:rsid w:val="00A608C6"/>
    <w:rsid w:val="00A6333F"/>
    <w:rsid w:val="00A7018D"/>
    <w:rsid w:val="00A74469"/>
    <w:rsid w:val="00A74B0B"/>
    <w:rsid w:val="00A750B7"/>
    <w:rsid w:val="00A76250"/>
    <w:rsid w:val="00A76BEB"/>
    <w:rsid w:val="00A84125"/>
    <w:rsid w:val="00A9373F"/>
    <w:rsid w:val="00A963F0"/>
    <w:rsid w:val="00A973F6"/>
    <w:rsid w:val="00AA4EE7"/>
    <w:rsid w:val="00AA69F3"/>
    <w:rsid w:val="00AB1485"/>
    <w:rsid w:val="00AB2BE8"/>
    <w:rsid w:val="00AB4399"/>
    <w:rsid w:val="00AB49E5"/>
    <w:rsid w:val="00AB6284"/>
    <w:rsid w:val="00AB7707"/>
    <w:rsid w:val="00AC2B74"/>
    <w:rsid w:val="00AC66DF"/>
    <w:rsid w:val="00AC75A6"/>
    <w:rsid w:val="00AC7EF9"/>
    <w:rsid w:val="00AD2129"/>
    <w:rsid w:val="00AD3040"/>
    <w:rsid w:val="00AD6CFD"/>
    <w:rsid w:val="00AE29E2"/>
    <w:rsid w:val="00AF3207"/>
    <w:rsid w:val="00AF3859"/>
    <w:rsid w:val="00AF4657"/>
    <w:rsid w:val="00AF53BC"/>
    <w:rsid w:val="00B000CD"/>
    <w:rsid w:val="00B01288"/>
    <w:rsid w:val="00B021FB"/>
    <w:rsid w:val="00B04762"/>
    <w:rsid w:val="00B05F75"/>
    <w:rsid w:val="00B071AD"/>
    <w:rsid w:val="00B100CC"/>
    <w:rsid w:val="00B10ABB"/>
    <w:rsid w:val="00B13BAD"/>
    <w:rsid w:val="00B13CEF"/>
    <w:rsid w:val="00B1455E"/>
    <w:rsid w:val="00B14DB5"/>
    <w:rsid w:val="00B156AF"/>
    <w:rsid w:val="00B16CEC"/>
    <w:rsid w:val="00B21300"/>
    <w:rsid w:val="00B228B9"/>
    <w:rsid w:val="00B22FDF"/>
    <w:rsid w:val="00B23CFD"/>
    <w:rsid w:val="00B30160"/>
    <w:rsid w:val="00B368A6"/>
    <w:rsid w:val="00B3792C"/>
    <w:rsid w:val="00B379D3"/>
    <w:rsid w:val="00B40F5E"/>
    <w:rsid w:val="00B42290"/>
    <w:rsid w:val="00B47D87"/>
    <w:rsid w:val="00B50DFC"/>
    <w:rsid w:val="00B53883"/>
    <w:rsid w:val="00B53B8D"/>
    <w:rsid w:val="00B55293"/>
    <w:rsid w:val="00B55F0D"/>
    <w:rsid w:val="00B571F1"/>
    <w:rsid w:val="00B57B36"/>
    <w:rsid w:val="00B6171E"/>
    <w:rsid w:val="00B62399"/>
    <w:rsid w:val="00B650E1"/>
    <w:rsid w:val="00B67BBE"/>
    <w:rsid w:val="00B70816"/>
    <w:rsid w:val="00B82185"/>
    <w:rsid w:val="00B84CB5"/>
    <w:rsid w:val="00B85D82"/>
    <w:rsid w:val="00B86818"/>
    <w:rsid w:val="00B92434"/>
    <w:rsid w:val="00B926BF"/>
    <w:rsid w:val="00B93BA2"/>
    <w:rsid w:val="00B94F15"/>
    <w:rsid w:val="00B960A6"/>
    <w:rsid w:val="00B968E8"/>
    <w:rsid w:val="00BA25AB"/>
    <w:rsid w:val="00BA3DAB"/>
    <w:rsid w:val="00BA7590"/>
    <w:rsid w:val="00BB2934"/>
    <w:rsid w:val="00BB67B5"/>
    <w:rsid w:val="00BB6BF1"/>
    <w:rsid w:val="00BB7F1C"/>
    <w:rsid w:val="00BC2646"/>
    <w:rsid w:val="00BC4B15"/>
    <w:rsid w:val="00BD04A2"/>
    <w:rsid w:val="00BD56FB"/>
    <w:rsid w:val="00BD7376"/>
    <w:rsid w:val="00BE047E"/>
    <w:rsid w:val="00BE1F82"/>
    <w:rsid w:val="00BE5CDB"/>
    <w:rsid w:val="00BF1568"/>
    <w:rsid w:val="00BF5557"/>
    <w:rsid w:val="00BF7420"/>
    <w:rsid w:val="00BF792D"/>
    <w:rsid w:val="00C007B9"/>
    <w:rsid w:val="00C022FB"/>
    <w:rsid w:val="00C061F8"/>
    <w:rsid w:val="00C07CFB"/>
    <w:rsid w:val="00C1383D"/>
    <w:rsid w:val="00C24BE4"/>
    <w:rsid w:val="00C24F9E"/>
    <w:rsid w:val="00C275D1"/>
    <w:rsid w:val="00C3331E"/>
    <w:rsid w:val="00C343D4"/>
    <w:rsid w:val="00C34FAF"/>
    <w:rsid w:val="00C352CF"/>
    <w:rsid w:val="00C373E1"/>
    <w:rsid w:val="00C4056D"/>
    <w:rsid w:val="00C40EB7"/>
    <w:rsid w:val="00C42206"/>
    <w:rsid w:val="00C44670"/>
    <w:rsid w:val="00C45E55"/>
    <w:rsid w:val="00C55C56"/>
    <w:rsid w:val="00C60CEB"/>
    <w:rsid w:val="00C6128C"/>
    <w:rsid w:val="00C62DB3"/>
    <w:rsid w:val="00C64B67"/>
    <w:rsid w:val="00C7789A"/>
    <w:rsid w:val="00C83097"/>
    <w:rsid w:val="00C8351F"/>
    <w:rsid w:val="00C83AD9"/>
    <w:rsid w:val="00C84318"/>
    <w:rsid w:val="00C84C4C"/>
    <w:rsid w:val="00C94094"/>
    <w:rsid w:val="00CA01C9"/>
    <w:rsid w:val="00CA1898"/>
    <w:rsid w:val="00CA301B"/>
    <w:rsid w:val="00CA5F79"/>
    <w:rsid w:val="00CA62B3"/>
    <w:rsid w:val="00CA747D"/>
    <w:rsid w:val="00CB3501"/>
    <w:rsid w:val="00CB756C"/>
    <w:rsid w:val="00CC3153"/>
    <w:rsid w:val="00CC3585"/>
    <w:rsid w:val="00CC38E5"/>
    <w:rsid w:val="00CC73F9"/>
    <w:rsid w:val="00CD04A4"/>
    <w:rsid w:val="00CD28F6"/>
    <w:rsid w:val="00CD6873"/>
    <w:rsid w:val="00CE4358"/>
    <w:rsid w:val="00CE69B5"/>
    <w:rsid w:val="00CF6A36"/>
    <w:rsid w:val="00CF7333"/>
    <w:rsid w:val="00D0693B"/>
    <w:rsid w:val="00D12946"/>
    <w:rsid w:val="00D12FE7"/>
    <w:rsid w:val="00D159C3"/>
    <w:rsid w:val="00D211FF"/>
    <w:rsid w:val="00D217D2"/>
    <w:rsid w:val="00D21C61"/>
    <w:rsid w:val="00D22312"/>
    <w:rsid w:val="00D26211"/>
    <w:rsid w:val="00D272D8"/>
    <w:rsid w:val="00D3232B"/>
    <w:rsid w:val="00D3544B"/>
    <w:rsid w:val="00D414E9"/>
    <w:rsid w:val="00D41661"/>
    <w:rsid w:val="00D42128"/>
    <w:rsid w:val="00D43BD3"/>
    <w:rsid w:val="00D470B5"/>
    <w:rsid w:val="00D472F7"/>
    <w:rsid w:val="00D5226A"/>
    <w:rsid w:val="00D604B0"/>
    <w:rsid w:val="00D612A9"/>
    <w:rsid w:val="00D651AB"/>
    <w:rsid w:val="00D652EA"/>
    <w:rsid w:val="00D70341"/>
    <w:rsid w:val="00D7211A"/>
    <w:rsid w:val="00D734CA"/>
    <w:rsid w:val="00D73D1F"/>
    <w:rsid w:val="00D73FD1"/>
    <w:rsid w:val="00D75663"/>
    <w:rsid w:val="00D81C93"/>
    <w:rsid w:val="00D824D8"/>
    <w:rsid w:val="00D8270A"/>
    <w:rsid w:val="00D82C74"/>
    <w:rsid w:val="00D84F1E"/>
    <w:rsid w:val="00D85A47"/>
    <w:rsid w:val="00D9149E"/>
    <w:rsid w:val="00D92E62"/>
    <w:rsid w:val="00D9404F"/>
    <w:rsid w:val="00D965C9"/>
    <w:rsid w:val="00D96C53"/>
    <w:rsid w:val="00DA0B50"/>
    <w:rsid w:val="00DA3027"/>
    <w:rsid w:val="00DB3608"/>
    <w:rsid w:val="00DB4DB3"/>
    <w:rsid w:val="00DB5243"/>
    <w:rsid w:val="00DC148C"/>
    <w:rsid w:val="00DC1FF4"/>
    <w:rsid w:val="00DC2665"/>
    <w:rsid w:val="00DC4847"/>
    <w:rsid w:val="00DD2455"/>
    <w:rsid w:val="00DD7378"/>
    <w:rsid w:val="00DD7984"/>
    <w:rsid w:val="00DE0846"/>
    <w:rsid w:val="00DE0D7E"/>
    <w:rsid w:val="00DE21C6"/>
    <w:rsid w:val="00DE7524"/>
    <w:rsid w:val="00DF0E6E"/>
    <w:rsid w:val="00DF35E8"/>
    <w:rsid w:val="00DF37C9"/>
    <w:rsid w:val="00DF512D"/>
    <w:rsid w:val="00DF6003"/>
    <w:rsid w:val="00E01AE7"/>
    <w:rsid w:val="00E02438"/>
    <w:rsid w:val="00E027CB"/>
    <w:rsid w:val="00E04955"/>
    <w:rsid w:val="00E1142B"/>
    <w:rsid w:val="00E118B7"/>
    <w:rsid w:val="00E12590"/>
    <w:rsid w:val="00E138A2"/>
    <w:rsid w:val="00E15DE5"/>
    <w:rsid w:val="00E16701"/>
    <w:rsid w:val="00E17114"/>
    <w:rsid w:val="00E179E8"/>
    <w:rsid w:val="00E20050"/>
    <w:rsid w:val="00E214FD"/>
    <w:rsid w:val="00E22213"/>
    <w:rsid w:val="00E22291"/>
    <w:rsid w:val="00E2300D"/>
    <w:rsid w:val="00E27477"/>
    <w:rsid w:val="00E36296"/>
    <w:rsid w:val="00E37279"/>
    <w:rsid w:val="00E377D5"/>
    <w:rsid w:val="00E43585"/>
    <w:rsid w:val="00E44C9F"/>
    <w:rsid w:val="00E451EE"/>
    <w:rsid w:val="00E461B9"/>
    <w:rsid w:val="00E55953"/>
    <w:rsid w:val="00E572B2"/>
    <w:rsid w:val="00E572B3"/>
    <w:rsid w:val="00E60026"/>
    <w:rsid w:val="00E611F8"/>
    <w:rsid w:val="00E62CD5"/>
    <w:rsid w:val="00E6311C"/>
    <w:rsid w:val="00E727B9"/>
    <w:rsid w:val="00E752BD"/>
    <w:rsid w:val="00E820B2"/>
    <w:rsid w:val="00E868CE"/>
    <w:rsid w:val="00E87D78"/>
    <w:rsid w:val="00E917E3"/>
    <w:rsid w:val="00E91FC5"/>
    <w:rsid w:val="00E92EBE"/>
    <w:rsid w:val="00E935C3"/>
    <w:rsid w:val="00E93A49"/>
    <w:rsid w:val="00E93C2C"/>
    <w:rsid w:val="00E947A1"/>
    <w:rsid w:val="00E9614E"/>
    <w:rsid w:val="00EA4726"/>
    <w:rsid w:val="00EA61C2"/>
    <w:rsid w:val="00EA730A"/>
    <w:rsid w:val="00EB164C"/>
    <w:rsid w:val="00EB1ABF"/>
    <w:rsid w:val="00EB7B9E"/>
    <w:rsid w:val="00EC1428"/>
    <w:rsid w:val="00EC1645"/>
    <w:rsid w:val="00EC507E"/>
    <w:rsid w:val="00EC61CE"/>
    <w:rsid w:val="00ED19E4"/>
    <w:rsid w:val="00ED2FC1"/>
    <w:rsid w:val="00ED459E"/>
    <w:rsid w:val="00EE1639"/>
    <w:rsid w:val="00EF2F6A"/>
    <w:rsid w:val="00F00AE7"/>
    <w:rsid w:val="00F060C2"/>
    <w:rsid w:val="00F121B6"/>
    <w:rsid w:val="00F13C90"/>
    <w:rsid w:val="00F16B93"/>
    <w:rsid w:val="00F16E49"/>
    <w:rsid w:val="00F20F76"/>
    <w:rsid w:val="00F21082"/>
    <w:rsid w:val="00F27064"/>
    <w:rsid w:val="00F30314"/>
    <w:rsid w:val="00F31667"/>
    <w:rsid w:val="00F3255E"/>
    <w:rsid w:val="00F336D9"/>
    <w:rsid w:val="00F437F5"/>
    <w:rsid w:val="00F4733D"/>
    <w:rsid w:val="00F53E3D"/>
    <w:rsid w:val="00F569A6"/>
    <w:rsid w:val="00F57249"/>
    <w:rsid w:val="00F57E4C"/>
    <w:rsid w:val="00F6223E"/>
    <w:rsid w:val="00F633EE"/>
    <w:rsid w:val="00F63848"/>
    <w:rsid w:val="00F66DC5"/>
    <w:rsid w:val="00F718E6"/>
    <w:rsid w:val="00F71A5F"/>
    <w:rsid w:val="00F75C63"/>
    <w:rsid w:val="00F7650F"/>
    <w:rsid w:val="00F77664"/>
    <w:rsid w:val="00F7776D"/>
    <w:rsid w:val="00F8104E"/>
    <w:rsid w:val="00F81B7E"/>
    <w:rsid w:val="00F83910"/>
    <w:rsid w:val="00F83C11"/>
    <w:rsid w:val="00F872F0"/>
    <w:rsid w:val="00F873FB"/>
    <w:rsid w:val="00F905D9"/>
    <w:rsid w:val="00F91373"/>
    <w:rsid w:val="00F95C0F"/>
    <w:rsid w:val="00FA213F"/>
    <w:rsid w:val="00FA781C"/>
    <w:rsid w:val="00FB3865"/>
    <w:rsid w:val="00FB3C02"/>
    <w:rsid w:val="00FB7FB9"/>
    <w:rsid w:val="00FC1EC8"/>
    <w:rsid w:val="00FC30AC"/>
    <w:rsid w:val="00FC4A95"/>
    <w:rsid w:val="00FD0E97"/>
    <w:rsid w:val="00FD74E7"/>
    <w:rsid w:val="00FE0692"/>
    <w:rsid w:val="00FE4408"/>
    <w:rsid w:val="00FE64F5"/>
    <w:rsid w:val="00FF0618"/>
    <w:rsid w:val="00FF2378"/>
    <w:rsid w:val="00FF4004"/>
    <w:rsid w:val="00FF6580"/>
    <w:rsid w:val="015A5CF5"/>
    <w:rsid w:val="017E757F"/>
    <w:rsid w:val="01BC68C8"/>
    <w:rsid w:val="022174F4"/>
    <w:rsid w:val="029D217C"/>
    <w:rsid w:val="02A3760D"/>
    <w:rsid w:val="02C40969"/>
    <w:rsid w:val="03842DE7"/>
    <w:rsid w:val="03A62CE3"/>
    <w:rsid w:val="03CA6EF6"/>
    <w:rsid w:val="041B4084"/>
    <w:rsid w:val="04620C98"/>
    <w:rsid w:val="047B1F91"/>
    <w:rsid w:val="0569312B"/>
    <w:rsid w:val="05C96F74"/>
    <w:rsid w:val="05D667B2"/>
    <w:rsid w:val="0625506A"/>
    <w:rsid w:val="06563FCE"/>
    <w:rsid w:val="0670611D"/>
    <w:rsid w:val="0683792B"/>
    <w:rsid w:val="069140D4"/>
    <w:rsid w:val="06D647E8"/>
    <w:rsid w:val="075852F4"/>
    <w:rsid w:val="086F6275"/>
    <w:rsid w:val="087C6FA5"/>
    <w:rsid w:val="090713A8"/>
    <w:rsid w:val="0972418C"/>
    <w:rsid w:val="09DE4B40"/>
    <w:rsid w:val="09EA2CD4"/>
    <w:rsid w:val="0A141145"/>
    <w:rsid w:val="0A8E63AE"/>
    <w:rsid w:val="0ACB4877"/>
    <w:rsid w:val="0B4C2E06"/>
    <w:rsid w:val="0B8D7114"/>
    <w:rsid w:val="0BE3650F"/>
    <w:rsid w:val="0BE776F0"/>
    <w:rsid w:val="0BEB6B55"/>
    <w:rsid w:val="0C2273F5"/>
    <w:rsid w:val="0CD1548A"/>
    <w:rsid w:val="0CEA34BE"/>
    <w:rsid w:val="0D205F17"/>
    <w:rsid w:val="0DAD02E4"/>
    <w:rsid w:val="0DD40EBD"/>
    <w:rsid w:val="0E11679A"/>
    <w:rsid w:val="0EDD4E4C"/>
    <w:rsid w:val="0F1F6377"/>
    <w:rsid w:val="0F417446"/>
    <w:rsid w:val="0F5C53E6"/>
    <w:rsid w:val="0F696D55"/>
    <w:rsid w:val="0F7014AD"/>
    <w:rsid w:val="0F810AB2"/>
    <w:rsid w:val="0FAD4882"/>
    <w:rsid w:val="10407C64"/>
    <w:rsid w:val="106847C3"/>
    <w:rsid w:val="10AC74DD"/>
    <w:rsid w:val="10F555E2"/>
    <w:rsid w:val="112669D0"/>
    <w:rsid w:val="11543567"/>
    <w:rsid w:val="118D180D"/>
    <w:rsid w:val="11D20EBA"/>
    <w:rsid w:val="122670DE"/>
    <w:rsid w:val="12764506"/>
    <w:rsid w:val="128B3075"/>
    <w:rsid w:val="128C2210"/>
    <w:rsid w:val="12936308"/>
    <w:rsid w:val="1299105F"/>
    <w:rsid w:val="131555DD"/>
    <w:rsid w:val="133D21DB"/>
    <w:rsid w:val="1349141A"/>
    <w:rsid w:val="139B7983"/>
    <w:rsid w:val="13A43C0D"/>
    <w:rsid w:val="13B40768"/>
    <w:rsid w:val="13CA0FE7"/>
    <w:rsid w:val="142031CD"/>
    <w:rsid w:val="149411C1"/>
    <w:rsid w:val="15112E59"/>
    <w:rsid w:val="15462175"/>
    <w:rsid w:val="15737AE9"/>
    <w:rsid w:val="166A7A52"/>
    <w:rsid w:val="169623FD"/>
    <w:rsid w:val="16A02BC4"/>
    <w:rsid w:val="16AC4F61"/>
    <w:rsid w:val="16B3606D"/>
    <w:rsid w:val="17176A71"/>
    <w:rsid w:val="172E4D1D"/>
    <w:rsid w:val="17305654"/>
    <w:rsid w:val="17334565"/>
    <w:rsid w:val="173707A7"/>
    <w:rsid w:val="174D7C33"/>
    <w:rsid w:val="175B37E4"/>
    <w:rsid w:val="176D5A80"/>
    <w:rsid w:val="178772D7"/>
    <w:rsid w:val="18146217"/>
    <w:rsid w:val="18215304"/>
    <w:rsid w:val="183710C7"/>
    <w:rsid w:val="183C5539"/>
    <w:rsid w:val="18BB16A1"/>
    <w:rsid w:val="19050204"/>
    <w:rsid w:val="19332BB1"/>
    <w:rsid w:val="19372EE4"/>
    <w:rsid w:val="19436102"/>
    <w:rsid w:val="19B36621"/>
    <w:rsid w:val="19B634E4"/>
    <w:rsid w:val="19F5434F"/>
    <w:rsid w:val="1A2453EF"/>
    <w:rsid w:val="1A3A7593"/>
    <w:rsid w:val="1A6A5B64"/>
    <w:rsid w:val="1A6D6AE8"/>
    <w:rsid w:val="1ADE52DA"/>
    <w:rsid w:val="1B33302E"/>
    <w:rsid w:val="1BDA3260"/>
    <w:rsid w:val="1C2B7D43"/>
    <w:rsid w:val="1C563977"/>
    <w:rsid w:val="1CB47CD2"/>
    <w:rsid w:val="1CDB20E5"/>
    <w:rsid w:val="1D083EAE"/>
    <w:rsid w:val="1D237383"/>
    <w:rsid w:val="1D384CBF"/>
    <w:rsid w:val="1D8437F8"/>
    <w:rsid w:val="1DC53ABB"/>
    <w:rsid w:val="1DC57AE4"/>
    <w:rsid w:val="1DE1483C"/>
    <w:rsid w:val="1E112162"/>
    <w:rsid w:val="1E731A2B"/>
    <w:rsid w:val="1EEB78C7"/>
    <w:rsid w:val="1EF276FB"/>
    <w:rsid w:val="1F5171F9"/>
    <w:rsid w:val="1F5E4382"/>
    <w:rsid w:val="20311E05"/>
    <w:rsid w:val="2044388F"/>
    <w:rsid w:val="207C7220"/>
    <w:rsid w:val="20CB6B01"/>
    <w:rsid w:val="20F475F1"/>
    <w:rsid w:val="21263A30"/>
    <w:rsid w:val="21760275"/>
    <w:rsid w:val="222C49E3"/>
    <w:rsid w:val="22A93FFA"/>
    <w:rsid w:val="22D35FB3"/>
    <w:rsid w:val="232457F5"/>
    <w:rsid w:val="238115CF"/>
    <w:rsid w:val="23FD5603"/>
    <w:rsid w:val="24625933"/>
    <w:rsid w:val="2462696B"/>
    <w:rsid w:val="24CF4FC0"/>
    <w:rsid w:val="24E9569E"/>
    <w:rsid w:val="25552D08"/>
    <w:rsid w:val="25D14CF4"/>
    <w:rsid w:val="25F45CC6"/>
    <w:rsid w:val="26820398"/>
    <w:rsid w:val="268A53CF"/>
    <w:rsid w:val="26EC1FBB"/>
    <w:rsid w:val="275E476C"/>
    <w:rsid w:val="27E61803"/>
    <w:rsid w:val="28541E37"/>
    <w:rsid w:val="28AF6CCE"/>
    <w:rsid w:val="28F26D17"/>
    <w:rsid w:val="292532D4"/>
    <w:rsid w:val="298D1FAA"/>
    <w:rsid w:val="29941047"/>
    <w:rsid w:val="2A5218FD"/>
    <w:rsid w:val="2AE426A5"/>
    <w:rsid w:val="2B24371E"/>
    <w:rsid w:val="2B833DB5"/>
    <w:rsid w:val="2C4D1BB1"/>
    <w:rsid w:val="2D8901E6"/>
    <w:rsid w:val="2DA61CF4"/>
    <w:rsid w:val="2DC90D6E"/>
    <w:rsid w:val="2DF81ACA"/>
    <w:rsid w:val="2E3461D7"/>
    <w:rsid w:val="2E541736"/>
    <w:rsid w:val="2E680F9A"/>
    <w:rsid w:val="2E8C2B58"/>
    <w:rsid w:val="2F2A68B2"/>
    <w:rsid w:val="2F491BA5"/>
    <w:rsid w:val="2F857305"/>
    <w:rsid w:val="2F976C21"/>
    <w:rsid w:val="30820864"/>
    <w:rsid w:val="3085212D"/>
    <w:rsid w:val="30B91CA2"/>
    <w:rsid w:val="30F96868"/>
    <w:rsid w:val="31622A14"/>
    <w:rsid w:val="31DA54C2"/>
    <w:rsid w:val="326225B7"/>
    <w:rsid w:val="328175E9"/>
    <w:rsid w:val="329462BF"/>
    <w:rsid w:val="32F8632E"/>
    <w:rsid w:val="33F24171"/>
    <w:rsid w:val="33F6048D"/>
    <w:rsid w:val="34283211"/>
    <w:rsid w:val="34425E22"/>
    <w:rsid w:val="346D4150"/>
    <w:rsid w:val="34756B1F"/>
    <w:rsid w:val="35481386"/>
    <w:rsid w:val="35A120DA"/>
    <w:rsid w:val="362C1207"/>
    <w:rsid w:val="3683687F"/>
    <w:rsid w:val="368D123B"/>
    <w:rsid w:val="36EF2BEE"/>
    <w:rsid w:val="370B37D6"/>
    <w:rsid w:val="37915A99"/>
    <w:rsid w:val="37B30825"/>
    <w:rsid w:val="38641B56"/>
    <w:rsid w:val="38845FC5"/>
    <w:rsid w:val="3888244C"/>
    <w:rsid w:val="390D6387"/>
    <w:rsid w:val="397D76E1"/>
    <w:rsid w:val="39990B70"/>
    <w:rsid w:val="39B07D64"/>
    <w:rsid w:val="39B905C0"/>
    <w:rsid w:val="39BA69BB"/>
    <w:rsid w:val="3AA85749"/>
    <w:rsid w:val="3B4861CB"/>
    <w:rsid w:val="3B6567D9"/>
    <w:rsid w:val="3B717104"/>
    <w:rsid w:val="3B897EF1"/>
    <w:rsid w:val="3C2123AD"/>
    <w:rsid w:val="3C3042B3"/>
    <w:rsid w:val="3C8918A9"/>
    <w:rsid w:val="3C9654F5"/>
    <w:rsid w:val="3CD303CE"/>
    <w:rsid w:val="3D8F1791"/>
    <w:rsid w:val="3DB755CD"/>
    <w:rsid w:val="3DF930F4"/>
    <w:rsid w:val="3E147991"/>
    <w:rsid w:val="3E255742"/>
    <w:rsid w:val="3E903F17"/>
    <w:rsid w:val="3EFA6EDE"/>
    <w:rsid w:val="3EFB5AFD"/>
    <w:rsid w:val="3FDA7850"/>
    <w:rsid w:val="40043AA9"/>
    <w:rsid w:val="40075482"/>
    <w:rsid w:val="40C120CD"/>
    <w:rsid w:val="41151DFF"/>
    <w:rsid w:val="412A6279"/>
    <w:rsid w:val="41C51476"/>
    <w:rsid w:val="42824140"/>
    <w:rsid w:val="42A9416B"/>
    <w:rsid w:val="43A412E7"/>
    <w:rsid w:val="43BD07B0"/>
    <w:rsid w:val="43CD413A"/>
    <w:rsid w:val="43D56AEB"/>
    <w:rsid w:val="44302CEE"/>
    <w:rsid w:val="44314EEC"/>
    <w:rsid w:val="453043D3"/>
    <w:rsid w:val="45515A88"/>
    <w:rsid w:val="45917DB8"/>
    <w:rsid w:val="459C3244"/>
    <w:rsid w:val="45B878E4"/>
    <w:rsid w:val="464E4809"/>
    <w:rsid w:val="4651388E"/>
    <w:rsid w:val="46DB28CC"/>
    <w:rsid w:val="46DD1794"/>
    <w:rsid w:val="47327383"/>
    <w:rsid w:val="473D4EEF"/>
    <w:rsid w:val="479A5288"/>
    <w:rsid w:val="47B0504F"/>
    <w:rsid w:val="47C80B2F"/>
    <w:rsid w:val="47FA2D23"/>
    <w:rsid w:val="499B70AB"/>
    <w:rsid w:val="4ADE3D60"/>
    <w:rsid w:val="4AFB1112"/>
    <w:rsid w:val="4B2936BD"/>
    <w:rsid w:val="4BC51A06"/>
    <w:rsid w:val="4BEF2CDD"/>
    <w:rsid w:val="4C1C3D28"/>
    <w:rsid w:val="4C1E2B05"/>
    <w:rsid w:val="4C9D4F1A"/>
    <w:rsid w:val="4D2166E2"/>
    <w:rsid w:val="4D8267FB"/>
    <w:rsid w:val="4DA528CD"/>
    <w:rsid w:val="4DB6480E"/>
    <w:rsid w:val="4DCA6329"/>
    <w:rsid w:val="4F247327"/>
    <w:rsid w:val="4F4B6E23"/>
    <w:rsid w:val="4FA54E3F"/>
    <w:rsid w:val="50B30973"/>
    <w:rsid w:val="50E23A41"/>
    <w:rsid w:val="50F419E6"/>
    <w:rsid w:val="51981EEB"/>
    <w:rsid w:val="521256CB"/>
    <w:rsid w:val="529070F6"/>
    <w:rsid w:val="529F5ADC"/>
    <w:rsid w:val="52CB3AF8"/>
    <w:rsid w:val="52F732B1"/>
    <w:rsid w:val="536A1D64"/>
    <w:rsid w:val="53F01145"/>
    <w:rsid w:val="53F80329"/>
    <w:rsid w:val="54213B13"/>
    <w:rsid w:val="546148FC"/>
    <w:rsid w:val="54927363"/>
    <w:rsid w:val="54EE57E5"/>
    <w:rsid w:val="55757AC4"/>
    <w:rsid w:val="557A7FD8"/>
    <w:rsid w:val="55995C7E"/>
    <w:rsid w:val="55FE463F"/>
    <w:rsid w:val="56007DFE"/>
    <w:rsid w:val="56257777"/>
    <w:rsid w:val="56F03CB1"/>
    <w:rsid w:val="57052952"/>
    <w:rsid w:val="57A750EF"/>
    <w:rsid w:val="581B39C8"/>
    <w:rsid w:val="589911AA"/>
    <w:rsid w:val="58AE4F0C"/>
    <w:rsid w:val="58B411DC"/>
    <w:rsid w:val="58B5081F"/>
    <w:rsid w:val="58CB22BD"/>
    <w:rsid w:val="59A938FF"/>
    <w:rsid w:val="59B92E3F"/>
    <w:rsid w:val="5AD42692"/>
    <w:rsid w:val="5AE1183E"/>
    <w:rsid w:val="5B265FAB"/>
    <w:rsid w:val="5B5F7C9B"/>
    <w:rsid w:val="5B7D6727"/>
    <w:rsid w:val="5B9A01BB"/>
    <w:rsid w:val="5BC03C0E"/>
    <w:rsid w:val="5C50789B"/>
    <w:rsid w:val="5C5D0552"/>
    <w:rsid w:val="5CB7174C"/>
    <w:rsid w:val="5CE10048"/>
    <w:rsid w:val="5CE96CC0"/>
    <w:rsid w:val="5D017424"/>
    <w:rsid w:val="5D03104A"/>
    <w:rsid w:val="5DF72B16"/>
    <w:rsid w:val="5E086952"/>
    <w:rsid w:val="5E4A544A"/>
    <w:rsid w:val="5E6912E3"/>
    <w:rsid w:val="5E780E5B"/>
    <w:rsid w:val="5EA964DB"/>
    <w:rsid w:val="5EEC0249"/>
    <w:rsid w:val="5F3209BE"/>
    <w:rsid w:val="5FF60B05"/>
    <w:rsid w:val="5FFC403D"/>
    <w:rsid w:val="6055130D"/>
    <w:rsid w:val="61102E0F"/>
    <w:rsid w:val="613A64CF"/>
    <w:rsid w:val="61D41430"/>
    <w:rsid w:val="61EC04AA"/>
    <w:rsid w:val="61F27BF6"/>
    <w:rsid w:val="62DE471A"/>
    <w:rsid w:val="634B3FF6"/>
    <w:rsid w:val="63936F88"/>
    <w:rsid w:val="63E979AB"/>
    <w:rsid w:val="64124205"/>
    <w:rsid w:val="650A75D2"/>
    <w:rsid w:val="667D5C7B"/>
    <w:rsid w:val="66D200BF"/>
    <w:rsid w:val="66D47E98"/>
    <w:rsid w:val="673954E5"/>
    <w:rsid w:val="679F6610"/>
    <w:rsid w:val="69335FEA"/>
    <w:rsid w:val="6936651F"/>
    <w:rsid w:val="693C0AC8"/>
    <w:rsid w:val="693F5627"/>
    <w:rsid w:val="696076BE"/>
    <w:rsid w:val="69E46795"/>
    <w:rsid w:val="6A2F590D"/>
    <w:rsid w:val="6A617C95"/>
    <w:rsid w:val="6A6A179F"/>
    <w:rsid w:val="6ABC642B"/>
    <w:rsid w:val="6B471D1E"/>
    <w:rsid w:val="6B4F62C2"/>
    <w:rsid w:val="6C050817"/>
    <w:rsid w:val="6C183EC4"/>
    <w:rsid w:val="6CE60AD8"/>
    <w:rsid w:val="6CEB3054"/>
    <w:rsid w:val="6D535020"/>
    <w:rsid w:val="6DB14684"/>
    <w:rsid w:val="6EA9319E"/>
    <w:rsid w:val="6ECF42D7"/>
    <w:rsid w:val="6ED91B6E"/>
    <w:rsid w:val="6EF70EB1"/>
    <w:rsid w:val="6F26325B"/>
    <w:rsid w:val="6F267437"/>
    <w:rsid w:val="6F282B2F"/>
    <w:rsid w:val="6F8C78AD"/>
    <w:rsid w:val="6F981DF6"/>
    <w:rsid w:val="70030E51"/>
    <w:rsid w:val="70033858"/>
    <w:rsid w:val="701B5702"/>
    <w:rsid w:val="70F10AD9"/>
    <w:rsid w:val="711F3BA7"/>
    <w:rsid w:val="7131729C"/>
    <w:rsid w:val="71A76F43"/>
    <w:rsid w:val="71E70794"/>
    <w:rsid w:val="722D120D"/>
    <w:rsid w:val="7280199C"/>
    <w:rsid w:val="72A92354"/>
    <w:rsid w:val="72B11A15"/>
    <w:rsid w:val="72D87CEA"/>
    <w:rsid w:val="73303587"/>
    <w:rsid w:val="73884E9C"/>
    <w:rsid w:val="74007F90"/>
    <w:rsid w:val="740C6C35"/>
    <w:rsid w:val="741C7DA4"/>
    <w:rsid w:val="746305B1"/>
    <w:rsid w:val="74862811"/>
    <w:rsid w:val="74896DD1"/>
    <w:rsid w:val="74B90B5D"/>
    <w:rsid w:val="758D0E68"/>
    <w:rsid w:val="75B00123"/>
    <w:rsid w:val="75C36B0D"/>
    <w:rsid w:val="761773FA"/>
    <w:rsid w:val="764C43BE"/>
    <w:rsid w:val="765A1DDB"/>
    <w:rsid w:val="76892CD6"/>
    <w:rsid w:val="772B54F6"/>
    <w:rsid w:val="78AE6886"/>
    <w:rsid w:val="78F76C86"/>
    <w:rsid w:val="7913570D"/>
    <w:rsid w:val="79244829"/>
    <w:rsid w:val="79B41AFE"/>
    <w:rsid w:val="79EF399B"/>
    <w:rsid w:val="7A600560"/>
    <w:rsid w:val="7A7725FA"/>
    <w:rsid w:val="7A7E1365"/>
    <w:rsid w:val="7A983ED2"/>
    <w:rsid w:val="7AD86FC8"/>
    <w:rsid w:val="7AFE5D56"/>
    <w:rsid w:val="7B0C506C"/>
    <w:rsid w:val="7B3D7C92"/>
    <w:rsid w:val="7B417AC4"/>
    <w:rsid w:val="7B706339"/>
    <w:rsid w:val="7BBF2FC2"/>
    <w:rsid w:val="7BD13B30"/>
    <w:rsid w:val="7BD16B61"/>
    <w:rsid w:val="7BE527D1"/>
    <w:rsid w:val="7C664024"/>
    <w:rsid w:val="7C7B26A4"/>
    <w:rsid w:val="7CE03CED"/>
    <w:rsid w:val="7D9A0B9D"/>
    <w:rsid w:val="7DE30207"/>
    <w:rsid w:val="7DEF0DFD"/>
    <w:rsid w:val="7E4462A1"/>
    <w:rsid w:val="7E645D4D"/>
    <w:rsid w:val="7EC34419"/>
    <w:rsid w:val="7F15170F"/>
    <w:rsid w:val="7F80553B"/>
    <w:rsid w:val="7F842F5E"/>
    <w:rsid w:val="7FF20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iPriority="39" w:semiHidden="0" w:name="toc 2"/>
    <w:lsdException w:qFormat="1" w:uiPriority="39" w:semiHidden="0" w:name="toc 3"/>
    <w:lsdException w:uiPriority="0" w:name="toc 4"/>
    <w:lsdException w:uiPriority="0" w:name="toc 5"/>
    <w:lsdException w:qFormat="1" w:unhideWhenUsed="0" w:uiPriority="39" w:semiHidden="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heme="minorHAnsi" w:hAnsiTheme="minorHAnsi" w:eastAsiaTheme="minorEastAsia" w:cstheme="minorBidi"/>
      <w:sz w:val="24"/>
      <w:szCs w:val="24"/>
      <w:lang w:val="en-US" w:eastAsia="zh-CN" w:bidi="ar-SA"/>
    </w:rPr>
  </w:style>
  <w:style w:type="paragraph" w:styleId="3">
    <w:name w:val="heading 1"/>
    <w:basedOn w:val="1"/>
    <w:next w:val="1"/>
    <w:link w:val="39"/>
    <w:qFormat/>
    <w:uiPriority w:val="0"/>
    <w:pPr>
      <w:keepNext/>
      <w:keepLines/>
      <w:tabs>
        <w:tab w:val="left" w:pos="425"/>
        <w:tab w:val="left" w:pos="4265"/>
      </w:tabs>
      <w:spacing w:before="340" w:after="330" w:line="360" w:lineRule="auto"/>
      <w:ind w:left="4265" w:hanging="425"/>
      <w:jc w:val="center"/>
      <w:outlineLvl w:val="0"/>
    </w:pPr>
    <w:rPr>
      <w:rFonts w:ascii="华文中宋" w:hAnsi="华文中宋" w:eastAsia="华文中宋"/>
      <w:b/>
      <w:bCs/>
      <w:color w:val="000000"/>
      <w:kern w:val="44"/>
      <w:sz w:val="32"/>
      <w:szCs w:val="32"/>
    </w:rPr>
  </w:style>
  <w:style w:type="paragraph" w:styleId="4">
    <w:name w:val="heading 2"/>
    <w:basedOn w:val="1"/>
    <w:next w:val="1"/>
    <w:semiHidden/>
    <w:unhideWhenUsed/>
    <w:qFormat/>
    <w:uiPriority w:val="0"/>
    <w:pPr>
      <w:keepNext/>
      <w:keepLines/>
      <w:widowControl w:val="0"/>
      <w:tabs>
        <w:tab w:val="left" w:pos="720"/>
      </w:tabs>
      <w:spacing w:before="260" w:after="260" w:line="360" w:lineRule="auto"/>
      <w:jc w:val="center"/>
      <w:outlineLvl w:val="1"/>
    </w:pPr>
    <w:rPr>
      <w:rFonts w:ascii="宋体" w:hAnsi="宋体" w:cs="Arial"/>
      <w:b/>
      <w:bCs/>
      <w:iCs/>
      <w:sz w:val="28"/>
      <w:szCs w:val="28"/>
    </w:rPr>
  </w:style>
  <w:style w:type="paragraph" w:styleId="5">
    <w:name w:val="heading 3"/>
    <w:basedOn w:val="1"/>
    <w:next w:val="1"/>
    <w:link w:val="58"/>
    <w:semiHidden/>
    <w:unhideWhenUsed/>
    <w:qFormat/>
    <w:uiPriority w:val="0"/>
    <w:pPr>
      <w:keepNext/>
      <w:keepLines/>
      <w:spacing w:before="260" w:after="260" w:line="416" w:lineRule="auto"/>
      <w:outlineLvl w:val="2"/>
    </w:pPr>
    <w:rPr>
      <w:b/>
      <w:bCs/>
      <w:sz w:val="32"/>
      <w:szCs w:val="32"/>
    </w:rPr>
  </w:style>
  <w:style w:type="paragraph" w:styleId="6">
    <w:name w:val="heading 4"/>
    <w:basedOn w:val="1"/>
    <w:next w:val="1"/>
    <w:link w:val="59"/>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6"/>
    <w:basedOn w:val="1"/>
    <w:next w:val="1"/>
    <w:link w:val="80"/>
    <w:qFormat/>
    <w:uiPriority w:val="0"/>
    <w:pPr>
      <w:keepNext/>
      <w:keepLines/>
      <w:numPr>
        <w:ilvl w:val="5"/>
        <w:numId w:val="1"/>
      </w:numPr>
      <w:spacing w:before="240" w:after="64" w:line="320" w:lineRule="auto"/>
      <w:outlineLvl w:val="5"/>
    </w:pPr>
    <w:rPr>
      <w:rFonts w:ascii="Arial" w:hAnsi="Arial" w:eastAsia="黑体" w:cs="Times New Roman"/>
      <w:b/>
      <w:bCs/>
    </w:rPr>
  </w:style>
  <w:style w:type="paragraph" w:styleId="8">
    <w:name w:val="heading 7"/>
    <w:basedOn w:val="1"/>
    <w:next w:val="1"/>
    <w:link w:val="81"/>
    <w:qFormat/>
    <w:uiPriority w:val="0"/>
    <w:pPr>
      <w:keepNext/>
      <w:keepLines/>
      <w:numPr>
        <w:ilvl w:val="6"/>
        <w:numId w:val="1"/>
      </w:numPr>
      <w:spacing w:before="240" w:after="64" w:line="320" w:lineRule="auto"/>
      <w:outlineLvl w:val="6"/>
    </w:pPr>
    <w:rPr>
      <w:rFonts w:ascii="Times New Roman" w:hAnsi="Times New Roman" w:eastAsia="宋体" w:cs="Times New Roman"/>
      <w:b/>
      <w:bCs/>
    </w:rPr>
  </w:style>
  <w:style w:type="paragraph" w:styleId="9">
    <w:name w:val="heading 8"/>
    <w:basedOn w:val="1"/>
    <w:next w:val="1"/>
    <w:link w:val="82"/>
    <w:qFormat/>
    <w:uiPriority w:val="0"/>
    <w:pPr>
      <w:keepNext/>
      <w:keepLines/>
      <w:numPr>
        <w:ilvl w:val="7"/>
        <w:numId w:val="1"/>
      </w:numPr>
      <w:spacing w:before="240" w:after="64" w:line="320" w:lineRule="auto"/>
      <w:outlineLvl w:val="7"/>
    </w:pPr>
    <w:rPr>
      <w:rFonts w:ascii="Arial" w:hAnsi="Arial" w:eastAsia="黑体" w:cs="Times New Roman"/>
    </w:rPr>
  </w:style>
  <w:style w:type="paragraph" w:styleId="10">
    <w:name w:val="heading 9"/>
    <w:basedOn w:val="1"/>
    <w:next w:val="1"/>
    <w:link w:val="83"/>
    <w:qFormat/>
    <w:uiPriority w:val="0"/>
    <w:pPr>
      <w:keepNext/>
      <w:keepLines/>
      <w:numPr>
        <w:ilvl w:val="8"/>
        <w:numId w:val="1"/>
      </w:numPr>
      <w:spacing w:before="240" w:after="64" w:line="320" w:lineRule="auto"/>
      <w:outlineLvl w:val="8"/>
    </w:pPr>
    <w:rPr>
      <w:rFonts w:ascii="Arial" w:hAnsi="Arial" w:eastAsia="黑体" w:cs="Times New Roman"/>
      <w:sz w:val="21"/>
      <w:szCs w:val="21"/>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62"/>
    <w:qFormat/>
    <w:uiPriority w:val="99"/>
    <w:pPr>
      <w:spacing w:after="120"/>
    </w:pPr>
  </w:style>
  <w:style w:type="paragraph" w:styleId="11">
    <w:name w:val="Normal Indent"/>
    <w:basedOn w:val="1"/>
    <w:link w:val="55"/>
    <w:qFormat/>
    <w:uiPriority w:val="0"/>
    <w:pPr>
      <w:widowControl w:val="0"/>
      <w:ind w:firstLine="420"/>
      <w:jc w:val="both"/>
    </w:pPr>
    <w:rPr>
      <w:rFonts w:ascii="Calibri" w:hAnsi="Calibri" w:eastAsia="宋体" w:cs="Times New Roman"/>
      <w:sz w:val="20"/>
      <w:szCs w:val="20"/>
    </w:rPr>
  </w:style>
  <w:style w:type="paragraph" w:styleId="12">
    <w:name w:val="annotation text"/>
    <w:basedOn w:val="1"/>
    <w:link w:val="49"/>
    <w:qFormat/>
    <w:uiPriority w:val="99"/>
  </w:style>
  <w:style w:type="paragraph" w:styleId="13">
    <w:name w:val="Body Text Indent"/>
    <w:basedOn w:val="1"/>
    <w:link w:val="54"/>
    <w:semiHidden/>
    <w:unhideWhenUsed/>
    <w:qFormat/>
    <w:uiPriority w:val="0"/>
    <w:pPr>
      <w:spacing w:after="120"/>
      <w:ind w:left="420" w:leftChars="200"/>
    </w:pPr>
  </w:style>
  <w:style w:type="paragraph" w:styleId="14">
    <w:name w:val="toc 3"/>
    <w:basedOn w:val="1"/>
    <w:next w:val="1"/>
    <w:unhideWhenUsed/>
    <w:qFormat/>
    <w:uiPriority w:val="39"/>
    <w:pPr>
      <w:ind w:left="840" w:leftChars="400"/>
    </w:pPr>
  </w:style>
  <w:style w:type="paragraph" w:styleId="15">
    <w:name w:val="Plain Text"/>
    <w:basedOn w:val="1"/>
    <w:link w:val="45"/>
    <w:qFormat/>
    <w:uiPriority w:val="0"/>
    <w:pPr>
      <w:widowControl w:val="0"/>
      <w:jc w:val="both"/>
    </w:pPr>
    <w:rPr>
      <w:rFonts w:ascii="宋体" w:hAnsi="Courier New" w:eastAsia="宋体" w:cs="Times New Roman"/>
      <w:snapToGrid w:val="0"/>
      <w:kern w:val="10"/>
      <w:sz w:val="28"/>
      <w:szCs w:val="20"/>
    </w:rPr>
  </w:style>
  <w:style w:type="paragraph" w:styleId="16">
    <w:name w:val="Date"/>
    <w:basedOn w:val="1"/>
    <w:next w:val="1"/>
    <w:link w:val="44"/>
    <w:qFormat/>
    <w:uiPriority w:val="0"/>
    <w:pPr>
      <w:widowControl w:val="0"/>
      <w:ind w:left="100" w:leftChars="2500"/>
      <w:jc w:val="both"/>
    </w:pPr>
    <w:rPr>
      <w:rFonts w:ascii="Times New Roman" w:hAnsi="Times New Roman" w:eastAsia="宋体" w:cs="Times New Roman"/>
      <w:kern w:val="2"/>
      <w:sz w:val="21"/>
    </w:rPr>
  </w:style>
  <w:style w:type="paragraph" w:styleId="17">
    <w:name w:val="Body Text Indent 2"/>
    <w:basedOn w:val="1"/>
    <w:link w:val="79"/>
    <w:semiHidden/>
    <w:unhideWhenUsed/>
    <w:qFormat/>
    <w:uiPriority w:val="0"/>
    <w:pPr>
      <w:spacing w:after="120" w:line="480" w:lineRule="auto"/>
      <w:ind w:left="420" w:leftChars="200"/>
    </w:pPr>
  </w:style>
  <w:style w:type="paragraph" w:styleId="18">
    <w:name w:val="Balloon Text"/>
    <w:basedOn w:val="1"/>
    <w:link w:val="43"/>
    <w:qFormat/>
    <w:uiPriority w:val="0"/>
    <w:rPr>
      <w:sz w:val="18"/>
      <w:szCs w:val="18"/>
    </w:rPr>
  </w:style>
  <w:style w:type="paragraph" w:styleId="19">
    <w:name w:val="footer"/>
    <w:basedOn w:val="1"/>
    <w:link w:val="69"/>
    <w:qFormat/>
    <w:uiPriority w:val="99"/>
    <w:pPr>
      <w:tabs>
        <w:tab w:val="center" w:pos="4153"/>
        <w:tab w:val="right" w:pos="8306"/>
      </w:tabs>
      <w:snapToGrid w:val="0"/>
    </w:pPr>
    <w:rPr>
      <w:sz w:val="18"/>
      <w:szCs w:val="18"/>
    </w:rPr>
  </w:style>
  <w:style w:type="paragraph" w:styleId="20">
    <w:name w:val="header"/>
    <w:basedOn w:val="1"/>
    <w:link w:val="71"/>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spacing w:before="120" w:after="120"/>
    </w:pPr>
    <w:rPr>
      <w:b/>
      <w:bCs/>
      <w:caps/>
      <w:szCs w:val="20"/>
    </w:rPr>
  </w:style>
  <w:style w:type="paragraph" w:styleId="22">
    <w:name w:val="Subtitle"/>
    <w:basedOn w:val="1"/>
    <w:next w:val="1"/>
    <w:link w:val="47"/>
    <w:qFormat/>
    <w:uiPriority w:val="0"/>
    <w:pPr>
      <w:widowControl w:val="0"/>
      <w:spacing w:before="240" w:after="60" w:line="312" w:lineRule="auto"/>
      <w:jc w:val="center"/>
      <w:outlineLvl w:val="1"/>
    </w:pPr>
    <w:rPr>
      <w:rFonts w:ascii="等线 Light" w:hAnsi="等线 Light" w:eastAsia="宋体" w:cs="Times New Roman"/>
      <w:b/>
      <w:bCs/>
      <w:kern w:val="28"/>
      <w:szCs w:val="32"/>
    </w:rPr>
  </w:style>
  <w:style w:type="paragraph" w:styleId="23">
    <w:name w:val="toc 6"/>
    <w:basedOn w:val="1"/>
    <w:next w:val="1"/>
    <w:qFormat/>
    <w:uiPriority w:val="39"/>
    <w:pPr>
      <w:widowControl w:val="0"/>
      <w:ind w:left="1050"/>
    </w:pPr>
    <w:rPr>
      <w:rFonts w:ascii="Calibri" w:hAnsi="Calibri" w:eastAsia="宋体" w:cs="Calibri"/>
      <w:kern w:val="2"/>
      <w:sz w:val="18"/>
      <w:szCs w:val="18"/>
    </w:rPr>
  </w:style>
  <w:style w:type="paragraph" w:styleId="24">
    <w:name w:val="toc 2"/>
    <w:basedOn w:val="1"/>
    <w:next w:val="1"/>
    <w:unhideWhenUsed/>
    <w:qFormat/>
    <w:uiPriority w:val="39"/>
    <w:pPr>
      <w:ind w:left="420" w:leftChars="200"/>
    </w:pPr>
  </w:style>
  <w:style w:type="paragraph" w:styleId="25">
    <w:name w:val="HTML Preformatted"/>
    <w:basedOn w:val="1"/>
    <w:link w:val="57"/>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eastAsia="宋体" w:cs="Times New Roman"/>
      <w:sz w:val="21"/>
      <w:szCs w:val="21"/>
    </w:rPr>
  </w:style>
  <w:style w:type="paragraph" w:styleId="26">
    <w:name w:val="Normal (Web)"/>
    <w:basedOn w:val="1"/>
    <w:semiHidden/>
    <w:unhideWhenUsed/>
    <w:qFormat/>
    <w:uiPriority w:val="99"/>
    <w:pPr>
      <w:spacing w:before="100" w:beforeAutospacing="1" w:after="100" w:afterAutospacing="1"/>
    </w:pPr>
    <w:rPr>
      <w:rFonts w:ascii="宋体" w:hAnsi="宋体" w:eastAsia="宋体" w:cs="Times New Roman"/>
    </w:rPr>
  </w:style>
  <w:style w:type="paragraph" w:styleId="27">
    <w:name w:val="Title"/>
    <w:basedOn w:val="1"/>
    <w:next w:val="1"/>
    <w:link w:val="46"/>
    <w:qFormat/>
    <w:uiPriority w:val="10"/>
    <w:pPr>
      <w:widowControl w:val="0"/>
      <w:spacing w:before="240" w:after="60"/>
      <w:jc w:val="center"/>
      <w:outlineLvl w:val="0"/>
    </w:pPr>
    <w:rPr>
      <w:rFonts w:ascii="Cambria" w:hAnsi="Cambria" w:eastAsia="宋体" w:cs="Times New Roman"/>
      <w:b/>
      <w:bCs/>
      <w:kern w:val="2"/>
      <w:sz w:val="32"/>
      <w:szCs w:val="32"/>
    </w:rPr>
  </w:style>
  <w:style w:type="paragraph" w:styleId="28">
    <w:name w:val="annotation subject"/>
    <w:basedOn w:val="12"/>
    <w:next w:val="12"/>
    <w:link w:val="50"/>
    <w:qFormat/>
    <w:uiPriority w:val="0"/>
    <w:rPr>
      <w:b/>
      <w:bCs/>
    </w:rPr>
  </w:style>
  <w:style w:type="table" w:styleId="30">
    <w:name w:val="Table Grid"/>
    <w:basedOn w:val="29"/>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page number"/>
    <w:basedOn w:val="31"/>
    <w:qFormat/>
    <w:uiPriority w:val="0"/>
  </w:style>
  <w:style w:type="character" w:styleId="33">
    <w:name w:val="Hyperlink"/>
    <w:qFormat/>
    <w:uiPriority w:val="99"/>
    <w:rPr>
      <w:color w:val="333333"/>
      <w:u w:val="none"/>
    </w:rPr>
  </w:style>
  <w:style w:type="character" w:styleId="34">
    <w:name w:val="annotation reference"/>
    <w:qFormat/>
    <w:uiPriority w:val="0"/>
    <w:rPr>
      <w:sz w:val="21"/>
    </w:rPr>
  </w:style>
  <w:style w:type="paragraph" w:customStyle="1" w:styleId="35">
    <w:name w:val="正文1"/>
    <w:qFormat/>
    <w:uiPriority w:val="0"/>
    <w:pPr>
      <w:widowControl w:val="0"/>
      <w:adjustRightInd w:val="0"/>
      <w:spacing w:line="312" w:lineRule="atLeast"/>
      <w:jc w:val="both"/>
      <w:textAlignment w:val="baseline"/>
    </w:pPr>
    <w:rPr>
      <w:rFonts w:ascii="宋体" w:hAnsiTheme="minorHAnsi" w:eastAsiaTheme="minorEastAsia" w:cstheme="minorBidi"/>
      <w:sz w:val="34"/>
      <w:szCs w:val="22"/>
      <w:lang w:val="en-US" w:eastAsia="zh-CN" w:bidi="ar-SA"/>
    </w:rPr>
  </w:style>
  <w:style w:type="paragraph" w:customStyle="1" w:styleId="36">
    <w:name w:val="标题 71"/>
    <w:basedOn w:val="1"/>
    <w:qFormat/>
    <w:uiPriority w:val="1"/>
    <w:pPr>
      <w:widowControl w:val="0"/>
      <w:ind w:left="138" w:right="1012"/>
      <w:outlineLvl w:val="7"/>
    </w:pPr>
    <w:rPr>
      <w:rFonts w:ascii="微软雅黑" w:hAnsi="微软雅黑" w:eastAsia="微软雅黑" w:cs="微软雅黑"/>
      <w:b/>
      <w:bCs/>
      <w:sz w:val="28"/>
      <w:szCs w:val="28"/>
      <w:lang w:eastAsia="en-US"/>
    </w:rPr>
  </w:style>
  <w:style w:type="paragraph" w:customStyle="1" w:styleId="37">
    <w:name w:val="Table Paragraph"/>
    <w:basedOn w:val="1"/>
    <w:qFormat/>
    <w:uiPriority w:val="1"/>
    <w:pPr>
      <w:widowControl w:val="0"/>
    </w:pPr>
    <w:rPr>
      <w:rFonts w:ascii="宋体" w:hAnsi="宋体" w:cs="宋体"/>
      <w:sz w:val="22"/>
      <w:szCs w:val="22"/>
      <w:lang w:eastAsia="en-US"/>
    </w:rPr>
  </w:style>
  <w:style w:type="paragraph" w:customStyle="1" w:styleId="38">
    <w:name w:val="标题 81"/>
    <w:basedOn w:val="1"/>
    <w:qFormat/>
    <w:uiPriority w:val="1"/>
    <w:pPr>
      <w:widowControl w:val="0"/>
      <w:ind w:left="138" w:right="1012"/>
      <w:outlineLvl w:val="8"/>
    </w:pPr>
    <w:rPr>
      <w:rFonts w:ascii="微软雅黑" w:hAnsi="微软雅黑" w:eastAsia="微软雅黑" w:cs="微软雅黑"/>
      <w:b/>
      <w:bCs/>
      <w:lang w:eastAsia="en-US"/>
    </w:rPr>
  </w:style>
  <w:style w:type="character" w:customStyle="1" w:styleId="39">
    <w:name w:val="标题 1 Char"/>
    <w:link w:val="3"/>
    <w:qFormat/>
    <w:uiPriority w:val="0"/>
    <w:rPr>
      <w:rFonts w:ascii="华文中宋" w:hAnsi="华文中宋" w:eastAsia="华文中宋"/>
      <w:b/>
      <w:bCs/>
      <w:color w:val="000000"/>
      <w:kern w:val="44"/>
      <w:sz w:val="32"/>
      <w:szCs w:val="32"/>
    </w:rPr>
  </w:style>
  <w:style w:type="paragraph" w:customStyle="1" w:styleId="40">
    <w:name w:val="正文 New New New New New New New New New New New New New New"/>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customStyle="1" w:styleId="41">
    <w:name w:val="标题新"/>
    <w:basedOn w:val="4"/>
    <w:next w:val="1"/>
    <w:qFormat/>
    <w:uiPriority w:val="0"/>
    <w:pPr>
      <w:tabs>
        <w:tab w:val="clear" w:pos="720"/>
      </w:tabs>
      <w:spacing w:before="140" w:after="140" w:line="416" w:lineRule="auto"/>
      <w:jc w:val="both"/>
    </w:pPr>
    <w:rPr>
      <w:rFonts w:ascii="Arial" w:hAnsi="Arial" w:cs="Times New Roman"/>
      <w:iCs w:val="0"/>
      <w:kern w:val="2"/>
      <w:sz w:val="30"/>
      <w:szCs w:val="32"/>
    </w:rPr>
  </w:style>
  <w:style w:type="character" w:customStyle="1" w:styleId="42">
    <w:name w:val="Unresolved Mention"/>
    <w:basedOn w:val="31"/>
    <w:semiHidden/>
    <w:unhideWhenUsed/>
    <w:qFormat/>
    <w:uiPriority w:val="99"/>
    <w:rPr>
      <w:color w:val="808080"/>
      <w:shd w:val="clear" w:color="auto" w:fill="E6E6E6"/>
    </w:rPr>
  </w:style>
  <w:style w:type="character" w:customStyle="1" w:styleId="43">
    <w:name w:val="批注框文本 Char"/>
    <w:basedOn w:val="31"/>
    <w:link w:val="18"/>
    <w:qFormat/>
    <w:uiPriority w:val="0"/>
    <w:rPr>
      <w:sz w:val="18"/>
      <w:szCs w:val="18"/>
    </w:rPr>
  </w:style>
  <w:style w:type="character" w:customStyle="1" w:styleId="44">
    <w:name w:val="日期 Char"/>
    <w:basedOn w:val="31"/>
    <w:link w:val="16"/>
    <w:qFormat/>
    <w:uiPriority w:val="0"/>
    <w:rPr>
      <w:rFonts w:ascii="Times New Roman" w:hAnsi="Times New Roman"/>
      <w:kern w:val="2"/>
      <w:sz w:val="21"/>
      <w:szCs w:val="24"/>
    </w:rPr>
  </w:style>
  <w:style w:type="character" w:customStyle="1" w:styleId="45">
    <w:name w:val="纯文本 Char"/>
    <w:basedOn w:val="31"/>
    <w:link w:val="15"/>
    <w:qFormat/>
    <w:uiPriority w:val="0"/>
    <w:rPr>
      <w:rFonts w:ascii="宋体" w:hAnsi="Courier New"/>
      <w:snapToGrid w:val="0"/>
      <w:kern w:val="10"/>
      <w:sz w:val="28"/>
    </w:rPr>
  </w:style>
  <w:style w:type="character" w:customStyle="1" w:styleId="46">
    <w:name w:val="标题 Char"/>
    <w:basedOn w:val="31"/>
    <w:link w:val="27"/>
    <w:qFormat/>
    <w:uiPriority w:val="10"/>
    <w:rPr>
      <w:rFonts w:ascii="Cambria" w:hAnsi="Cambria"/>
      <w:b/>
      <w:bCs/>
      <w:kern w:val="2"/>
      <w:sz w:val="32"/>
      <w:szCs w:val="32"/>
    </w:rPr>
  </w:style>
  <w:style w:type="character" w:customStyle="1" w:styleId="47">
    <w:name w:val="副标题 Char"/>
    <w:basedOn w:val="31"/>
    <w:link w:val="22"/>
    <w:qFormat/>
    <w:uiPriority w:val="0"/>
    <w:rPr>
      <w:rFonts w:ascii="等线 Light" w:hAnsi="等线 Light"/>
      <w:b/>
      <w:bCs/>
      <w:kern w:val="28"/>
      <w:sz w:val="24"/>
      <w:szCs w:val="32"/>
    </w:rPr>
  </w:style>
  <w:style w:type="paragraph" w:customStyle="1" w:styleId="48">
    <w:name w:val="GP正文(首行缩进)"/>
    <w:basedOn w:val="1"/>
    <w:qFormat/>
    <w:uiPriority w:val="0"/>
    <w:pPr>
      <w:widowControl w:val="0"/>
      <w:spacing w:line="360" w:lineRule="auto"/>
      <w:ind w:firstLine="480" w:firstLineChars="200"/>
    </w:pPr>
    <w:rPr>
      <w:rFonts w:ascii="Times New Roman" w:hAnsi="宋体" w:eastAsia="宋体" w:cs="Times New Roman"/>
      <w:kern w:val="2"/>
    </w:rPr>
  </w:style>
  <w:style w:type="character" w:customStyle="1" w:styleId="49">
    <w:name w:val="批注文字 Char"/>
    <w:basedOn w:val="31"/>
    <w:link w:val="12"/>
    <w:qFormat/>
    <w:uiPriority w:val="99"/>
    <w:rPr>
      <w:rFonts w:asciiTheme="minorHAnsi" w:hAnsiTheme="minorHAnsi" w:eastAsiaTheme="minorEastAsia" w:cstheme="minorBidi"/>
      <w:sz w:val="24"/>
      <w:szCs w:val="24"/>
    </w:rPr>
  </w:style>
  <w:style w:type="character" w:customStyle="1" w:styleId="50">
    <w:name w:val="批注主题 Char"/>
    <w:basedOn w:val="49"/>
    <w:link w:val="28"/>
    <w:qFormat/>
    <w:uiPriority w:val="0"/>
    <w:rPr>
      <w:rFonts w:asciiTheme="minorHAnsi" w:hAnsiTheme="minorHAnsi" w:eastAsiaTheme="minorEastAsia" w:cstheme="minorBidi"/>
      <w:b/>
      <w:bCs/>
      <w:sz w:val="24"/>
      <w:szCs w:val="24"/>
    </w:rPr>
  </w:style>
  <w:style w:type="paragraph" w:styleId="51">
    <w:name w:val="List Paragraph"/>
    <w:basedOn w:val="1"/>
    <w:link w:val="74"/>
    <w:unhideWhenUsed/>
    <w:qFormat/>
    <w:uiPriority w:val="34"/>
    <w:pPr>
      <w:ind w:firstLine="420" w:firstLineChars="200"/>
    </w:pPr>
  </w:style>
  <w:style w:type="paragraph" w:customStyle="1" w:styleId="52">
    <w:name w:val="普通正文"/>
    <w:basedOn w:val="1"/>
    <w:qFormat/>
    <w:uiPriority w:val="0"/>
    <w:pPr>
      <w:widowControl w:val="0"/>
      <w:spacing w:line="580" w:lineRule="exact"/>
      <w:ind w:firstLine="629"/>
      <w:jc w:val="both"/>
    </w:pPr>
    <w:rPr>
      <w:rFonts w:ascii="宋体" w:hAnsi="Times New Roman" w:eastAsia="宋体" w:cs="Times New Roman"/>
      <w:kern w:val="2"/>
      <w:sz w:val="28"/>
      <w:szCs w:val="20"/>
    </w:rPr>
  </w:style>
  <w:style w:type="paragraph" w:customStyle="1" w:styleId="53">
    <w:name w:val="多级自动编号"/>
    <w:basedOn w:val="52"/>
    <w:qFormat/>
    <w:uiPriority w:val="0"/>
    <w:pPr>
      <w:numPr>
        <w:ilvl w:val="0"/>
        <w:numId w:val="2"/>
      </w:numPr>
    </w:pPr>
  </w:style>
  <w:style w:type="character" w:customStyle="1" w:styleId="54">
    <w:name w:val="正文文本缩进 Char"/>
    <w:basedOn w:val="31"/>
    <w:link w:val="13"/>
    <w:semiHidden/>
    <w:qFormat/>
    <w:uiPriority w:val="0"/>
    <w:rPr>
      <w:rFonts w:asciiTheme="minorHAnsi" w:hAnsiTheme="minorHAnsi" w:eastAsiaTheme="minorEastAsia" w:cstheme="minorBidi"/>
      <w:sz w:val="24"/>
      <w:szCs w:val="24"/>
    </w:rPr>
  </w:style>
  <w:style w:type="character" w:customStyle="1" w:styleId="55">
    <w:name w:val="正文缩进 Char"/>
    <w:link w:val="11"/>
    <w:qFormat/>
    <w:locked/>
    <w:uiPriority w:val="0"/>
  </w:style>
  <w:style w:type="paragraph" w:customStyle="1" w:styleId="56">
    <w:name w:val="段"/>
    <w:qFormat/>
    <w:uiPriority w:val="0"/>
    <w:pPr>
      <w:autoSpaceDE w:val="0"/>
      <w:autoSpaceDN w:val="0"/>
      <w:ind w:firstLine="200" w:firstLineChars="200"/>
      <w:jc w:val="both"/>
    </w:pPr>
    <w:rPr>
      <w:rFonts w:ascii="宋体" w:hAnsi="Times New Roman" w:eastAsiaTheme="minorEastAsia" w:cstheme="minorBidi"/>
      <w:sz w:val="21"/>
      <w:szCs w:val="22"/>
      <w:lang w:val="en-US" w:eastAsia="zh-CN" w:bidi="ar-SA"/>
    </w:rPr>
  </w:style>
  <w:style w:type="character" w:customStyle="1" w:styleId="57">
    <w:name w:val="HTML 预设格式 Char"/>
    <w:basedOn w:val="31"/>
    <w:link w:val="25"/>
    <w:semiHidden/>
    <w:qFormat/>
    <w:uiPriority w:val="0"/>
    <w:rPr>
      <w:rFonts w:ascii="Arial" w:hAnsi="Arial"/>
      <w:sz w:val="21"/>
      <w:szCs w:val="21"/>
    </w:rPr>
  </w:style>
  <w:style w:type="character" w:customStyle="1" w:styleId="58">
    <w:name w:val="标题 3 Char"/>
    <w:basedOn w:val="31"/>
    <w:link w:val="5"/>
    <w:qFormat/>
    <w:uiPriority w:val="0"/>
    <w:rPr>
      <w:rFonts w:asciiTheme="minorHAnsi" w:hAnsiTheme="minorHAnsi" w:eastAsiaTheme="minorEastAsia" w:cstheme="minorBidi"/>
      <w:b/>
      <w:bCs/>
      <w:sz w:val="32"/>
      <w:szCs w:val="32"/>
    </w:rPr>
  </w:style>
  <w:style w:type="character" w:customStyle="1" w:styleId="59">
    <w:name w:val="标题 4 Char"/>
    <w:basedOn w:val="31"/>
    <w:link w:val="6"/>
    <w:qFormat/>
    <w:uiPriority w:val="0"/>
    <w:rPr>
      <w:rFonts w:asciiTheme="majorHAnsi" w:hAnsiTheme="majorHAnsi" w:eastAsiaTheme="majorEastAsia" w:cstheme="majorBidi"/>
      <w:b/>
      <w:bCs/>
      <w:sz w:val="28"/>
      <w:szCs w:val="28"/>
    </w:rPr>
  </w:style>
  <w:style w:type="paragraph" w:customStyle="1" w:styleId="60">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61">
    <w:name w:val="p0"/>
    <w:basedOn w:val="1"/>
    <w:qFormat/>
    <w:uiPriority w:val="0"/>
    <w:pPr>
      <w:jc w:val="both"/>
    </w:pPr>
    <w:rPr>
      <w:rFonts w:ascii="宋体" w:hAnsi="宋体" w:eastAsia="宋体" w:cs="宋体"/>
      <w:sz w:val="21"/>
      <w:szCs w:val="21"/>
    </w:rPr>
  </w:style>
  <w:style w:type="character" w:customStyle="1" w:styleId="62">
    <w:name w:val="正文文本 Char"/>
    <w:basedOn w:val="31"/>
    <w:link w:val="2"/>
    <w:qFormat/>
    <w:uiPriority w:val="99"/>
    <w:rPr>
      <w:rFonts w:asciiTheme="minorHAnsi" w:hAnsiTheme="minorHAnsi" w:eastAsiaTheme="minorEastAsia" w:cstheme="minorBidi"/>
      <w:sz w:val="24"/>
      <w:szCs w:val="24"/>
    </w:rPr>
  </w:style>
  <w:style w:type="paragraph" w:customStyle="1" w:styleId="63">
    <w:name w:val="图文"/>
    <w:basedOn w:val="1"/>
    <w:qFormat/>
    <w:uiPriority w:val="0"/>
    <w:pPr>
      <w:widowControl w:val="0"/>
      <w:adjustRightInd w:val="0"/>
      <w:snapToGrid w:val="0"/>
      <w:spacing w:after="50" w:line="360" w:lineRule="auto"/>
      <w:jc w:val="both"/>
    </w:pPr>
    <w:rPr>
      <w:rFonts w:ascii="Times New Roman" w:hAnsi="Times New Roman" w:eastAsia="宋体" w:cs="Times New Roman"/>
      <w:kern w:val="2"/>
    </w:rPr>
  </w:style>
  <w:style w:type="character" w:customStyle="1" w:styleId="64">
    <w:name w:val="中文正文、 Char Char"/>
    <w:link w:val="65"/>
    <w:qFormat/>
    <w:uiPriority w:val="0"/>
    <w:rPr>
      <w:kern w:val="2"/>
      <w:sz w:val="21"/>
      <w:szCs w:val="21"/>
    </w:rPr>
  </w:style>
  <w:style w:type="paragraph" w:customStyle="1" w:styleId="65">
    <w:name w:val="中文正文、"/>
    <w:basedOn w:val="1"/>
    <w:link w:val="64"/>
    <w:qFormat/>
    <w:uiPriority w:val="0"/>
    <w:pPr>
      <w:widowControl w:val="0"/>
      <w:spacing w:line="360" w:lineRule="auto"/>
      <w:ind w:firstLine="420" w:firstLineChars="200"/>
      <w:jc w:val="both"/>
    </w:pPr>
    <w:rPr>
      <w:rFonts w:ascii="Calibri" w:hAnsi="Calibri" w:eastAsia="宋体" w:cs="Times New Roman"/>
      <w:kern w:val="2"/>
      <w:sz w:val="21"/>
      <w:szCs w:val="21"/>
    </w:rPr>
  </w:style>
  <w:style w:type="paragraph" w:customStyle="1" w:styleId="66">
    <w:name w:val="p16"/>
    <w:basedOn w:val="1"/>
    <w:qFormat/>
    <w:uiPriority w:val="0"/>
    <w:pPr>
      <w:jc w:val="both"/>
    </w:pPr>
    <w:rPr>
      <w:rFonts w:ascii="宋体" w:hAnsi="宋体" w:eastAsia="宋体" w:cs="Times New Roman"/>
      <w:szCs w:val="20"/>
    </w:rPr>
  </w:style>
  <w:style w:type="character" w:customStyle="1" w:styleId="67">
    <w:name w:val="纯文本 Char1"/>
    <w:qFormat/>
    <w:uiPriority w:val="0"/>
    <w:rPr>
      <w:rFonts w:ascii="宋体" w:hAnsi="Courier New"/>
      <w:kern w:val="2"/>
      <w:sz w:val="21"/>
    </w:rPr>
  </w:style>
  <w:style w:type="paragraph" w:customStyle="1" w:styleId="68">
    <w:name w:val="正文文本 31"/>
    <w:basedOn w:val="1"/>
    <w:qFormat/>
    <w:uiPriority w:val="0"/>
    <w:pPr>
      <w:widowControl w:val="0"/>
      <w:jc w:val="both"/>
    </w:pPr>
    <w:rPr>
      <w:rFonts w:ascii="宋体" w:hAnsi="Times New Roman" w:eastAsia="宋体" w:cs="Times New Roman"/>
      <w:kern w:val="2"/>
    </w:rPr>
  </w:style>
  <w:style w:type="character" w:customStyle="1" w:styleId="69">
    <w:name w:val="页脚 Char"/>
    <w:link w:val="19"/>
    <w:qFormat/>
    <w:uiPriority w:val="99"/>
    <w:rPr>
      <w:rFonts w:asciiTheme="minorHAnsi" w:hAnsiTheme="minorHAnsi" w:eastAsiaTheme="minorEastAsia" w:cstheme="minorBidi"/>
      <w:sz w:val="18"/>
      <w:szCs w:val="18"/>
    </w:rPr>
  </w:style>
  <w:style w:type="character" w:customStyle="1" w:styleId="70">
    <w:name w:val="15"/>
    <w:qFormat/>
    <w:uiPriority w:val="0"/>
    <w:rPr>
      <w:rFonts w:hint="eastAsia" w:ascii="宋体" w:hAnsi="宋体" w:eastAsia="宋体"/>
      <w:sz w:val="24"/>
      <w:szCs w:val="24"/>
    </w:rPr>
  </w:style>
  <w:style w:type="character" w:customStyle="1" w:styleId="71">
    <w:name w:val="页眉 Char"/>
    <w:basedOn w:val="31"/>
    <w:link w:val="20"/>
    <w:qFormat/>
    <w:uiPriority w:val="99"/>
    <w:rPr>
      <w:rFonts w:asciiTheme="minorHAnsi" w:hAnsiTheme="minorHAnsi" w:eastAsiaTheme="minorEastAsia" w:cstheme="minorBidi"/>
      <w:sz w:val="18"/>
      <w:szCs w:val="18"/>
    </w:rPr>
  </w:style>
  <w:style w:type="paragraph" w:customStyle="1" w:styleId="72">
    <w:name w:val="正文文本 32"/>
    <w:basedOn w:val="1"/>
    <w:qFormat/>
    <w:uiPriority w:val="0"/>
    <w:pPr>
      <w:widowControl w:val="0"/>
      <w:spacing w:line="312" w:lineRule="auto"/>
      <w:jc w:val="both"/>
    </w:pPr>
    <w:rPr>
      <w:rFonts w:ascii="宋体" w:hAnsi="Times New Roman" w:eastAsia="宋体" w:cs="Times New Roman"/>
      <w:kern w:val="2"/>
      <w:szCs w:val="20"/>
    </w:rPr>
  </w:style>
  <w:style w:type="paragraph" w:customStyle="1" w:styleId="73">
    <w:name w:val="正文文本 33"/>
    <w:basedOn w:val="1"/>
    <w:qFormat/>
    <w:uiPriority w:val="0"/>
    <w:pPr>
      <w:widowControl w:val="0"/>
      <w:jc w:val="both"/>
    </w:pPr>
    <w:rPr>
      <w:rFonts w:ascii="宋体" w:hAnsi="Times New Roman" w:eastAsia="宋体" w:cs="Times New Roman"/>
      <w:kern w:val="2"/>
    </w:rPr>
  </w:style>
  <w:style w:type="character" w:customStyle="1" w:styleId="74">
    <w:name w:val="列出段落 Char"/>
    <w:link w:val="51"/>
    <w:qFormat/>
    <w:locked/>
    <w:uiPriority w:val="34"/>
    <w:rPr>
      <w:rFonts w:asciiTheme="minorHAnsi" w:hAnsiTheme="minorHAnsi" w:eastAsiaTheme="minorEastAsia" w:cstheme="minorBidi"/>
      <w:sz w:val="24"/>
      <w:szCs w:val="24"/>
    </w:rPr>
  </w:style>
  <w:style w:type="character" w:customStyle="1" w:styleId="75">
    <w:name w:val="font11"/>
    <w:qFormat/>
    <w:uiPriority w:val="0"/>
    <w:rPr>
      <w:rFonts w:hint="eastAsia" w:ascii="仿宋" w:hAnsi="仿宋" w:eastAsia="仿宋" w:cs="仿宋"/>
      <w:color w:val="FF0000"/>
      <w:sz w:val="20"/>
      <w:szCs w:val="20"/>
      <w:u w:val="none"/>
      <w:lang w:val="en-US" w:eastAsia="zh-CN" w:bidi="ar-SA"/>
    </w:rPr>
  </w:style>
  <w:style w:type="paragraph" w:customStyle="1" w:styleId="76">
    <w:name w:val="1正文"/>
    <w:basedOn w:val="1"/>
    <w:qFormat/>
    <w:uiPriority w:val="0"/>
    <w:pPr>
      <w:widowControl w:val="0"/>
      <w:spacing w:line="560" w:lineRule="exact"/>
      <w:ind w:firstLine="200" w:firstLineChars="200"/>
      <w:jc w:val="both"/>
    </w:pPr>
    <w:rPr>
      <w:rFonts w:ascii="Times New Roman" w:hAnsi="Times New Roman" w:eastAsia="Cambria Math" w:cs="Times New Roman"/>
      <w:kern w:val="2"/>
      <w:sz w:val="32"/>
    </w:rPr>
  </w:style>
  <w:style w:type="paragraph" w:customStyle="1" w:styleId="77">
    <w:name w:val="1"/>
    <w:basedOn w:val="1"/>
    <w:next w:val="17"/>
    <w:qFormat/>
    <w:uiPriority w:val="0"/>
    <w:pPr>
      <w:widowControl w:val="0"/>
      <w:tabs>
        <w:tab w:val="left" w:pos="3060"/>
      </w:tabs>
      <w:spacing w:line="140" w:lineRule="atLeast"/>
      <w:ind w:firstLine="560" w:firstLineChars="200"/>
      <w:jc w:val="both"/>
    </w:pPr>
    <w:rPr>
      <w:rFonts w:ascii="Times New Roman" w:hAnsi="Times New Roman" w:eastAsia="宋体" w:cs="Times New Roman"/>
      <w:kern w:val="2"/>
      <w:sz w:val="28"/>
    </w:rPr>
  </w:style>
  <w:style w:type="paragraph" w:customStyle="1" w:styleId="78">
    <w:name w:val="_Style 160"/>
    <w:basedOn w:val="1"/>
    <w:next w:val="51"/>
    <w:qFormat/>
    <w:uiPriority w:val="0"/>
    <w:pPr>
      <w:widowControl w:val="0"/>
      <w:pBdr>
        <w:bottom w:val="single" w:color="auto" w:sz="6" w:space="1"/>
      </w:pBdr>
      <w:jc w:val="center"/>
    </w:pPr>
    <w:rPr>
      <w:rFonts w:ascii="Arial" w:hAnsi="Times New Roman" w:eastAsia="宋体" w:cs="Times New Roman"/>
      <w:vanish/>
      <w:kern w:val="2"/>
      <w:sz w:val="16"/>
    </w:rPr>
  </w:style>
  <w:style w:type="character" w:customStyle="1" w:styleId="79">
    <w:name w:val="正文文本缩进 2 Char"/>
    <w:basedOn w:val="31"/>
    <w:link w:val="17"/>
    <w:semiHidden/>
    <w:qFormat/>
    <w:uiPriority w:val="0"/>
    <w:rPr>
      <w:rFonts w:asciiTheme="minorHAnsi" w:hAnsiTheme="minorHAnsi" w:eastAsiaTheme="minorEastAsia" w:cstheme="minorBidi"/>
      <w:sz w:val="24"/>
      <w:szCs w:val="24"/>
    </w:rPr>
  </w:style>
  <w:style w:type="character" w:customStyle="1" w:styleId="80">
    <w:name w:val="标题 6 Char"/>
    <w:basedOn w:val="31"/>
    <w:link w:val="7"/>
    <w:qFormat/>
    <w:uiPriority w:val="0"/>
    <w:rPr>
      <w:rFonts w:ascii="Arial" w:hAnsi="Arial" w:eastAsia="黑体"/>
      <w:b/>
      <w:bCs/>
      <w:sz w:val="24"/>
      <w:szCs w:val="24"/>
    </w:rPr>
  </w:style>
  <w:style w:type="character" w:customStyle="1" w:styleId="81">
    <w:name w:val="标题 7 Char"/>
    <w:basedOn w:val="31"/>
    <w:link w:val="8"/>
    <w:qFormat/>
    <w:uiPriority w:val="0"/>
    <w:rPr>
      <w:rFonts w:ascii="Times New Roman" w:hAnsi="Times New Roman"/>
      <w:b/>
      <w:bCs/>
      <w:sz w:val="24"/>
      <w:szCs w:val="24"/>
    </w:rPr>
  </w:style>
  <w:style w:type="character" w:customStyle="1" w:styleId="82">
    <w:name w:val="标题 8 Char"/>
    <w:basedOn w:val="31"/>
    <w:link w:val="9"/>
    <w:qFormat/>
    <w:uiPriority w:val="0"/>
    <w:rPr>
      <w:rFonts w:ascii="Arial" w:hAnsi="Arial" w:eastAsia="黑体"/>
      <w:sz w:val="24"/>
      <w:szCs w:val="24"/>
    </w:rPr>
  </w:style>
  <w:style w:type="character" w:customStyle="1" w:styleId="83">
    <w:name w:val="标题 9 Char"/>
    <w:basedOn w:val="31"/>
    <w:link w:val="10"/>
    <w:qFormat/>
    <w:uiPriority w:val="0"/>
    <w:rPr>
      <w:rFonts w:ascii="Arial" w:hAnsi="Arial" w:eastAsia="黑体"/>
      <w:sz w:val="21"/>
      <w:szCs w:val="21"/>
    </w:rPr>
  </w:style>
  <w:style w:type="paragraph" w:customStyle="1" w:styleId="84">
    <w:name w:val="标题 5（有编号）（绿盟科技）"/>
    <w:basedOn w:val="85"/>
    <w:next w:val="87"/>
    <w:qFormat/>
    <w:uiPriority w:val="99"/>
    <w:pPr>
      <w:keepNext/>
      <w:keepLines/>
      <w:numPr>
        <w:ilvl w:val="4"/>
        <w:numId w:val="3"/>
      </w:numPr>
      <w:spacing w:before="280" w:after="156" w:line="377" w:lineRule="auto"/>
      <w:outlineLvl w:val="4"/>
    </w:pPr>
    <w:rPr>
      <w:rFonts w:ascii="Arial" w:hAnsi="Arial" w:eastAsia="黑体" w:cs="Arial"/>
      <w:b/>
      <w:bCs/>
    </w:rPr>
  </w:style>
  <w:style w:type="paragraph" w:customStyle="1" w:styleId="85">
    <w:name w:val="正文_1"/>
    <w:next w:val="86"/>
    <w:qFormat/>
    <w:uiPriority w:val="1"/>
    <w:pPr>
      <w:widowControl w:val="0"/>
    </w:pPr>
    <w:rPr>
      <w:rFonts w:ascii="Times New Roman" w:hAnsi="Times New Roman" w:eastAsia="Calibri" w:cs="Times New Roman"/>
      <w:sz w:val="22"/>
      <w:szCs w:val="22"/>
      <w:lang w:val="en-US" w:eastAsia="en-US" w:bidi="ar-SA"/>
    </w:rPr>
  </w:style>
  <w:style w:type="paragraph" w:customStyle="1" w:styleId="86">
    <w:name w:val="页脚_0"/>
    <w:basedOn w:val="85"/>
    <w:qFormat/>
    <w:uiPriority w:val="0"/>
    <w:pPr>
      <w:tabs>
        <w:tab w:val="center" w:pos="4153"/>
        <w:tab w:val="right" w:pos="8306"/>
      </w:tabs>
      <w:snapToGrid w:val="0"/>
    </w:pPr>
    <w:rPr>
      <w:rFonts w:eastAsia="宋体"/>
      <w:sz w:val="18"/>
      <w:szCs w:val="18"/>
    </w:rPr>
  </w:style>
  <w:style w:type="paragraph" w:customStyle="1" w:styleId="87">
    <w:name w:val="正文（绿盟科技）"/>
    <w:qFormat/>
    <w:uiPriority w:val="99"/>
    <w:pPr>
      <w:spacing w:line="300" w:lineRule="auto"/>
    </w:pPr>
    <w:rPr>
      <w:rFonts w:ascii="Arial" w:hAnsi="Arial" w:eastAsia="宋体" w:cs="Arial"/>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0F985E-441F-4AA4-91FE-BD0796119710}">
  <ds:schemaRefs/>
</ds:datastoreItem>
</file>

<file path=docProps/app.xml><?xml version="1.0" encoding="utf-8"?>
<Properties xmlns="http://schemas.openxmlformats.org/officeDocument/2006/extended-properties" xmlns:vt="http://schemas.openxmlformats.org/officeDocument/2006/docPropsVTypes">
  <Template>0</Template>
  <Company>Lenovo</Company>
  <Pages>60</Pages>
  <Words>3996</Words>
  <Characters>22778</Characters>
  <Lines>189</Lines>
  <Paragraphs>53</Paragraphs>
  <TotalTime>23</TotalTime>
  <ScaleCrop>false</ScaleCrop>
  <LinksUpToDate>false</LinksUpToDate>
  <CharactersWithSpaces>26721</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2019-11-26T03:40:00Z</dcterms:created>
  <dc:creator>Administrator</dc:creator>
  <cp:lastModifiedBy>聂秀</cp:lastModifiedBy>
  <cp:lastPrinted>2026-02-11T06:52:00Z</cp:lastPrinted>
  <dcterms:modified xsi:type="dcterms:W3CDTF">2026-02-13T08:50:27Z</dcterms:modified>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30DA1962B9C04541AD9035522D6D3852</vt:lpwstr>
  </property>
</Properties>
</file>