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宋体" w:hAnsi="宋体" w:eastAsia="宋体" w:cs="宋体"/>
          <w:bCs/>
          <w:snapToGrid w:val="0"/>
          <w:kern w:val="0"/>
          <w:sz w:val="44"/>
          <w:szCs w:val="44"/>
        </w:rPr>
      </w:pPr>
      <w:r>
        <w:rPr>
          <w:rFonts w:hint="eastAsia" w:ascii="宋体" w:hAnsi="宋体" w:eastAsia="宋体" w:cs="宋体"/>
          <w:bCs/>
          <w:snapToGrid w:val="0"/>
          <w:kern w:val="0"/>
          <w:sz w:val="44"/>
          <w:szCs w:val="44"/>
        </w:rPr>
        <w:t>开封分行通许县支行保安服务采购需求</w:t>
      </w:r>
    </w:p>
    <w:p>
      <w:pPr>
        <w:adjustRightInd w:val="0"/>
        <w:snapToGrid w:val="0"/>
        <w:spacing w:line="360" w:lineRule="auto"/>
        <w:jc w:val="center"/>
        <w:rPr>
          <w:rFonts w:ascii="宋体" w:hAnsi="宋体" w:eastAsia="宋体" w:cs="宋体"/>
          <w:bCs/>
          <w:snapToGrid w:val="0"/>
          <w:kern w:val="0"/>
          <w:sz w:val="44"/>
          <w:szCs w:val="44"/>
        </w:rPr>
      </w:pPr>
    </w:p>
    <w:p>
      <w:pPr>
        <w:adjustRightInd w:val="0"/>
        <w:snapToGrid w:val="0"/>
        <w:spacing w:line="560" w:lineRule="exact"/>
        <w:ind w:firstLine="643" w:firstLineChars="200"/>
        <w:rPr>
          <w:rFonts w:ascii="彩虹粗仿宋" w:hAnsi="黑体" w:eastAsia="彩虹粗仿宋" w:cs="Times New Roman"/>
          <w:b/>
          <w:snapToGrid w:val="0"/>
          <w:sz w:val="32"/>
          <w:szCs w:val="32"/>
          <w:shd w:val="clear" w:color="auto" w:fill="FFFFFF"/>
        </w:rPr>
      </w:pPr>
      <w:r>
        <w:rPr>
          <w:rFonts w:hint="eastAsia" w:ascii="彩虹粗仿宋" w:hAnsi="黑体" w:eastAsia="彩虹粗仿宋" w:cs="Times New Roman"/>
          <w:b/>
          <w:snapToGrid w:val="0"/>
          <w:sz w:val="32"/>
          <w:szCs w:val="32"/>
          <w:shd w:val="clear" w:color="auto" w:fill="FFFFFF"/>
        </w:rPr>
        <w:t>一、对候选供应商的要求</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（一）具有独立法人资格，能独立承担民事责任。</w:t>
      </w:r>
    </w:p>
    <w:p>
      <w:pPr>
        <w:adjustRightInd w:val="0"/>
        <w:snapToGrid w:val="0"/>
        <w:spacing w:line="560" w:lineRule="atLeast"/>
        <w:ind w:firstLine="640" w:firstLineChars="200"/>
        <w:rPr>
          <w:rFonts w:ascii="彩虹粗仿宋" w:hAnsi="微软雅黑" w:eastAsia="彩虹粗仿宋" w:cs="宋体"/>
          <w:b/>
          <w:kern w:val="0"/>
          <w:sz w:val="32"/>
          <w:szCs w:val="32"/>
        </w:rPr>
      </w:pPr>
      <w:r>
        <w:rPr>
          <w:rFonts w:hint="eastAsia" w:ascii="彩虹粗仿宋" w:eastAsia="彩虹粗仿宋"/>
          <w:sz w:val="32"/>
        </w:rPr>
        <w:t>（二）取得合法有效的</w:t>
      </w:r>
      <w:r>
        <w:rPr>
          <w:rFonts w:hint="eastAsia" w:ascii="彩虹粗仿宋" w:hAnsi="Times New Roman" w:eastAsia="彩虹粗仿宋"/>
          <w:kern w:val="0"/>
          <w:sz w:val="32"/>
          <w:szCs w:val="20"/>
        </w:rPr>
        <w:t>保安服务许可证</w:t>
      </w:r>
      <w:r>
        <w:rPr>
          <w:rFonts w:hint="eastAsia" w:ascii="彩虹粗仿宋" w:eastAsia="彩虹粗仿宋"/>
          <w:sz w:val="32"/>
        </w:rPr>
        <w:t>。</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（三）财务状况良好，</w:t>
      </w:r>
      <w:r>
        <w:rPr>
          <w:rFonts w:hint="eastAsia" w:ascii="彩虹粗仿宋" w:eastAsia="彩虹粗仿宋"/>
          <w:sz w:val="32"/>
          <w:szCs w:val="32"/>
        </w:rPr>
        <w:t>提供近三年（</w:t>
      </w:r>
      <w:r>
        <w:rPr>
          <w:rFonts w:hint="eastAsia" w:ascii="彩虹粗仿宋" w:eastAsia="彩虹粗仿宋"/>
          <w:sz w:val="32"/>
          <w:szCs w:val="32"/>
          <w:lang w:val="en-US" w:eastAsia="zh-CN"/>
        </w:rPr>
        <w:t>2020-2022</w:t>
      </w:r>
      <w:bookmarkStart w:id="0" w:name="_GoBack"/>
      <w:bookmarkEnd w:id="0"/>
      <w:r>
        <w:rPr>
          <w:rFonts w:hint="eastAsia" w:ascii="彩虹粗仿宋" w:eastAsia="彩虹粗仿宋"/>
          <w:sz w:val="32"/>
          <w:szCs w:val="32"/>
        </w:rPr>
        <w:t>年）的经审计的财务报告或财务报表（新成立企业从成立日计算）</w:t>
      </w:r>
      <w:r>
        <w:rPr>
          <w:rFonts w:hint="eastAsia" w:ascii="彩虹粗仿宋" w:eastAsia="彩虹粗仿宋"/>
          <w:sz w:val="32"/>
        </w:rPr>
        <w:t>；</w:t>
      </w:r>
    </w:p>
    <w:p>
      <w:pPr>
        <w:spacing w:line="560" w:lineRule="exact"/>
        <w:ind w:firstLine="640" w:firstLineChars="200"/>
        <w:rPr>
          <w:rFonts w:ascii="彩虹粗仿宋" w:eastAsia="彩虹粗仿宋"/>
          <w:sz w:val="32"/>
          <w:szCs w:val="32"/>
        </w:rPr>
      </w:pPr>
      <w:r>
        <w:rPr>
          <w:rFonts w:hint="eastAsia" w:ascii="彩虹粗仿宋" w:eastAsia="彩虹粗仿宋"/>
          <w:sz w:val="32"/>
        </w:rPr>
        <w:t>（四）</w:t>
      </w:r>
      <w:r>
        <w:rPr>
          <w:rFonts w:hint="eastAsia" w:ascii="彩虹粗仿宋" w:eastAsia="彩虹粗仿宋"/>
          <w:sz w:val="32"/>
          <w:szCs w:val="32"/>
        </w:rPr>
        <w:t>2021年1月1日以来具有银行保安同类项目经验。</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五）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（六）本项目不允许联合体投标，不允许分包或转包。</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（七）外商独资、中外合资、中外合作的保安公司不得参与（根据保安服务管理条例第二十二条规定）。</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C2102</w:t>
            </w:r>
          </w:p>
        </w:tc>
        <w:tc>
          <w:tcPr>
            <w:tcW w:w="3240" w:type="dxa"/>
            <w:vAlign w:val="center"/>
          </w:tcPr>
          <w:p>
            <w:pPr>
              <w:adjustRightInd w:val="0"/>
              <w:snapToGrid w:val="0"/>
              <w:spacing w:line="560" w:lineRule="exact"/>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保安服务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C210203</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24"/>
                <w:szCs w:val="32"/>
              </w:rPr>
            </w:pPr>
            <w:r>
              <w:rPr>
                <w:rFonts w:hint="eastAsia" w:ascii="彩虹粗仿宋" w:hAnsi="宋体" w:eastAsia="彩虹粗仿宋" w:cs="Times New Roman"/>
                <w:snapToGrid w:val="0"/>
                <w:kern w:val="0"/>
                <w:sz w:val="24"/>
                <w:szCs w:val="32"/>
              </w:rPr>
              <w:t>营业办公楼保安执勤</w:t>
            </w:r>
          </w:p>
        </w:tc>
      </w:tr>
    </w:tbl>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（二）服务内容</w:t>
      </w:r>
    </w:p>
    <w:p>
      <w:pPr>
        <w:adjustRightInd w:val="0"/>
        <w:snapToGrid w:val="0"/>
        <w:spacing w:line="560" w:lineRule="exact"/>
        <w:ind w:firstLine="473" w:firstLineChars="148"/>
        <w:rPr>
          <w:rFonts w:ascii="彩虹粗仿宋" w:hAnsi="宋体" w:eastAsia="彩虹粗仿宋"/>
          <w:snapToGrid w:val="0"/>
          <w:sz w:val="32"/>
          <w:szCs w:val="32"/>
        </w:rPr>
      </w:pPr>
      <w:r>
        <w:rPr>
          <w:rFonts w:hint="eastAsia" w:ascii="彩虹粗仿宋" w:hAnsi="宋体" w:eastAsia="彩虹粗仿宋"/>
          <w:snapToGrid w:val="0"/>
          <w:sz w:val="32"/>
          <w:szCs w:val="32"/>
        </w:rPr>
        <w:t>通许县支行本部办公楼需保安服务1</w:t>
      </w:r>
      <w:r>
        <w:rPr>
          <w:rFonts w:hint="eastAsia" w:ascii="彩虹粗仿宋" w:hAnsi="宋体" w:eastAsia="彩虹粗仿宋"/>
          <w:snapToGrid w:val="0"/>
          <w:sz w:val="32"/>
          <w:szCs w:val="32"/>
          <w:lang w:val="en-US" w:eastAsia="zh-CN"/>
        </w:rPr>
        <w:t>岗</w:t>
      </w:r>
      <w:r>
        <w:rPr>
          <w:rFonts w:ascii="彩虹粗仿宋" w:hAnsi="宋体" w:eastAsia="彩虹粗仿宋"/>
          <w:snapToGrid w:val="0"/>
          <w:sz w:val="32"/>
          <w:szCs w:val="32"/>
        </w:rPr>
        <w:t>；</w:t>
      </w:r>
      <w:r>
        <w:rPr>
          <w:rFonts w:hint="eastAsia" w:ascii="彩虹粗仿宋" w:hAnsi="宋体" w:eastAsia="彩虹粗仿宋"/>
          <w:snapToGrid w:val="0"/>
          <w:sz w:val="32"/>
          <w:szCs w:val="32"/>
        </w:rPr>
        <w:t>营业网点</w:t>
      </w:r>
      <w:r>
        <w:rPr>
          <w:rFonts w:ascii="彩虹粗仿宋" w:hAnsi="宋体" w:eastAsia="彩虹粗仿宋"/>
          <w:snapToGrid w:val="0"/>
          <w:sz w:val="32"/>
          <w:szCs w:val="32"/>
        </w:rPr>
        <w:t>需保安服务</w:t>
      </w:r>
      <w:r>
        <w:rPr>
          <w:rFonts w:hint="eastAsia" w:ascii="彩虹粗仿宋" w:hAnsi="宋体" w:eastAsia="彩虹粗仿宋"/>
          <w:snapToGrid w:val="0"/>
          <w:sz w:val="32"/>
          <w:szCs w:val="32"/>
        </w:rPr>
        <w:t>2</w:t>
      </w:r>
      <w:r>
        <w:rPr>
          <w:rFonts w:hint="eastAsia" w:ascii="彩虹粗仿宋" w:hAnsi="宋体" w:eastAsia="彩虹粗仿宋"/>
          <w:snapToGrid w:val="0"/>
          <w:sz w:val="32"/>
          <w:szCs w:val="32"/>
          <w:lang w:val="en-US" w:eastAsia="zh-CN"/>
        </w:rPr>
        <w:t>岗</w:t>
      </w:r>
      <w:r>
        <w:rPr>
          <w:rFonts w:hint="eastAsia" w:ascii="彩虹粗仿宋" w:hAnsi="宋体" w:eastAsia="彩虹粗仿宋"/>
          <w:snapToGrid w:val="0"/>
          <w:sz w:val="32"/>
          <w:szCs w:val="32"/>
        </w:rPr>
        <w:t>。</w:t>
      </w:r>
    </w:p>
    <w:p>
      <w:pPr>
        <w:spacing w:line="560" w:lineRule="exact"/>
        <w:ind w:firstLine="640" w:firstLineChars="200"/>
        <w:rPr>
          <w:rFonts w:ascii="彩虹粗仿宋" w:hAnsi="宋体" w:eastAsia="彩虹粗仿宋" w:cs="Times New Roman"/>
          <w:snapToGrid w:val="0"/>
          <w:sz w:val="32"/>
          <w:szCs w:val="32"/>
        </w:rPr>
      </w:pPr>
      <w:r>
        <w:rPr>
          <w:rFonts w:hint="eastAsia" w:ascii="彩虹粗仿宋" w:hAnsi="宋体" w:eastAsia="彩虹粗仿宋" w:cs="Times New Roman"/>
          <w:snapToGrid w:val="0"/>
          <w:kern w:val="0"/>
          <w:sz w:val="32"/>
          <w:szCs w:val="32"/>
        </w:rPr>
        <w:t>办公楼保安服务岗需完成对</w:t>
      </w:r>
      <w:r>
        <w:rPr>
          <w:rFonts w:hint="eastAsia" w:ascii="彩虹粗仿宋" w:hAnsi="宋体" w:eastAsia="彩虹粗仿宋" w:cs="Times New Roman"/>
          <w:snapToGrid w:val="0"/>
          <w:sz w:val="32"/>
          <w:szCs w:val="32"/>
        </w:rPr>
        <w:t>进出人员、车辆和物品进行检查；参与处置发生在的上访和闹访、治安案件和事件、盗抢和暴恐、人身安全和自然灾害等突发事件，维护正常办公秩序；组建义务消防队，处置办公楼范围内的初起火灾并配合消防部门开展火灾扑救和消防救援；配合安全生产工作牵头部门进行安全生产检查等相关工作。</w:t>
      </w:r>
    </w:p>
    <w:p>
      <w:pPr>
        <w:adjustRightInd w:val="0"/>
        <w:snapToGrid w:val="0"/>
        <w:spacing w:line="560" w:lineRule="exact"/>
        <w:ind w:firstLine="473" w:firstLineChars="148"/>
        <w:rPr>
          <w:rFonts w:ascii="彩虹粗仿宋" w:hAnsi="宋体" w:eastAsia="彩虹粗仿宋" w:cs="Times New Roman"/>
          <w:snapToGrid w:val="0"/>
          <w:sz w:val="32"/>
          <w:szCs w:val="32"/>
        </w:rPr>
      </w:pPr>
      <w:r>
        <w:rPr>
          <w:rFonts w:hint="eastAsia" w:ascii="彩虹粗仿宋" w:hAnsi="宋体" w:eastAsia="彩虹粗仿宋" w:cs="Times New Roman"/>
          <w:snapToGrid w:val="0"/>
          <w:sz w:val="32"/>
          <w:szCs w:val="32"/>
        </w:rPr>
        <w:t>营业网点保安</w:t>
      </w:r>
      <w:r>
        <w:rPr>
          <w:rFonts w:hint="eastAsia" w:ascii="彩虹粗仿宋" w:hAnsi="Times New Roman" w:eastAsia="彩虹粗仿宋" w:cs="Times New Roman"/>
          <w:sz w:val="32"/>
          <w:szCs w:val="32"/>
        </w:rPr>
        <w:t>服务岗</w:t>
      </w:r>
      <w:r>
        <w:rPr>
          <w:rFonts w:hint="eastAsia" w:ascii="彩虹粗仿宋" w:eastAsia="彩虹粗仿宋" w:cs="CHCFS"/>
          <w:kern w:val="0"/>
          <w:sz w:val="32"/>
          <w:szCs w:val="32"/>
        </w:rPr>
        <w:t>负责</w:t>
      </w:r>
      <w:r>
        <w:rPr>
          <w:rFonts w:hint="eastAsia" w:ascii="彩虹粗仿宋" w:hAnsi="Times New Roman" w:eastAsia="彩虹粗仿宋" w:cs="Times New Roman"/>
          <w:sz w:val="32"/>
          <w:szCs w:val="32"/>
        </w:rPr>
        <w:t>开封分（支）行</w:t>
      </w:r>
      <w:r>
        <w:rPr>
          <w:rFonts w:hint="eastAsia" w:ascii="Times New Roman" w:hAnsi="Calibri" w:eastAsia="彩虹粗仿宋" w:cs="宋体"/>
          <w:kern w:val="0"/>
          <w:sz w:val="32"/>
          <w:szCs w:val="32"/>
        </w:rPr>
        <w:t>的营业网点正常营业期间驻点值守，</w:t>
      </w:r>
      <w:r>
        <w:rPr>
          <w:rFonts w:hint="eastAsia" w:ascii="彩虹粗仿宋" w:hAnsi="宋体" w:eastAsia="彩虹粗仿宋" w:cs="Times New Roman"/>
          <w:snapToGrid w:val="0"/>
          <w:sz w:val="32"/>
          <w:szCs w:val="32"/>
        </w:rPr>
        <w:t>处置发生在营业网点范围内的人员非正常聚集和挤兑、治安案件和事件、盗抢和暴恐、人身安全和自然灾害以及消防火灾及安全生产事故等突发事件，维护营业网点的正常营业秩序；配合安全员进行营业网点日常安全检查和接送款的清场警戒等相关工作。</w:t>
      </w:r>
    </w:p>
    <w:p>
      <w:pPr>
        <w:autoSpaceDE w:val="0"/>
        <w:autoSpaceDN w:val="0"/>
        <w:adjustRightInd w:val="0"/>
        <w:snapToGrid w:val="0"/>
        <w:spacing w:line="560" w:lineRule="atLeas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spacing w:line="560" w:lineRule="exact"/>
        <w:ind w:firstLine="470" w:firstLineChars="147"/>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1.营业网点值勤保安保安员必须政治上可靠，遵守国家法律、法规，无不良行为记录，身体健康，使用男性保安人员，身高1.70米以上，年龄18周岁至50周岁之间，严禁超过50岁；</w:t>
      </w:r>
    </w:p>
    <w:p>
      <w:pPr>
        <w:adjustRightInd w:val="0"/>
        <w:snapToGrid w:val="0"/>
        <w:spacing w:line="560" w:lineRule="exact"/>
        <w:ind w:firstLine="640" w:firstLineChars="20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2.通许县支行办公楼区域值勤保安须为男性保安人员，年龄18周岁至55周岁之间，严禁超过55岁。政治素质好、身体好、品行好、专业培训合格、具有较强工作能力和责任心，无不良记录及犯罪记录，具有抵御外来侵害和妥善处置突发事件的能力。</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spacing w:line="560" w:lineRule="exact"/>
        <w:ind w:firstLine="643" w:firstLineChars="200"/>
        <w:rPr>
          <w:rFonts w:ascii="彩虹楷体" w:hAnsi="宋体" w:eastAsia="彩虹楷体" w:cs="Times New Roman"/>
          <w:b/>
          <w:snapToGrid w:val="0"/>
          <w:kern w:val="0"/>
          <w:sz w:val="32"/>
          <w:szCs w:val="32"/>
        </w:rPr>
      </w:pPr>
      <w:r>
        <w:rPr>
          <w:rFonts w:hint="eastAsia" w:ascii="彩虹楷体" w:hAnsi="宋体" w:eastAsia="彩虹楷体" w:cs="Times New Roman"/>
          <w:b/>
          <w:snapToGrid w:val="0"/>
          <w:kern w:val="0"/>
          <w:sz w:val="32"/>
          <w:szCs w:val="32"/>
        </w:rPr>
        <w:t>（一）服务质量要求：</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1.供应商承诺按照协议约定的服务内容向我行提供合格的服务，接受我行对其工作的指导和监督。</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2.严格按照我行的服务需求，配备和提供服务人员。不得泄漏任何我行的业务信息。</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3.供应商负责制定与受托业务相关的内控制度、操作规程、人员考核等办法，并报我行备案；未经我行书面同意，不得将其在协议约定项下任一事项转让或分包给第三方。</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4.供应商负责与保安人员签订符合《劳动法》的正式合同，负责劳动用工以及涉及劳动关系管理的所有事宜。供应商应承诺人员的基本保障性工资不低于所在工作地区最低工资标准，按照国家规定缴纳社会保险等。</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5.供应商应对派驻我行的人员进行业务知识培训，并达到国家承认的上岗资格，做到持证上岗。派往我行的人员非必要，不得进入我行营业柜台等场所，不得从事本岗位工作职责以外的工作。执勤期间，按照约定着装持械上岗。定期进行应急预案演练。</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6.供应商按照服务内容开展巡查工作，并加强巡查人员的管理，对巡查人员必须进行岗前培训。巡查过程中发现可疑情况必须立即处置上报。</w:t>
      </w:r>
    </w:p>
    <w:p>
      <w:pPr>
        <w:tabs>
          <w:tab w:val="left" w:pos="720"/>
        </w:tabs>
        <w:adjustRightInd w:val="0"/>
        <w:snapToGrid w:val="0"/>
        <w:spacing w:line="560" w:lineRule="atLeast"/>
        <w:ind w:firstLine="627" w:firstLineChars="196"/>
        <w:rPr>
          <w:rFonts w:ascii="彩虹粗仿宋" w:hAnsi="华文楷体" w:eastAsia="彩虹粗仿宋"/>
          <w:sz w:val="32"/>
          <w:szCs w:val="32"/>
        </w:rPr>
      </w:pPr>
      <w:r>
        <w:rPr>
          <w:rFonts w:hint="eastAsia" w:ascii="彩虹粗仿宋" w:hAnsi="Times New Roman" w:eastAsia="彩虹粗仿宋" w:cs="Times New Roman"/>
          <w:sz w:val="32"/>
          <w:szCs w:val="32"/>
        </w:rPr>
        <w:t>7.</w:t>
      </w:r>
      <w:r>
        <w:rPr>
          <w:rFonts w:hint="eastAsia" w:ascii="彩虹粗仿宋" w:hAnsi="华文楷体" w:eastAsia="彩虹粗仿宋"/>
          <w:sz w:val="32"/>
          <w:szCs w:val="32"/>
        </w:rPr>
        <w:t xml:space="preserve"> 供应商履行的职责</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按时保质保量完服务内容，配合我行完成阶段性和临时性任务，配合完成其他与事项有关的合理性工作，如各类安全检查、突发事件处置等。</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（1）服务人员如在为我行提供服务过程中发生一切人身意外伤害或造成我行及客户的人身、财产损失，均由供应商负全责。</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（2）供应商制定符合我行要求的规章制度、工作纪律、要求，以及相关客户服务制度，并要求服务人员严格执行，避免因不规范服务或过度服务引发风险。</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8. 职业道德要求</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（1）恪守职业道德，自觉维护我行利益。</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（2）在工作中必须维护我行形象，规范服务用语、尊重客户、不得与客户发生争吵或冲突；造成客户投诉，应第一时间向服务机构负责人汇报情况，不得推诿隐瞒，不得引起客户投诉的升级。</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（3）主动与我行员工相互协作、相互支持、相互配合，营造融洽的合作氛围。</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9. 仪容仪表要求</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（1）发型大方，保持头发整洁，不得留怪异发型和染异色，工作时间不得佩戴墨镜。</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（2）男性不得蓄长发、留胡须、佩戴项链。</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（3）女性可适度化妆，不浓妆艳抹，不使用气味强烈的化妆品；不得留长指甲，不得涂有色指甲；不得佩戴耳坠或大耳环。</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（4）供应商制定自身的员工礼仪规范，应要求服务人员严格执行。</w:t>
      </w:r>
    </w:p>
    <w:p>
      <w:pPr>
        <w:spacing w:line="600" w:lineRule="exact"/>
        <w:ind w:firstLine="643" w:firstLineChars="200"/>
        <w:jc w:val="left"/>
        <w:rPr>
          <w:rFonts w:ascii="彩虹楷体" w:hAnsi="宋体" w:eastAsia="彩虹楷体" w:cs="Times New Roman"/>
          <w:b/>
          <w:kern w:val="0"/>
          <w:sz w:val="32"/>
          <w:szCs w:val="32"/>
        </w:rPr>
      </w:pPr>
      <w:r>
        <w:rPr>
          <w:rFonts w:hint="eastAsia" w:ascii="彩虹楷体" w:hAnsi="Times New Roman" w:eastAsia="彩虹楷体" w:cs="Times New Roman"/>
          <w:b/>
          <w:sz w:val="32"/>
          <w:szCs w:val="32"/>
        </w:rPr>
        <w:t>（二）</w:t>
      </w:r>
      <w:r>
        <w:rPr>
          <w:rFonts w:hint="eastAsia" w:ascii="彩虹楷体" w:hAnsi="宋体" w:eastAsia="彩虹楷体" w:cs="Times New Roman"/>
          <w:b/>
          <w:kern w:val="0"/>
          <w:sz w:val="32"/>
          <w:szCs w:val="32"/>
        </w:rPr>
        <w:t>风险控制和应急措施</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为保证我行权益和商业机密，需采取以下风险控制和应急措施。</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 风险控制措施：禁止供应商以我行名义进行用工管理或开展生产经营活动，服务人员必须与公司依法订立了劳动合同，防范业务用工风险。</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（1）日常管理、监督和检查。</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a.我行负责人员的业务培训和规范操作，指导、监督保安服务人员按章办事，在安保服务过程中协助做好办公、营业场所经营秩序的同时，维护员工、客户的人身和财产安全，不得从事岗位职责以外的工作。</w:t>
      </w:r>
    </w:p>
    <w:p>
      <w:pPr>
        <w:adjustRightInd w:val="0"/>
        <w:snapToGrid w:val="0"/>
        <w:spacing w:line="560" w:lineRule="exact"/>
        <w:ind w:firstLine="480" w:firstLineChars="150"/>
        <w:rPr>
          <w:rFonts w:ascii="彩虹粗仿宋" w:hAnsi="微软雅黑" w:eastAsia="彩虹粗仿宋" w:cs="Times New Roman"/>
          <w:sz w:val="32"/>
          <w:szCs w:val="32"/>
        </w:rPr>
      </w:pPr>
      <w:r>
        <w:rPr>
          <w:rFonts w:hint="eastAsia" w:ascii="彩虹粗仿宋" w:hAnsi="微软雅黑" w:eastAsia="彩虹粗仿宋" w:cs="Times New Roman"/>
          <w:sz w:val="32"/>
          <w:szCs w:val="32"/>
        </w:rPr>
        <w:t>b.按照我行的要求，每季度至少开展一次服务检查，并形成检查报告，召开联席会对检查中发现的问题及时通报供应商，限期整改和落实，每年度结束后形成年度评估报告。</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（2）明确责任，防范风险。</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双方按照约定明确双方责任，建立健全安全责任制，完善双方沟通协作机制。提供安保服务的供应商应根据不同工作性质，明确人员岗位职责，规范流程，不断提升服务人员的业务素质和技能，为我行提供更加安全的安保、巡查服务。</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b.监督管理实行“对事不对人”，明确人员招聘、管理、考核、薪酬发放等均由供应商负责，我行负责监督检查服务质量和应急处置。</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c.供应商通过工作合同、规章对服务人员的行为做出约束，与服务人员签订《保密协议》，防范客户信息泄露的风险，严格防范操作风险、声誉风险及其它风险。</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（3）保密要求</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a.保安服务人员只能掌握了解工作需要的相关信息，不得将我行信息资料以任何方式透露给其他任何机构或个人。</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b.保安服务人员不得利用工作之便，窃取、收买或者非法提供他人申请信息资料进行各种非法活动。</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c.如有供应商原因导致我行及客户信息泄漏的，我行将立即取消合作，并追究相关责任。</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d.供应商应严守我行的商业秘密、技术秘密和其他商业及业务信息，不得泄露。保密要求长期有效。</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 应急措施</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（1）日常应急管理</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a.供应商应制定相关应急预案，预案场景设置、预案分工、预案演练、预案评估，明确应急处置流程。应急预案包括但不限于我行及客户信息泄露、客户投诉等风险事件，营业网点如遇挤兑、抢劫、被盗等事件。</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b.因供应商原因造成我行经济损失的，应按照相关法律法规、约定进行赔偿。造成我行声誉损失的，应积极配合我行采取措施消除影响、恢复声誉。涉嫌违法犯罪的，应及时向公安机关报案。</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c.在处理事（案）件过程中要时刻向我行报告进展情况，待风险解除后，形成书面报告报送我行，我行综合评估后确定是否继续开展事项。</w:t>
      </w:r>
    </w:p>
    <w:p>
      <w:pPr>
        <w:spacing w:line="600" w:lineRule="exact"/>
        <w:ind w:firstLine="643" w:firstLineChars="200"/>
        <w:jc w:val="left"/>
        <w:rPr>
          <w:rFonts w:ascii="彩虹楷体" w:hAnsi="Times New Roman" w:eastAsia="彩虹楷体" w:cs="Times New Roman"/>
          <w:b/>
          <w:sz w:val="32"/>
          <w:szCs w:val="32"/>
        </w:rPr>
      </w:pPr>
      <w:r>
        <w:rPr>
          <w:rFonts w:hint="eastAsia" w:ascii="彩虹楷体" w:hAnsi="Times New Roman" w:eastAsia="彩虹楷体" w:cs="Times New Roman"/>
          <w:b/>
          <w:sz w:val="32"/>
          <w:szCs w:val="32"/>
        </w:rPr>
        <w:t>（三）验收方法</w:t>
      </w:r>
    </w:p>
    <w:p>
      <w:pPr>
        <w:adjustRightInd w:val="0"/>
        <w:snapToGrid w:val="0"/>
        <w:spacing w:line="560" w:lineRule="exact"/>
        <w:ind w:firstLine="640" w:firstLineChars="200"/>
        <w:rPr>
          <w:rFonts w:ascii="彩虹粗仿宋" w:hAnsi="宋体" w:eastAsia="彩虹粗仿宋" w:cs="Times New Roman"/>
          <w:kern w:val="0"/>
          <w:sz w:val="32"/>
          <w:szCs w:val="32"/>
        </w:rPr>
      </w:pPr>
      <w:r>
        <w:rPr>
          <w:rFonts w:hint="eastAsia" w:ascii="彩虹粗仿宋" w:hAnsi="黑体" w:eastAsia="彩虹粗仿宋" w:cs="Times New Roman"/>
          <w:sz w:val="32"/>
          <w:szCs w:val="32"/>
        </w:rPr>
        <w:t>通许支行每月组织开展服务测评，并根据《保安服务测评表》出具测评结果，</w:t>
      </w:r>
      <w:r>
        <w:rPr>
          <w:rFonts w:hint="eastAsia" w:ascii="彩虹粗仿宋" w:hAnsi="宋体" w:eastAsia="彩虹粗仿宋" w:cs="Times New Roman"/>
          <w:sz w:val="32"/>
          <w:szCs w:val="32"/>
        </w:rPr>
        <w:t>合格岗位占服务总岗位90%（含）以上为总体合格、80%（含）以上90%以下为基本合格、80%以下为不合格，按总体合格、基本合格、不合格三个档次支付服务费用</w:t>
      </w:r>
      <w:r>
        <w:rPr>
          <w:rFonts w:hint="eastAsia" w:ascii="彩虹粗仿宋" w:hAnsi="宋体" w:eastAsia="彩虹粗仿宋" w:cs="Times New Roman"/>
          <w:kern w:val="0"/>
          <w:sz w:val="32"/>
          <w:szCs w:val="32"/>
        </w:rPr>
        <w:t>。合格档次支付全额服务费用，基本合格、不合格档次所有岗位均分别调减50元、100元服务费用支付，并进行约谈，连续三次不合格甲方有权终止合作。</w:t>
      </w:r>
    </w:p>
    <w:p>
      <w:pPr>
        <w:spacing w:line="560" w:lineRule="exact"/>
        <w:ind w:firstLine="636"/>
        <w:rPr>
          <w:rFonts w:ascii="彩虹楷体" w:hAnsi="宋体" w:eastAsia="彩虹楷体"/>
          <w:b/>
          <w:sz w:val="32"/>
          <w:szCs w:val="32"/>
        </w:rPr>
      </w:pPr>
      <w:r>
        <w:rPr>
          <w:rFonts w:hint="eastAsia" w:ascii="彩虹楷体" w:hAnsi="Times New Roman" w:eastAsia="彩虹楷体" w:cs="Times New Roman"/>
          <w:b/>
          <w:sz w:val="32"/>
          <w:szCs w:val="32"/>
        </w:rPr>
        <w:t>（四）</w:t>
      </w:r>
      <w:r>
        <w:rPr>
          <w:rFonts w:hint="eastAsia" w:ascii="彩虹楷体" w:hAnsi="宋体" w:eastAsia="彩虹楷体"/>
          <w:b/>
          <w:sz w:val="32"/>
          <w:szCs w:val="32"/>
        </w:rPr>
        <w:t>消保条款要求</w:t>
      </w:r>
    </w:p>
    <w:p>
      <w:pPr>
        <w:spacing w:line="560" w:lineRule="exact"/>
        <w:ind w:firstLine="636"/>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3.消费者投诉条款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 xml:space="preserve">4.其他行为监督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jc w:val="left"/>
        <w:rPr>
          <w:rFonts w:ascii="彩虹楷体" w:hAnsi="Times New Roman" w:eastAsia="彩虹楷体" w:cs="Times New Roman"/>
          <w:b/>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adjustRightInd w:val="0"/>
        <w:snapToGrid w:val="0"/>
        <w:spacing w:line="560" w:lineRule="exact"/>
        <w:ind w:firstLine="473" w:firstLineChars="148"/>
        <w:rPr>
          <w:rFonts w:ascii="彩虹黑体" w:eastAsia="彩虹黑体"/>
          <w:sz w:val="32"/>
          <w:szCs w:val="32"/>
        </w:rPr>
      </w:pPr>
      <w:r>
        <w:rPr>
          <w:rFonts w:hint="eastAsia" w:ascii="彩虹黑体" w:eastAsia="彩虹黑体"/>
          <w:sz w:val="32"/>
          <w:szCs w:val="32"/>
        </w:rPr>
        <w:t>五、服务供应安排</w:t>
      </w:r>
    </w:p>
    <w:p>
      <w:pPr>
        <w:adjustRightInd w:val="0"/>
        <w:snapToGrid w:val="0"/>
        <w:spacing w:line="560" w:lineRule="exact"/>
        <w:ind w:firstLine="473" w:firstLineChars="14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通许县支行办公楼实行24小时轮班制值守，网点保安人员执勤的工作时间与网点营业时间保持一致，每人每周工作时间符合国家法定工作时间。</w:t>
      </w:r>
    </w:p>
    <w:p>
      <w:pPr>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除支付供应商服务费用外，其他费用均由供应商负责。</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p>
      <w:pPr>
        <w:adjustRightInd w:val="0"/>
        <w:snapToGrid w:val="0"/>
        <w:spacing w:line="560" w:lineRule="exact"/>
        <w:ind w:firstLine="320" w:firstLineChars="100"/>
        <w:rPr>
          <w:rFonts w:ascii="彩虹粗仿宋" w:hAnsi="黑体" w:eastAsia="彩虹粗仿宋" w:cs="彩虹粗仿宋"/>
          <w:snapToGrid w:val="0"/>
          <w:kern w:val="0"/>
          <w:sz w:val="32"/>
          <w:szCs w:val="32"/>
        </w:rPr>
      </w:pPr>
      <w:r>
        <w:rPr>
          <w:rFonts w:hint="eastAsia" w:ascii="彩虹粗仿宋" w:hAnsi="黑体" w:eastAsia="彩虹粗仿宋" w:cs="彩虹粗仿宋"/>
          <w:snapToGrid w:val="0"/>
          <w:kern w:val="0"/>
          <w:sz w:val="32"/>
          <w:szCs w:val="32"/>
        </w:rPr>
        <w:t>（一）服务区域</w:t>
      </w:r>
    </w:p>
    <w:p>
      <w:pPr>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安保服务：开封分行通许县支行。</w:t>
      </w:r>
    </w:p>
    <w:p>
      <w:pPr>
        <w:spacing w:line="560" w:lineRule="exact"/>
        <w:ind w:firstLine="320" w:firstLineChars="100"/>
        <w:rPr>
          <w:rFonts w:ascii="彩虹粗仿宋" w:hAnsi="黑体" w:eastAsia="彩虹粗仿宋" w:cs="Times New Roman"/>
          <w:sz w:val="32"/>
          <w:szCs w:val="32"/>
        </w:rPr>
      </w:pPr>
      <w:r>
        <w:rPr>
          <w:rFonts w:hint="eastAsia" w:ascii="彩虹粗仿宋" w:hAnsi="黑体" w:eastAsia="彩虹粗仿宋" w:cs="Times New Roman"/>
          <w:sz w:val="32"/>
          <w:szCs w:val="32"/>
        </w:rPr>
        <w:t>（二）岗位数量</w:t>
      </w:r>
    </w:p>
    <w:p>
      <w:pPr>
        <w:adjustRightInd w:val="0"/>
        <w:snapToGrid w:val="0"/>
        <w:spacing w:line="560" w:lineRule="exact"/>
        <w:ind w:firstLine="313" w:firstLineChars="98"/>
        <w:rPr>
          <w:rFonts w:ascii="彩虹粗仿宋" w:hAnsi="黑体" w:eastAsia="彩虹粗仿宋" w:cs="Times New Roman"/>
          <w:sz w:val="32"/>
          <w:szCs w:val="32"/>
        </w:rPr>
      </w:pPr>
      <w:r>
        <w:rPr>
          <w:rFonts w:hint="eastAsia" w:ascii="彩虹粗仿宋" w:hAnsi="黑体" w:eastAsia="彩虹粗仿宋" w:cs="Times New Roman"/>
          <w:sz w:val="32"/>
          <w:szCs w:val="32"/>
        </w:rPr>
        <w:t>通许县支行本部办公楼需保安服务1</w:t>
      </w:r>
      <w:r>
        <w:rPr>
          <w:rFonts w:hint="eastAsia" w:ascii="彩虹粗仿宋" w:hAnsi="宋体" w:eastAsia="彩虹粗仿宋"/>
          <w:snapToGrid w:val="0"/>
          <w:sz w:val="32"/>
          <w:szCs w:val="32"/>
          <w:lang w:val="en-US" w:eastAsia="zh-CN"/>
        </w:rPr>
        <w:t>岗</w:t>
      </w:r>
      <w:r>
        <w:rPr>
          <w:rFonts w:hint="eastAsia" w:ascii="彩虹粗仿宋" w:hAnsi="黑体" w:eastAsia="彩虹粗仿宋" w:cs="Times New Roman"/>
          <w:sz w:val="32"/>
          <w:szCs w:val="32"/>
        </w:rPr>
        <w:t>；营业网点需保安服务2</w:t>
      </w:r>
      <w:r>
        <w:rPr>
          <w:rFonts w:hint="eastAsia" w:ascii="彩虹粗仿宋" w:hAnsi="宋体" w:eastAsia="彩虹粗仿宋"/>
          <w:snapToGrid w:val="0"/>
          <w:sz w:val="32"/>
          <w:szCs w:val="32"/>
          <w:lang w:val="en-US" w:eastAsia="zh-CN"/>
        </w:rPr>
        <w:t>岗</w:t>
      </w:r>
      <w:r>
        <w:rPr>
          <w:rFonts w:hint="eastAsia" w:ascii="彩虹粗仿宋" w:hAnsi="黑体" w:eastAsia="彩虹粗仿宋" w:cs="Times New Roman"/>
          <w:sz w:val="32"/>
          <w:szCs w:val="32"/>
        </w:rPr>
        <w:t>。</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eastAsia="彩虹黑体"/>
          <w:sz w:val="32"/>
          <w:szCs w:val="32"/>
        </w:rPr>
        <w:t>七、</w:t>
      </w:r>
      <w:r>
        <w:rPr>
          <w:rFonts w:hint="eastAsia" w:ascii="彩虹黑体" w:hAnsi="宋体" w:eastAsia="彩虹黑体" w:cs="Times New Roman"/>
          <w:snapToGrid w:val="0"/>
          <w:kern w:val="0"/>
          <w:sz w:val="32"/>
          <w:szCs w:val="32"/>
        </w:rPr>
        <w:t>款项支付要求</w:t>
      </w:r>
    </w:p>
    <w:p>
      <w:pPr>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黑体" w:eastAsia="彩虹粗仿宋" w:cs="彩虹粗仿宋"/>
          <w:snapToGrid w:val="0"/>
          <w:kern w:val="0"/>
          <w:sz w:val="32"/>
          <w:szCs w:val="32"/>
        </w:rPr>
        <w:t>按月据实支付</w:t>
      </w:r>
      <w:r>
        <w:rPr>
          <w:rFonts w:hint="eastAsia" w:ascii="彩虹粗仿宋" w:hAnsi="黑体" w:eastAsia="彩虹粗仿宋" w:cs="Times New Roman"/>
          <w:snapToGrid w:val="0"/>
          <w:sz w:val="32"/>
          <w:szCs w:val="32"/>
        </w:rPr>
        <w:t>，根据月度考核情况，</w:t>
      </w:r>
      <w:r>
        <w:rPr>
          <w:rFonts w:hint="eastAsia" w:ascii="彩虹粗仿宋" w:hAnsi="黑体" w:eastAsia="彩虹粗仿宋" w:cs="Times New Roman"/>
          <w:sz w:val="32"/>
          <w:szCs w:val="32"/>
        </w:rPr>
        <w:t>供应商出具相应的增值税专用发票，</w:t>
      </w:r>
      <w:r>
        <w:rPr>
          <w:rFonts w:hint="eastAsia" w:ascii="彩虹粗仿宋" w:hAnsi="宋体" w:eastAsia="彩虹粗仿宋" w:cs="Times New Roman"/>
          <w:snapToGrid w:val="0"/>
          <w:kern w:val="0"/>
          <w:sz w:val="32"/>
          <w:szCs w:val="32"/>
        </w:rPr>
        <w:t>如遇增加或减少岗位数量,服务金额按对应岗位价格和数量进行增减。</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按照开封分行通许县支行服务本部办公、网点数量、使用外包安保服务数量要求，按每月每人次报含税单价和总价。</w:t>
      </w:r>
    </w:p>
    <w:p>
      <w:pPr>
        <w:spacing w:line="52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snapToGrid w:val="0"/>
          <w:sz w:val="32"/>
          <w:szCs w:val="32"/>
        </w:rPr>
        <w:t>通许县支行办公楼门卫需保安服务1</w:t>
      </w:r>
      <w:r>
        <w:rPr>
          <w:rFonts w:hint="eastAsia" w:ascii="彩虹粗仿宋" w:hAnsi="宋体" w:eastAsia="彩虹粗仿宋"/>
          <w:snapToGrid w:val="0"/>
          <w:sz w:val="32"/>
          <w:szCs w:val="32"/>
          <w:lang w:val="en-US" w:eastAsia="zh-CN"/>
        </w:rPr>
        <w:t>岗</w:t>
      </w:r>
      <w:r>
        <w:rPr>
          <w:rFonts w:hint="eastAsia" w:ascii="彩虹粗仿宋" w:hAnsi="宋体" w:eastAsia="彩虹粗仿宋"/>
          <w:snapToGrid w:val="0"/>
          <w:sz w:val="32"/>
          <w:szCs w:val="32"/>
        </w:rPr>
        <w:t>，</w:t>
      </w:r>
      <w:r>
        <w:rPr>
          <w:rFonts w:ascii="彩虹粗仿宋" w:hAnsi="宋体" w:eastAsia="彩虹粗仿宋"/>
          <w:snapToGrid w:val="0"/>
          <w:sz w:val="32"/>
          <w:szCs w:val="32"/>
        </w:rPr>
        <w:t>0.1万元/月；</w:t>
      </w:r>
      <w:r>
        <w:rPr>
          <w:rFonts w:hint="eastAsia" w:ascii="彩虹粗仿宋" w:hAnsi="宋体" w:eastAsia="彩虹粗仿宋"/>
          <w:snapToGrid w:val="0"/>
          <w:sz w:val="32"/>
          <w:szCs w:val="32"/>
        </w:rPr>
        <w:t>营业网点需保安服务2</w:t>
      </w:r>
      <w:r>
        <w:rPr>
          <w:rFonts w:hint="eastAsia" w:ascii="彩虹粗仿宋" w:hAnsi="宋体" w:eastAsia="彩虹粗仿宋"/>
          <w:snapToGrid w:val="0"/>
          <w:sz w:val="32"/>
          <w:szCs w:val="32"/>
          <w:lang w:val="en-US" w:eastAsia="zh-CN"/>
        </w:rPr>
        <w:t>岗</w:t>
      </w:r>
      <w:r>
        <w:rPr>
          <w:rFonts w:hint="eastAsia" w:ascii="彩虹粗仿宋" w:hAnsi="宋体" w:eastAsia="彩虹粗仿宋"/>
          <w:snapToGrid w:val="0"/>
          <w:sz w:val="32"/>
          <w:szCs w:val="32"/>
        </w:rPr>
        <w:t>，每</w:t>
      </w:r>
      <w:r>
        <w:rPr>
          <w:rFonts w:hint="eastAsia" w:ascii="彩虹粗仿宋" w:hAnsi="宋体" w:eastAsia="彩虹粗仿宋"/>
          <w:snapToGrid w:val="0"/>
          <w:sz w:val="32"/>
          <w:szCs w:val="32"/>
          <w:lang w:val="en-US" w:eastAsia="zh-CN"/>
        </w:rPr>
        <w:t>岗</w:t>
      </w:r>
      <w:r>
        <w:rPr>
          <w:rFonts w:hint="eastAsia" w:ascii="彩虹粗仿宋" w:hAnsi="宋体" w:eastAsia="彩虹粗仿宋"/>
          <w:snapToGrid w:val="0"/>
          <w:sz w:val="32"/>
          <w:szCs w:val="32"/>
        </w:rPr>
        <w:t>每月</w:t>
      </w:r>
      <w:r>
        <w:rPr>
          <w:rFonts w:ascii="彩虹粗仿宋" w:hAnsi="宋体" w:eastAsia="彩虹粗仿宋"/>
          <w:snapToGrid w:val="0"/>
          <w:sz w:val="32"/>
          <w:szCs w:val="32"/>
        </w:rPr>
        <w:t>0.</w:t>
      </w:r>
      <w:r>
        <w:rPr>
          <w:rFonts w:hint="eastAsia" w:ascii="彩虹粗仿宋" w:hAnsi="宋体" w:eastAsia="彩虹粗仿宋"/>
          <w:snapToGrid w:val="0"/>
          <w:sz w:val="32"/>
          <w:szCs w:val="32"/>
        </w:rPr>
        <w:t>25万元</w:t>
      </w:r>
      <w:r>
        <w:rPr>
          <w:rFonts w:ascii="彩虹粗仿宋" w:hAnsi="宋体" w:eastAsia="彩虹粗仿宋"/>
          <w:snapToGrid w:val="0"/>
          <w:sz w:val="32"/>
          <w:szCs w:val="32"/>
        </w:rPr>
        <w:t>，</w:t>
      </w:r>
      <w:r>
        <w:rPr>
          <w:rFonts w:hint="eastAsia" w:ascii="彩虹粗仿宋" w:hAnsi="宋体" w:eastAsia="彩虹粗仿宋"/>
          <w:snapToGrid w:val="0"/>
          <w:sz w:val="32"/>
          <w:szCs w:val="32"/>
        </w:rPr>
        <w:t>3</w:t>
      </w:r>
      <w:r>
        <w:rPr>
          <w:rFonts w:hint="eastAsia" w:ascii="彩虹粗仿宋" w:hAnsi="宋体" w:eastAsia="彩虹粗仿宋"/>
          <w:snapToGrid w:val="0"/>
          <w:sz w:val="32"/>
          <w:szCs w:val="32"/>
          <w:lang w:val="en-US" w:eastAsia="zh-CN"/>
        </w:rPr>
        <w:t>岗</w:t>
      </w:r>
      <w:r>
        <w:rPr>
          <w:rFonts w:ascii="彩虹粗仿宋" w:hAnsi="宋体" w:eastAsia="彩虹粗仿宋"/>
          <w:snapToGrid w:val="0"/>
          <w:sz w:val="32"/>
          <w:szCs w:val="32"/>
        </w:rPr>
        <w:t>保安服务</w:t>
      </w:r>
      <w:r>
        <w:rPr>
          <w:rFonts w:hint="eastAsia" w:ascii="彩虹粗仿宋" w:hAnsi="宋体" w:eastAsia="彩虹粗仿宋"/>
          <w:snapToGrid w:val="0"/>
          <w:sz w:val="32"/>
          <w:szCs w:val="32"/>
        </w:rPr>
        <w:t>费每月0.6万元</w:t>
      </w:r>
      <w:r>
        <w:rPr>
          <w:rFonts w:hint="eastAsia" w:ascii="彩虹粗仿宋" w:hAnsi="宋体" w:eastAsia="彩虹粗仿宋" w:cs="Times New Roman"/>
          <w:snapToGrid w:val="0"/>
          <w:kern w:val="0"/>
          <w:sz w:val="32"/>
          <w:szCs w:val="32"/>
        </w:rPr>
        <w:t>，超过预算为无效报价。</w:t>
      </w:r>
    </w:p>
    <w:p>
      <w:pPr>
        <w:spacing w:line="560" w:lineRule="exact"/>
        <w:ind w:firstLine="640" w:firstLineChars="200"/>
        <w:rPr>
          <w:rFonts w:ascii="彩虹黑体" w:eastAsia="彩虹黑体"/>
          <w:sz w:val="32"/>
          <w:szCs w:val="32"/>
        </w:rPr>
      </w:pPr>
      <w:r>
        <w:rPr>
          <w:rFonts w:hint="eastAsia" w:ascii="彩虹黑体" w:eastAsia="彩虹黑体"/>
          <w:sz w:val="32"/>
          <w:szCs w:val="32"/>
        </w:rPr>
        <w:t>九、其他要求</w:t>
      </w:r>
    </w:p>
    <w:p>
      <w:pPr>
        <w:adjustRightInd w:val="0"/>
        <w:snapToGrid w:val="0"/>
        <w:spacing w:line="560" w:lineRule="exact"/>
        <w:ind w:firstLine="633" w:firstLineChars="198"/>
        <w:rPr>
          <w:rFonts w:ascii="彩虹粗仿宋" w:hAnsi="微软雅黑" w:eastAsia="彩虹粗仿宋" w:cs="Times New Roman"/>
          <w:sz w:val="32"/>
          <w:szCs w:val="32"/>
        </w:rPr>
      </w:pPr>
      <w:r>
        <w:rPr>
          <w:rFonts w:hint="eastAsia" w:ascii="彩虹粗仿宋" w:hAnsi="宋体" w:eastAsia="彩虹粗仿宋" w:cs="Times New Roman"/>
          <w:snapToGrid w:val="0"/>
          <w:kern w:val="0"/>
          <w:sz w:val="32"/>
          <w:szCs w:val="32"/>
        </w:rPr>
        <w:t>协议期间,如需增加或减少保安岗位,以签订补充协议为准.</w:t>
      </w:r>
    </w:p>
    <w:p>
      <w:pPr>
        <w:jc w:val="left"/>
        <w:rPr>
          <w:rFonts w:ascii="彩虹粗仿宋" w:hAnsi="Times New Roman" w:eastAsia="彩虹粗仿宋" w:cs="Times New Roman"/>
          <w:kern w:val="0"/>
          <w:sz w:val="32"/>
          <w:szCs w:val="32"/>
        </w:rPr>
      </w:pPr>
      <w:r>
        <w:rPr>
          <w:rFonts w:hint="eastAsia" w:ascii="彩虹粗仿宋" w:hAnsi="Times New Roman" w:eastAsia="彩虹粗仿宋" w:cs="Times New Roman"/>
          <w:kern w:val="0"/>
          <w:sz w:val="32"/>
          <w:szCs w:val="32"/>
        </w:rPr>
        <w:t>附件：</w:t>
      </w:r>
    </w:p>
    <w:tbl>
      <w:tblPr>
        <w:tblStyle w:val="2"/>
        <w:tblW w:w="8980" w:type="dxa"/>
        <w:tblInd w:w="93" w:type="dxa"/>
        <w:tblLayout w:type="autofit"/>
        <w:tblCellMar>
          <w:top w:w="0" w:type="dxa"/>
          <w:left w:w="108" w:type="dxa"/>
          <w:bottom w:w="0" w:type="dxa"/>
          <w:right w:w="108" w:type="dxa"/>
        </w:tblCellMar>
      </w:tblPr>
      <w:tblGrid>
        <w:gridCol w:w="740"/>
        <w:gridCol w:w="740"/>
        <w:gridCol w:w="720"/>
        <w:gridCol w:w="1080"/>
        <w:gridCol w:w="740"/>
        <w:gridCol w:w="1120"/>
        <w:gridCol w:w="920"/>
        <w:gridCol w:w="740"/>
        <w:gridCol w:w="700"/>
        <w:gridCol w:w="720"/>
        <w:gridCol w:w="760"/>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jc w:val="center"/>
              <w:rPr>
                <w:rFonts w:ascii="Times New Roman" w:hAnsi="Times New Roman"/>
                <w:b/>
                <w:bCs/>
                <w:kern w:val="0"/>
                <w:sz w:val="36"/>
                <w:szCs w:val="36"/>
              </w:rPr>
            </w:pPr>
            <w:r>
              <w:rPr>
                <w:rFonts w:hint="eastAsia" w:ascii="宋体" w:hAnsi="宋体"/>
                <w:b/>
                <w:bCs/>
                <w:kern w:val="0"/>
                <w:sz w:val="36"/>
                <w:szCs w:val="36"/>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jc w:val="center"/>
              <w:rPr>
                <w:rFonts w:ascii="宋体" w:hAnsi="宋体" w:cs="宋体"/>
                <w:kern w:val="0"/>
                <w:szCs w:val="28"/>
              </w:rPr>
            </w:pPr>
            <w:r>
              <w:rPr>
                <w:rFonts w:hint="eastAsia" w:ascii="宋体" w:hAnsi="宋体" w:cs="宋体"/>
                <w:kern w:val="0"/>
                <w:szCs w:val="28"/>
              </w:rPr>
              <w:t>网点：</w:t>
            </w:r>
          </w:p>
        </w:tc>
        <w:tc>
          <w:tcPr>
            <w:tcW w:w="720" w:type="dxa"/>
            <w:tcBorders>
              <w:top w:val="nil"/>
              <w:left w:val="nil"/>
              <w:bottom w:val="nil"/>
              <w:right w:val="nil"/>
            </w:tcBorders>
            <w:noWrap/>
            <w:vAlign w:val="center"/>
          </w:tcPr>
          <w:p>
            <w:pPr>
              <w:widowControl/>
              <w:jc w:val="left"/>
              <w:rPr>
                <w:rFonts w:ascii="宋体" w:hAnsi="宋体" w:cs="宋体"/>
                <w:kern w:val="0"/>
                <w:szCs w:val="28"/>
              </w:rPr>
            </w:pPr>
          </w:p>
        </w:tc>
        <w:tc>
          <w:tcPr>
            <w:tcW w:w="1080" w:type="dxa"/>
            <w:tcBorders>
              <w:top w:val="nil"/>
              <w:left w:val="nil"/>
              <w:bottom w:val="nil"/>
              <w:right w:val="nil"/>
            </w:tcBorders>
            <w:noWrap/>
            <w:vAlign w:val="center"/>
          </w:tcPr>
          <w:p>
            <w:pPr>
              <w:widowControl/>
              <w:jc w:val="left"/>
              <w:rPr>
                <w:rFonts w:ascii="宋体" w:hAnsi="宋体" w:cs="宋体"/>
                <w:kern w:val="0"/>
                <w:szCs w:val="28"/>
              </w:rPr>
            </w:pPr>
          </w:p>
        </w:tc>
        <w:tc>
          <w:tcPr>
            <w:tcW w:w="186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保安姓名：</w:t>
            </w:r>
          </w:p>
        </w:tc>
        <w:tc>
          <w:tcPr>
            <w:tcW w:w="920" w:type="dxa"/>
            <w:tcBorders>
              <w:top w:val="nil"/>
              <w:left w:val="nil"/>
              <w:bottom w:val="nil"/>
              <w:right w:val="nil"/>
            </w:tcBorders>
            <w:noWrap/>
            <w:vAlign w:val="center"/>
          </w:tcPr>
          <w:p>
            <w:pPr>
              <w:widowControl/>
              <w:jc w:val="left"/>
              <w:rPr>
                <w:rFonts w:ascii="宋体" w:hAnsi="宋体" w:cs="宋体"/>
                <w:kern w:val="0"/>
                <w:szCs w:val="28"/>
              </w:rPr>
            </w:pPr>
          </w:p>
        </w:tc>
        <w:tc>
          <w:tcPr>
            <w:tcW w:w="740" w:type="dxa"/>
            <w:tcBorders>
              <w:top w:val="nil"/>
              <w:left w:val="nil"/>
              <w:bottom w:val="nil"/>
              <w:right w:val="nil"/>
            </w:tcBorders>
            <w:noWrap/>
            <w:vAlign w:val="center"/>
          </w:tcPr>
          <w:p>
            <w:pPr>
              <w:widowControl/>
              <w:jc w:val="left"/>
              <w:rPr>
                <w:rFonts w:ascii="宋体" w:hAnsi="宋体" w:cs="宋体"/>
                <w:kern w:val="0"/>
                <w:szCs w:val="28"/>
              </w:rPr>
            </w:pPr>
          </w:p>
        </w:tc>
        <w:tc>
          <w:tcPr>
            <w:tcW w:w="142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日期：</w:t>
            </w:r>
          </w:p>
        </w:tc>
        <w:tc>
          <w:tcPr>
            <w:tcW w:w="760" w:type="dxa"/>
            <w:tcBorders>
              <w:top w:val="nil"/>
              <w:left w:val="nil"/>
              <w:bottom w:val="nil"/>
              <w:right w:val="nil"/>
            </w:tcBorders>
            <w:noWrap/>
            <w:vAlign w:val="bottom"/>
          </w:tcPr>
          <w:p>
            <w:pPr>
              <w:widowControl/>
              <w:jc w:val="left"/>
              <w:rPr>
                <w:rFonts w:ascii="宋体" w:hAnsi="宋体" w:cs="宋体"/>
                <w:kern w:val="0"/>
                <w:szCs w:val="28"/>
              </w:rPr>
            </w:pPr>
          </w:p>
        </w:tc>
      </w:tr>
      <w:tr>
        <w:tblPrEx>
          <w:tblCellMar>
            <w:top w:w="0" w:type="dxa"/>
            <w:left w:w="108" w:type="dxa"/>
            <w:bottom w:w="0" w:type="dxa"/>
            <w:right w:w="108" w:type="dxa"/>
          </w:tblCellMar>
        </w:tblPrEx>
        <w:trPr>
          <w:trHeight w:val="36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日</w:t>
            </w:r>
            <w:r>
              <w:rPr>
                <w:rFonts w:ascii="Times New Roman" w:hAnsi="Times New Roman"/>
                <w:kern w:val="0"/>
                <w:sz w:val="24"/>
                <w:szCs w:val="24"/>
              </w:rPr>
              <w:t xml:space="preserve">   </w:t>
            </w:r>
            <w:r>
              <w:rPr>
                <w:rFonts w:hint="eastAsia" w:ascii="宋体" w:hAnsi="宋体" w:cs="宋体"/>
                <w:kern w:val="0"/>
                <w:sz w:val="24"/>
                <w:szCs w:val="24"/>
              </w:rPr>
              <w:t>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jc w:val="center"/>
              <w:rPr>
                <w:rFonts w:ascii="宋体" w:hAnsi="宋体" w:cs="宋体"/>
                <w:b/>
                <w:bCs/>
                <w:kern w:val="0"/>
                <w:szCs w:val="28"/>
              </w:rPr>
            </w:pPr>
            <w:r>
              <w:rPr>
                <w:rFonts w:hint="eastAsia" w:ascii="宋体" w:hAnsi="宋体" w:cs="宋体"/>
                <w:b/>
                <w:bCs/>
                <w:kern w:val="0"/>
                <w:szCs w:val="28"/>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着装</w:t>
            </w:r>
            <w:r>
              <w:rPr>
                <w:rFonts w:ascii="Times New Roman" w:hAnsi="Times New Roman"/>
                <w:kern w:val="0"/>
                <w:sz w:val="22"/>
              </w:rPr>
              <w:t xml:space="preserve">    </w:t>
            </w:r>
            <w:r>
              <w:rPr>
                <w:rFonts w:hint="eastAsia" w:ascii="宋体" w:hAnsi="宋体" w:cs="宋体"/>
                <w:kern w:val="0"/>
                <w:sz w:val="22"/>
              </w:rPr>
              <w:t>不整</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警具</w:t>
            </w:r>
            <w:r>
              <w:rPr>
                <w:rFonts w:ascii="Times New Roman" w:hAnsi="Times New Roman"/>
                <w:kern w:val="0"/>
                <w:sz w:val="22"/>
              </w:rPr>
              <w:t xml:space="preserve">      </w:t>
            </w:r>
            <w:r>
              <w:rPr>
                <w:rFonts w:hint="eastAsia" w:ascii="宋体" w:hAnsi="宋体" w:cs="宋体"/>
                <w:kern w:val="0"/>
                <w:sz w:val="22"/>
              </w:rPr>
              <w:t>乱放</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迟到、早退  脱岗、旷工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不服从          领 导</w:t>
            </w:r>
          </w:p>
        </w:tc>
        <w:tc>
          <w:tcPr>
            <w:tcW w:w="11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睡觉、看报会客、聊天</w:t>
            </w:r>
          </w:p>
        </w:tc>
        <w:tc>
          <w:tcPr>
            <w:tcW w:w="9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警惕性差松懈怠工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客户</w:t>
            </w:r>
            <w:r>
              <w:rPr>
                <w:rFonts w:ascii="Times New Roman" w:hAnsi="Times New Roman"/>
                <w:kern w:val="0"/>
                <w:sz w:val="22"/>
              </w:rPr>
              <w:t xml:space="preserve">       </w:t>
            </w:r>
            <w:r>
              <w:rPr>
                <w:rFonts w:hint="eastAsia" w:ascii="宋体" w:hAnsi="宋体" w:cs="宋体"/>
                <w:kern w:val="0"/>
                <w:sz w:val="22"/>
              </w:rPr>
              <w:t>投诉</w:t>
            </w:r>
          </w:p>
        </w:tc>
        <w:tc>
          <w:tcPr>
            <w:tcW w:w="70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与客户发生纠纷</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其   他</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08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1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9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0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6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2</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4</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5</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6</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备注</w:t>
            </w:r>
          </w:p>
        </w:tc>
        <w:tc>
          <w:tcPr>
            <w:tcW w:w="8240" w:type="dxa"/>
            <w:gridSpan w:val="10"/>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违犯规定10次以下为合格；10次（不含）以上20次以下为基本合格；20次（不含）以上为不合格。</w:t>
            </w:r>
          </w:p>
        </w:tc>
      </w:tr>
      <w:tr>
        <w:tblPrEx>
          <w:tblCellMar>
            <w:top w:w="0" w:type="dxa"/>
            <w:left w:w="108" w:type="dxa"/>
            <w:bottom w:w="0" w:type="dxa"/>
            <w:right w:w="108" w:type="dxa"/>
          </w:tblCellMar>
        </w:tblPrEx>
        <w:trPr>
          <w:trHeight w:val="312"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254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网点负责人：</w:t>
            </w: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236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bl>
    <w:p/>
    <w:p/>
    <w:p/>
    <w:p/>
    <w:p/>
    <w:p/>
    <w:p/>
    <w:p/>
    <w:p/>
    <w:p/>
    <w:p/>
    <w:p/>
    <w:p/>
    <w:p/>
    <w:p/>
    <w:p/>
    <w:p/>
    <w:p/>
    <w:p/>
    <w:p/>
    <w:p/>
    <w:p/>
    <w:p/>
    <w:p/>
    <w:p/>
    <w:p/>
    <w:p/>
    <w:p>
      <w:pPr>
        <w:adjustRightInd w:val="0"/>
        <w:snapToGrid w:val="0"/>
        <w:spacing w:line="560" w:lineRule="exact"/>
        <w:jc w:val="center"/>
        <w:rPr>
          <w:rFonts w:ascii="宋体" w:hAnsi="宋体" w:eastAsia="宋体" w:cs="宋体"/>
          <w:bCs/>
          <w:snapToGrid w:val="0"/>
          <w:kern w:val="0"/>
          <w:sz w:val="44"/>
          <w:szCs w:val="44"/>
        </w:rPr>
      </w:pPr>
      <w:r>
        <w:rPr>
          <w:rFonts w:hint="eastAsia" w:ascii="宋体" w:hAnsi="宋体" w:eastAsia="宋体" w:cs="宋体"/>
          <w:bCs/>
          <w:snapToGrid w:val="0"/>
          <w:kern w:val="0"/>
          <w:sz w:val="44"/>
          <w:szCs w:val="44"/>
        </w:rPr>
        <w:t>标段九：开封分行通许县支行110联网报警服务采购需求</w:t>
      </w:r>
    </w:p>
    <w:p>
      <w:pPr>
        <w:adjustRightInd w:val="0"/>
        <w:snapToGrid w:val="0"/>
        <w:spacing w:line="560" w:lineRule="exact"/>
        <w:ind w:firstLine="723" w:firstLineChars="200"/>
        <w:rPr>
          <w:rFonts w:ascii="彩虹小标宋" w:hAnsi="宋体" w:eastAsia="彩虹小标宋" w:cs="Times New Roman"/>
          <w:b/>
          <w:bCs/>
          <w:snapToGrid w:val="0"/>
          <w:kern w:val="0"/>
          <w:sz w:val="36"/>
          <w:szCs w:val="36"/>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adjustRightInd w:val="0"/>
        <w:snapToGrid w:val="0"/>
        <w:spacing w:line="560" w:lineRule="exact"/>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 xml:space="preserve">   （一）具有独立法人资格，有效的营业执照。</w:t>
      </w:r>
    </w:p>
    <w:p>
      <w:pPr>
        <w:adjustRightInd w:val="0"/>
        <w:snapToGrid w:val="0"/>
        <w:spacing w:line="560" w:lineRule="exact"/>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 xml:space="preserve">   （二）正常经营，财务状况良好，提供近三年（</w:t>
      </w:r>
      <w:r>
        <w:rPr>
          <w:rStyle w:val="5"/>
          <w:rFonts w:hint="eastAsia" w:ascii="彩虹粗仿宋" w:hAnsi="微软雅黑" w:eastAsia="彩虹粗仿宋"/>
          <w:color w:val="auto"/>
          <w:sz w:val="32"/>
          <w:szCs w:val="32"/>
          <w:lang w:val="en-US" w:eastAsia="zh-CN"/>
        </w:rPr>
        <w:t>2020-2022</w:t>
      </w:r>
      <w:r>
        <w:rPr>
          <w:rStyle w:val="5"/>
          <w:rFonts w:ascii="彩虹粗仿宋" w:hAnsi="微软雅黑" w:eastAsia="彩虹粗仿宋"/>
          <w:color w:val="auto"/>
          <w:sz w:val="32"/>
          <w:szCs w:val="32"/>
        </w:rPr>
        <w:t>年）的经审计的财务报告或财务报表（新成立企业从成立日计算）</w:t>
      </w:r>
    </w:p>
    <w:p>
      <w:pPr>
        <w:adjustRightInd w:val="0"/>
        <w:snapToGrid w:val="0"/>
        <w:spacing w:line="560" w:lineRule="exact"/>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 xml:space="preserve">   （三）具有固定的办公场所、健全的组织管理机构。</w:t>
      </w:r>
    </w:p>
    <w:p>
      <w:pPr>
        <w:adjustRightInd w:val="0"/>
        <w:snapToGrid w:val="0"/>
        <w:spacing w:line="560" w:lineRule="exact"/>
        <w:ind w:firstLine="42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（四）202</w:t>
      </w:r>
      <w:r>
        <w:rPr>
          <w:rStyle w:val="5"/>
          <w:rFonts w:hint="eastAsia" w:ascii="彩虹粗仿宋" w:hAnsi="微软雅黑" w:eastAsia="彩虹粗仿宋"/>
          <w:color w:val="auto"/>
          <w:sz w:val="32"/>
          <w:szCs w:val="32"/>
          <w:lang w:val="en-US" w:eastAsia="zh-CN"/>
        </w:rPr>
        <w:t>1</w:t>
      </w:r>
      <w:r>
        <w:rPr>
          <w:rStyle w:val="5"/>
          <w:rFonts w:hint="eastAsia" w:ascii="彩虹粗仿宋" w:hAnsi="微软雅黑" w:eastAsia="彩虹粗仿宋"/>
          <w:color w:val="auto"/>
          <w:sz w:val="32"/>
          <w:szCs w:val="32"/>
        </w:rPr>
        <w:t>年1月1日以来具有</w:t>
      </w:r>
      <w:r>
        <w:rPr>
          <w:rStyle w:val="5"/>
          <w:rFonts w:ascii="彩虹粗仿宋" w:hAnsi="微软雅黑" w:eastAsia="彩虹粗仿宋"/>
          <w:color w:val="auto"/>
          <w:sz w:val="32"/>
          <w:szCs w:val="32"/>
        </w:rPr>
        <w:t>110报警同类项目经验（提供合同）。</w:t>
      </w:r>
    </w:p>
    <w:p>
      <w:pPr>
        <w:adjustRightInd w:val="0"/>
        <w:snapToGrid w:val="0"/>
        <w:spacing w:line="560" w:lineRule="exact"/>
        <w:ind w:firstLine="42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五）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C2109</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监控报警专线服务</w:t>
            </w:r>
          </w:p>
        </w:tc>
      </w:tr>
    </w:tbl>
    <w:p>
      <w:pPr>
        <w:adjustRightInd w:val="0"/>
        <w:snapToGrid w:val="0"/>
        <w:spacing w:line="560" w:lineRule="exact"/>
        <w:ind w:firstLine="473" w:firstLineChars="148"/>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通许县支行营业网点、离行式自助银行（自助设备）、等8个重点部位联网报警设施、设备及相关配件的安装、更换、调试、维修、巡检及迁移，对联网报警设备进行报警测试、监控、警情处置等服务项目，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（一）供应商安排1名团队负责人做日常对接，且具有110联网报警服务经验2年以上；</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（二）团队人员经过专业培训，能正常维修设备故障；</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（三）供应商公司服务人员按照我行的要求完成每次的工作任务，遵章守纪，合规履职；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（四）服务团队为我行服务人员提供营运期间的支持保障及应急工作；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（五）团队人员具备一定的专业技能，能正确处理服务中出现的各种情况并进行有效处置。</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（一）服务质量标准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（二）风险控制要求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供应商不得以我行名义进行用工管理或开展生产经营活动，服务人员应与供应商公司依法订立劳动合同，防范服务类业务用工风险。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（2）每季度至少开展一次供应商公司服务检查，并形成检查报告，召开联席会对检查中发现的问题进行通报，限期整改和落实，每年度结束后形成年度评估报告。</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（3）建立健全安全责任制，完善沟通协作机制。根据110报警联网维护服务不同工作性质，明确人员岗位职责，规范流程，不断提升服务人员的业务素质和技能，为我行提供更加安全的110报警服务。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（三）保密要求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2、服务人员须签订保密协议，不得利用工作之便窃取、收买或者非法提供他人申请信息资料进行各种非法活动。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公司及公司服务人员原因导致我行及客户信息泄漏的，我行将追究相关法律责任。</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应严守我行的商业秘密、技术秘密和其他商业及业务信息，不得泄露。</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（四）应急预案要求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5、在处理事（案）件过程中要时刻向我行报告进展情况，待风险解除后，形成书面报告报送我行，我行综合评估后确定是否继续开展此服务事项。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（五）</w:t>
      </w:r>
      <w:r>
        <w:rPr>
          <w:rFonts w:hint="eastAsia" w:ascii="彩虹粗仿宋" w:hAnsi="彩虹粗仿宋" w:eastAsia="彩虹粗仿宋" w:cs="彩虹粗仿宋"/>
          <w:sz w:val="32"/>
          <w:szCs w:val="32"/>
        </w:rPr>
        <w:t>消保条款要求</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3.消费者投诉条款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4.其他行为监督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6.争端的解决</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1.每个点报警主机联网率达到100%,探测设备故障能在24小时内解决按“合格”，总体合格档次支付全额服务费用。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 xml:space="preserve">2.单点报警主机联网率未达到100%,探测设备故障不能在24小时内解决按“不合格”，扣除该点报警服务费。 </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彩虹粗仿宋" w:eastAsia="彩虹粗仿宋" w:cs="彩虹粗仿宋"/>
          <w:snapToGrid w:val="0"/>
          <w:kern w:val="0"/>
          <w:sz w:val="32"/>
          <w:szCs w:val="32"/>
        </w:rPr>
        <w:t>3.每月由我行使用单位按“合格”、“不合格”对全行报警设备进行测评考核，合格档次支付全额服务费用，不合格档次对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w:t>
      </w:r>
      <w:r>
        <w:rPr>
          <w:rFonts w:hint="eastAsia" w:ascii="彩虹粗仿宋" w:hAnsi="彩虹粗仿宋" w:eastAsia="彩虹粗仿宋" w:cs="彩虹粗仿宋"/>
          <w:sz w:val="32"/>
          <w:szCs w:val="32"/>
        </w:rPr>
        <w:t>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每年对我行人员每季度提供1次安保设施设备维护使用培训。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adjustRightInd w:val="0"/>
        <w:snapToGrid w:val="0"/>
        <w:spacing w:line="560" w:lineRule="exact"/>
        <w:ind w:firstLine="473" w:firstLineChars="148"/>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tbl>
      <w:tblPr>
        <w:tblStyle w:val="2"/>
        <w:tblW w:w="4998" w:type="pct"/>
        <w:tblInd w:w="0" w:type="dxa"/>
        <w:tblLayout w:type="autofit"/>
        <w:tblCellMar>
          <w:top w:w="0" w:type="dxa"/>
          <w:left w:w="108" w:type="dxa"/>
          <w:bottom w:w="0" w:type="dxa"/>
          <w:right w:w="108" w:type="dxa"/>
        </w:tblCellMar>
      </w:tblPr>
      <w:tblGrid>
        <w:gridCol w:w="584"/>
        <w:gridCol w:w="1135"/>
        <w:gridCol w:w="2729"/>
        <w:gridCol w:w="1280"/>
        <w:gridCol w:w="2791"/>
      </w:tblGrid>
      <w:tr>
        <w:tblPrEx>
          <w:tblCellMar>
            <w:top w:w="0" w:type="dxa"/>
            <w:left w:w="108" w:type="dxa"/>
            <w:bottom w:w="0" w:type="dxa"/>
            <w:right w:w="108" w:type="dxa"/>
          </w:tblCellMar>
        </w:tblPrEx>
        <w:trPr>
          <w:trHeight w:val="540" w:hRule="atLeast"/>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序号</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二级行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服务区域</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点位数量</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备注</w:t>
            </w:r>
          </w:p>
        </w:tc>
      </w:tr>
      <w:tr>
        <w:tblPrEx>
          <w:tblCellMar>
            <w:top w:w="0" w:type="dxa"/>
            <w:left w:w="108" w:type="dxa"/>
            <w:bottom w:w="0" w:type="dxa"/>
            <w:right w:w="108" w:type="dxa"/>
          </w:tblCellMar>
        </w:tblPrEx>
        <w:trPr>
          <w:trHeight w:val="1500" w:hRule="atLeast"/>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lang w:bidi="ar"/>
              </w:rPr>
              <w:t>1</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2"/>
              </w:rPr>
            </w:pPr>
            <w:r>
              <w:rPr>
                <w:rFonts w:hint="eastAsia" w:ascii="宋体" w:hAnsi="宋体" w:eastAsia="宋体" w:cs="宋体"/>
                <w:kern w:val="0"/>
                <w:sz w:val="22"/>
                <w:lang w:bidi="ar"/>
              </w:rPr>
              <w:t>开封分行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2"/>
              </w:rPr>
            </w:pPr>
            <w:r>
              <w:rPr>
                <w:rFonts w:hint="eastAsia" w:ascii="宋体" w:hAnsi="宋体" w:eastAsia="宋体" w:cs="宋体"/>
                <w:kern w:val="0"/>
                <w:sz w:val="22"/>
                <w:lang w:bidi="ar"/>
              </w:rPr>
              <w:t>对通许县支行辖区网点、自助等报警服务点进行撤布防的监控</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rPr>
            </w:pPr>
            <w:r>
              <w:rPr>
                <w:rFonts w:hint="eastAsia" w:ascii="宋体" w:hAnsi="宋体" w:eastAsia="宋体" w:cs="宋体"/>
                <w:sz w:val="22"/>
              </w:rPr>
              <w:t>8</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2"/>
              </w:rPr>
            </w:pPr>
            <w:r>
              <w:rPr>
                <w:rFonts w:hint="eastAsia" w:ascii="宋体" w:hAnsi="宋体" w:eastAsia="宋体" w:cs="宋体"/>
                <w:kern w:val="0"/>
                <w:sz w:val="22"/>
                <w:lang w:bidi="ar"/>
              </w:rPr>
              <w:t>通许县支行营业网点6个、离行式自助银行2个</w:t>
            </w:r>
          </w:p>
        </w:tc>
      </w:tr>
    </w:tbl>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33" w:firstLineChars="198"/>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按照每点每月报含税单价和总价，超过预算为无效报价。</w:t>
      </w:r>
    </w:p>
    <w:tbl>
      <w:tblPr>
        <w:tblStyle w:val="2"/>
        <w:tblW w:w="8379" w:type="dxa"/>
        <w:tblInd w:w="93" w:type="dxa"/>
        <w:tblLayout w:type="autofit"/>
        <w:tblCellMar>
          <w:top w:w="0" w:type="dxa"/>
          <w:left w:w="108" w:type="dxa"/>
          <w:bottom w:w="0" w:type="dxa"/>
          <w:right w:w="108" w:type="dxa"/>
        </w:tblCellMar>
      </w:tblPr>
      <w:tblGrid>
        <w:gridCol w:w="2000"/>
        <w:gridCol w:w="3118"/>
        <w:gridCol w:w="1418"/>
        <w:gridCol w:w="1843"/>
      </w:tblGrid>
      <w:tr>
        <w:tblPrEx>
          <w:tblCellMar>
            <w:top w:w="0" w:type="dxa"/>
            <w:left w:w="108" w:type="dxa"/>
            <w:bottom w:w="0" w:type="dxa"/>
            <w:right w:w="108" w:type="dxa"/>
          </w:tblCellMar>
        </w:tblPrEx>
        <w:trPr>
          <w:trHeight w:val="652" w:hRule="atLeast"/>
        </w:trPr>
        <w:tc>
          <w:tcPr>
            <w:tcW w:w="2000"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b/>
                <w:bCs/>
                <w:kern w:val="0"/>
                <w:sz w:val="22"/>
              </w:rPr>
            </w:pPr>
            <w:r>
              <w:rPr>
                <w:rFonts w:hint="eastAsia" w:ascii="宋体" w:hAnsi="宋体" w:cs="宋体"/>
                <w:b/>
                <w:bCs/>
                <w:kern w:val="0"/>
                <w:sz w:val="22"/>
              </w:rPr>
              <w:t>序号</w:t>
            </w:r>
          </w:p>
        </w:tc>
        <w:tc>
          <w:tcPr>
            <w:tcW w:w="3118"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b/>
                <w:bCs/>
                <w:kern w:val="0"/>
                <w:sz w:val="22"/>
              </w:rPr>
              <w:t>单位</w:t>
            </w:r>
          </w:p>
        </w:tc>
        <w:tc>
          <w:tcPr>
            <w:tcW w:w="1418"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彩虹小标宋" w:hAnsi="宋体" w:eastAsia="彩虹小标宋" w:cs="宋体"/>
                <w:sz w:val="22"/>
              </w:rPr>
              <w:t>点位</w:t>
            </w:r>
            <w:r>
              <w:rPr>
                <w:rFonts w:hint="eastAsia" w:ascii="彩虹小标宋" w:hAnsi="宋体" w:eastAsia="彩虹小标宋" w:cs="宋体"/>
                <w:kern w:val="0"/>
                <w:sz w:val="22"/>
              </w:rPr>
              <w:t>数量</w:t>
            </w:r>
          </w:p>
        </w:tc>
        <w:tc>
          <w:tcPr>
            <w:tcW w:w="1843"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彩虹小标宋" w:hAnsi="宋体" w:eastAsia="彩虹小标宋" w:cs="宋体"/>
                <w:kern w:val="0"/>
                <w:sz w:val="22"/>
              </w:rPr>
              <w:t>限价（元/</w:t>
            </w:r>
            <w:r>
              <w:rPr>
                <w:rFonts w:hint="eastAsia" w:ascii="彩虹小标宋" w:hAnsi="宋体" w:eastAsia="彩虹小标宋" w:cs="宋体"/>
                <w:sz w:val="22"/>
              </w:rPr>
              <w:t>点</w:t>
            </w:r>
            <w:r>
              <w:rPr>
                <w:rFonts w:hint="eastAsia" w:ascii="彩虹小标宋" w:hAnsi="宋体" w:eastAsia="彩虹小标宋" w:cs="宋体"/>
                <w:kern w:val="0"/>
                <w:sz w:val="22"/>
              </w:rPr>
              <w:t>/月）</w:t>
            </w:r>
          </w:p>
        </w:tc>
      </w:tr>
      <w:tr>
        <w:tblPrEx>
          <w:tblCellMar>
            <w:top w:w="0" w:type="dxa"/>
            <w:left w:w="108" w:type="dxa"/>
            <w:bottom w:w="0" w:type="dxa"/>
            <w:right w:w="108" w:type="dxa"/>
          </w:tblCellMar>
        </w:tblPrEx>
        <w:trPr>
          <w:trHeight w:val="70" w:hRule="atLeast"/>
        </w:trPr>
        <w:tc>
          <w:tcPr>
            <w:tcW w:w="2000" w:type="dxa"/>
            <w:tcBorders>
              <w:top w:val="nil"/>
              <w:left w:val="single" w:color="auto" w:sz="4" w:space="0"/>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kern w:val="0"/>
                <w:sz w:val="22"/>
              </w:rPr>
              <w:t>1</w:t>
            </w:r>
          </w:p>
        </w:tc>
        <w:tc>
          <w:tcPr>
            <w:tcW w:w="3118" w:type="dxa"/>
            <w:tcBorders>
              <w:top w:val="nil"/>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eastAsia="宋体" w:cs="宋体"/>
                <w:kern w:val="0"/>
                <w:sz w:val="22"/>
                <w:lang w:bidi="ar"/>
              </w:rPr>
              <w:t>开封分行</w:t>
            </w:r>
            <w:r>
              <w:rPr>
                <w:rFonts w:hint="eastAsia" w:ascii="宋体" w:hAnsi="宋体" w:eastAsia="宋体" w:cs="宋体"/>
                <w:kern w:val="0"/>
                <w:sz w:val="22"/>
                <w:lang w:eastAsia="zh-CN" w:bidi="ar"/>
              </w:rPr>
              <w:t>通许</w:t>
            </w:r>
            <w:r>
              <w:rPr>
                <w:rFonts w:hint="eastAsia" w:ascii="宋体" w:hAnsi="宋体" w:eastAsia="宋体" w:cs="宋体"/>
                <w:kern w:val="0"/>
                <w:sz w:val="22"/>
                <w:lang w:bidi="ar"/>
              </w:rPr>
              <w:t>支行</w:t>
            </w:r>
            <w:r>
              <w:rPr>
                <w:rFonts w:hint="eastAsia" w:ascii="宋体" w:hAnsi="宋体" w:cs="宋体"/>
                <w:kern w:val="0"/>
                <w:sz w:val="22"/>
              </w:rPr>
              <w:t>110联网报警</w:t>
            </w:r>
          </w:p>
        </w:tc>
        <w:tc>
          <w:tcPr>
            <w:tcW w:w="1418"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8</w:t>
            </w:r>
          </w:p>
        </w:tc>
        <w:tc>
          <w:tcPr>
            <w:tcW w:w="1843" w:type="dxa"/>
            <w:tcBorders>
              <w:top w:val="nil"/>
              <w:left w:val="nil"/>
              <w:bottom w:val="single" w:color="auto" w:sz="4" w:space="0"/>
              <w:right w:val="single" w:color="auto" w:sz="4" w:space="0"/>
            </w:tcBorders>
            <w:noWrap w:val="0"/>
            <w:vAlign w:val="center"/>
          </w:tcPr>
          <w:p>
            <w:pPr>
              <w:widowControl/>
              <w:rPr>
                <w:rFonts w:hint="default" w:ascii="宋体" w:hAnsi="宋体" w:eastAsia="宋体" w:cs="宋体"/>
                <w:kern w:val="0"/>
                <w:sz w:val="22"/>
                <w:lang w:val="en-US" w:eastAsia="zh-CN"/>
              </w:rPr>
            </w:pPr>
            <w:r>
              <w:rPr>
                <w:rFonts w:hint="eastAsia" w:ascii="宋体" w:hAnsi="宋体" w:cs="宋体"/>
                <w:kern w:val="0"/>
                <w:sz w:val="22"/>
                <w:lang w:val="en-US" w:eastAsia="zh-CN"/>
              </w:rPr>
              <w:t>167</w:t>
            </w:r>
          </w:p>
        </w:tc>
      </w:tr>
    </w:tbl>
    <w:p>
      <w:pPr>
        <w:adjustRightInd w:val="0"/>
        <w:snapToGrid w:val="0"/>
        <w:spacing w:line="560" w:lineRule="exact"/>
        <w:ind w:firstLine="633" w:firstLineChars="198"/>
        <w:rPr>
          <w:rFonts w:hint="eastAsia" w:ascii="彩虹粗仿宋" w:hAnsi="宋体" w:eastAsia="彩虹粗仿宋" w:cs="Times New Roman"/>
          <w:snapToGrid w:val="0"/>
          <w:kern w:val="0"/>
          <w:sz w:val="32"/>
          <w:szCs w:val="32"/>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九、其他要求</w:t>
      </w:r>
    </w:p>
    <w:p>
      <w:pPr>
        <w:adjustRightInd w:val="0"/>
        <w:snapToGrid w:val="0"/>
        <w:spacing w:line="360" w:lineRule="auto"/>
        <w:ind w:firstLine="640" w:firstLineChars="200"/>
        <w:jc w:val="left"/>
      </w:pPr>
      <w:r>
        <w:rPr>
          <w:rFonts w:hint="eastAsia" w:ascii="彩虹粗仿宋" w:hAnsi="宋体" w:eastAsia="彩虹粗仿宋"/>
          <w:snapToGrid w:val="0"/>
          <w:sz w:val="32"/>
          <w:szCs w:val="32"/>
        </w:rPr>
        <w:t>无。</w:t>
      </w:r>
    </w:p>
    <w:p>
      <w:pPr>
        <w:adjustRightInd w:val="0"/>
        <w:snapToGrid w:val="0"/>
        <w:spacing w:line="560" w:lineRule="exact"/>
        <w:rPr>
          <w:rFonts w:ascii="宋体" w:hAnsi="宋体" w:eastAsia="宋体" w:cs="宋体"/>
          <w:bCs/>
          <w:snapToGrid w:val="0"/>
          <w:kern w:val="0"/>
          <w:sz w:val="44"/>
          <w:szCs w:val="4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黑体">
    <w:panose1 w:val="03000509000000000000"/>
    <w:charset w:val="86"/>
    <w:family w:val="script"/>
    <w:pitch w:val="default"/>
    <w:sig w:usb0="00000001" w:usb1="080E0000" w:usb2="00000000" w:usb3="00000000" w:csb0="00040000" w:csb1="00000000"/>
  </w:font>
  <w:font w:name="CHCFS">
    <w:altName w:val="微软雅黑"/>
    <w:panose1 w:val="00000000000000000000"/>
    <w:charset w:val="86"/>
    <w:family w:val="swiss"/>
    <w:pitch w:val="default"/>
    <w:sig w:usb0="00000000" w:usb1="00000000" w:usb2="00000010" w:usb3="00000000" w:csb0="00040000" w:csb1="00000000"/>
  </w:font>
  <w:font w:name="彩虹楷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彩虹小标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7771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
    <w:name w:val="im-content1"/>
    <w:basedOn w:val="4"/>
    <w:qFormat/>
    <w:uiPriority w:val="0"/>
    <w:rPr>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2024-05-23T02:13:54Z</dcterms:created>
  <dc:creator>haccb</dc:creator>
  <cp:lastModifiedBy>haccb</cp:lastModifiedBy>
  <dcterms:modified xsi:type="dcterms:W3CDTF">2024-05-23T02:14:29Z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21D78B7956394126926A2C587B1B5C15_12</vt:lpwstr>
  </property>
</Properties>
</file>