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彩虹小标宋" w:hAnsi="宋体" w:eastAsia="彩虹小标宋" w:cs="Times New Roman"/>
          <w:bCs/>
          <w:snapToGrid w:val="0"/>
          <w:kern w:val="0"/>
          <w:sz w:val="36"/>
          <w:szCs w:val="36"/>
        </w:rPr>
      </w:pPr>
      <w:r>
        <w:rPr>
          <w:rFonts w:hint="eastAsia" w:ascii="彩虹小标宋" w:hAnsi="宋体" w:eastAsia="彩虹小标宋" w:cs="Times New Roman"/>
          <w:bCs/>
          <w:snapToGrid w:val="0"/>
          <w:kern w:val="0"/>
          <w:sz w:val="36"/>
          <w:szCs w:val="36"/>
        </w:rPr>
        <w:t>武装押运服务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rPr>
      </w:pPr>
      <w:r>
        <w:rPr>
          <w:rFonts w:hint="eastAsia" w:ascii="彩虹粗仿宋" w:eastAsia="彩虹粗仿宋"/>
          <w:sz w:val="32"/>
          <w:szCs w:val="32"/>
        </w:rPr>
        <w:t>（三）</w:t>
      </w:r>
      <w:r>
        <w:rPr>
          <w:rFonts w:hint="eastAsia" w:ascii="彩虹粗仿宋" w:eastAsia="彩虹粗仿宋"/>
          <w:sz w:val="32"/>
          <w:szCs w:val="32"/>
          <w:highlight w:val="none"/>
        </w:rPr>
        <w:t>2021</w:t>
      </w:r>
      <w:r>
        <w:rPr>
          <w:rFonts w:hint="eastAsia" w:ascii="彩虹粗仿宋" w:eastAsia="彩虹粗仿宋"/>
          <w:sz w:val="32"/>
          <w:szCs w:val="32"/>
        </w:rPr>
        <w:t>年1月1日以来</w:t>
      </w:r>
      <w:r>
        <w:rPr>
          <w:rFonts w:hint="eastAsia" w:ascii="彩虹粗仿宋" w:eastAsia="彩虹粗仿宋"/>
          <w:sz w:val="32"/>
        </w:rPr>
        <w:t>具有</w:t>
      </w:r>
      <w:bookmarkStart w:id="0" w:name="_GoBack"/>
      <w:r>
        <w:rPr>
          <w:rFonts w:hint="eastAsia" w:ascii="彩虹粗仿宋" w:eastAsia="彩虹粗仿宋"/>
          <w:sz w:val="32"/>
        </w:rPr>
        <w:t>银行钞币押运同类项目经验</w:t>
      </w:r>
      <w:bookmarkEnd w:id="0"/>
      <w:r>
        <w:rPr>
          <w:rFonts w:hint="eastAsia" w:ascii="彩虹粗仿宋" w:eastAsia="彩虹粗仿宋"/>
          <w:sz w:val="32"/>
        </w:rPr>
        <w:t>。</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360" w:lineRule="auto"/>
        <w:ind w:right="-483" w:rightChars="-230" w:firstLine="614" w:firstLineChars="192"/>
        <w:rPr>
          <w:rFonts w:ascii="彩虹粗仿宋" w:hAnsi="宋体" w:eastAsia="彩虹粗仿宋"/>
          <w:kern w:val="0"/>
          <w:sz w:val="32"/>
          <w:szCs w:val="32"/>
        </w:rPr>
      </w:pPr>
      <w:r>
        <w:rPr>
          <w:rFonts w:hint="eastAsia" w:ascii="彩虹粗仿宋" w:hAnsi="宋体" w:eastAsia="彩虹粗仿宋"/>
          <w:kern w:val="0"/>
          <w:sz w:val="32"/>
          <w:szCs w:val="32"/>
        </w:rPr>
        <w:t>服务内容：济源辖区7个营业场所、</w:t>
      </w:r>
      <w:r>
        <w:rPr>
          <w:rFonts w:hint="eastAsia" w:ascii="彩虹粗仿宋" w:hAnsi="宋体" w:eastAsia="彩虹粗仿宋"/>
          <w:kern w:val="0"/>
          <w:sz w:val="32"/>
          <w:szCs w:val="32"/>
          <w:lang w:val="en-US" w:eastAsia="zh-CN"/>
        </w:rPr>
        <w:t>3</w:t>
      </w:r>
      <w:r>
        <w:rPr>
          <w:rFonts w:hint="eastAsia" w:ascii="彩虹粗仿宋" w:hAnsi="宋体" w:eastAsia="彩虹粗仿宋"/>
          <w:kern w:val="0"/>
          <w:sz w:val="32"/>
          <w:szCs w:val="32"/>
        </w:rPr>
        <w:t>个</w:t>
      </w:r>
      <w:r>
        <w:rPr>
          <w:rFonts w:hint="eastAsia" w:ascii="彩虹粗仿宋" w:hAnsi="宋体" w:eastAsia="彩虹粗仿宋"/>
          <w:snapToGrid w:val="0"/>
          <w:sz w:val="32"/>
          <w:szCs w:val="32"/>
        </w:rPr>
        <w:t>离行式自助银行</w:t>
      </w:r>
      <w:r>
        <w:rPr>
          <w:rFonts w:hint="eastAsia" w:ascii="彩虹粗仿宋" w:hAnsi="宋体" w:eastAsia="彩虹粗仿宋"/>
          <w:kern w:val="0"/>
          <w:sz w:val="32"/>
          <w:szCs w:val="32"/>
        </w:rPr>
        <w:t>钞币押运服务服务事项。</w:t>
      </w:r>
    </w:p>
    <w:p>
      <w:pPr>
        <w:spacing w:line="360" w:lineRule="auto"/>
        <w:ind w:right="-483" w:rightChars="-230"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1.城区押运服务。济源分行城区营业场所早晚尾款箱接送、营业网点临时款项出入库、离行式自助银行加钞等武装警戒及武装押运以及营业网点凭证票据专用袋传递、重要空白凭证及有价证券、贵金属、贵重物品等重要物品的出入库运送押运。</w:t>
      </w:r>
    </w:p>
    <w:p>
      <w:pPr>
        <w:spacing w:line="360" w:lineRule="auto"/>
        <w:ind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2.与人民银行发行库、同业之间的现金调、缴等运送、护卫及武装警戒；与省行之间跨区域的现金调运、重要单证、贵金属、有价证券、外币领、缴等运送、护卫及武装警戒。</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566" w:firstLineChars="177"/>
        <w:rPr>
          <w:rFonts w:ascii="彩虹粗仿宋" w:hAnsi="宋体" w:eastAsia="彩虹粗仿宋"/>
          <w:kern w:val="0"/>
          <w:sz w:val="32"/>
          <w:szCs w:val="32"/>
        </w:rPr>
      </w:pPr>
      <w:r>
        <w:rPr>
          <w:rFonts w:hint="eastAsia" w:ascii="彩虹粗仿宋" w:hAnsi="宋体" w:eastAsia="彩虹粗仿宋"/>
          <w:kern w:val="0"/>
          <w:sz w:val="32"/>
          <w:szCs w:val="32"/>
        </w:rPr>
        <w:t>（一）</w:t>
      </w:r>
      <w:r>
        <w:rPr>
          <w:rFonts w:hint="eastAsia" w:ascii="彩虹粗仿宋" w:hAnsi="宋体" w:eastAsia="彩虹粗仿宋"/>
          <w:color w:val="FF0000"/>
          <w:kern w:val="0"/>
          <w:sz w:val="32"/>
          <w:szCs w:val="32"/>
        </w:rPr>
        <w:t>人员数量</w:t>
      </w:r>
      <w:r>
        <w:rPr>
          <w:rFonts w:hint="eastAsia" w:ascii="彩虹粗仿宋" w:hAnsi="宋体" w:eastAsia="彩虹粗仿宋"/>
          <w:kern w:val="0"/>
          <w:sz w:val="32"/>
          <w:szCs w:val="32"/>
        </w:rPr>
        <w:t>要求。服务方必须保证有足够的</w:t>
      </w:r>
      <w:r>
        <w:rPr>
          <w:rFonts w:hint="eastAsia" w:ascii="彩虹粗仿宋" w:hAnsi="宋体" w:eastAsia="彩虹粗仿宋"/>
          <w:color w:val="FF0000"/>
          <w:kern w:val="0"/>
          <w:sz w:val="32"/>
          <w:szCs w:val="32"/>
        </w:rPr>
        <w:t>人员数量</w:t>
      </w:r>
      <w:r>
        <w:rPr>
          <w:rFonts w:hint="eastAsia" w:ascii="彩虹粗仿宋" w:hAnsi="宋体" w:eastAsia="彩虹粗仿宋"/>
          <w:kern w:val="0"/>
          <w:sz w:val="32"/>
          <w:szCs w:val="32"/>
        </w:rPr>
        <w:t>，以满足我行押运。</w:t>
      </w:r>
    </w:p>
    <w:p>
      <w:pPr>
        <w:adjustRightInd w:val="0"/>
        <w:snapToGrid w:val="0"/>
        <w:spacing w:line="560" w:lineRule="exact"/>
        <w:ind w:firstLine="566" w:firstLineChars="177"/>
        <w:rPr>
          <w:rFonts w:ascii="彩虹粗仿宋" w:hAnsi="宋体" w:eastAsia="彩虹粗仿宋"/>
          <w:kern w:val="0"/>
          <w:sz w:val="32"/>
          <w:szCs w:val="32"/>
        </w:rPr>
      </w:pPr>
      <w:r>
        <w:rPr>
          <w:rFonts w:hint="eastAsia" w:ascii="彩虹粗仿宋" w:hAnsi="宋体" w:eastAsia="彩虹粗仿宋"/>
          <w:kern w:val="0"/>
          <w:sz w:val="32"/>
          <w:szCs w:val="32"/>
        </w:rPr>
        <w:t xml:space="preserve">（二）服务方必须对服务内容、押运服务人员人身伤害按行业标准每年向保险公司投保，并将保险正本交我行审核并留存复印件。 </w:t>
      </w:r>
    </w:p>
    <w:p>
      <w:pPr>
        <w:spacing w:line="360" w:lineRule="auto"/>
        <w:ind w:firstLine="480" w:firstLineChars="150"/>
        <w:rPr>
          <w:rFonts w:ascii="彩虹粗仿宋" w:hAnsi="宋体" w:eastAsia="彩虹粗仿宋"/>
          <w:kern w:val="0"/>
          <w:sz w:val="32"/>
          <w:szCs w:val="32"/>
        </w:rPr>
      </w:pPr>
      <w:r>
        <w:rPr>
          <w:rFonts w:hint="eastAsia" w:ascii="彩虹粗仿宋" w:hAnsi="宋体" w:eastAsia="彩虹粗仿宋"/>
          <w:kern w:val="0"/>
          <w:sz w:val="32"/>
          <w:szCs w:val="32"/>
        </w:rPr>
        <w:t>（三）服务方在我行提供服务的人员，必须是与服务方依法签定劳动协议的员工，其劳动用工协议必须报我行备案。我行不接受未与服务方签署劳动合同的服务人员提供的服务。服务方有义务保证其员工的合法权益，为服务人员缴纳各项法定的社会保险，服务方违反该约定，我行有权提前解除服务合同，服务方采取有效措施保证所提供服务连续性。服务方必须承担本方内部出现的劳动关系纠纷、工伤事故等事件的法律责任，不得以本方员工履行服务的地点在我行为由，要求我行承担服务方应承担的法律责任同时，将派出的驾驶员、押运员及解款员、值守人员的身份证、工作卡、押运证、运钞车行驶证照片及复印件作为合同的副本送我行留存，并提供服务方人员的联系电话，以便服务业务的联系、衔接及确认其身份。</w:t>
      </w:r>
    </w:p>
    <w:p>
      <w:pPr>
        <w:spacing w:line="360" w:lineRule="auto"/>
        <w:ind w:firstLine="480" w:firstLineChars="150"/>
        <w:rPr>
          <w:rFonts w:ascii="彩虹粗仿宋" w:hAnsi="宋体" w:eastAsia="彩虹粗仿宋"/>
          <w:kern w:val="0"/>
          <w:sz w:val="32"/>
          <w:szCs w:val="32"/>
        </w:rPr>
      </w:pPr>
      <w:r>
        <w:rPr>
          <w:rFonts w:hint="eastAsia" w:ascii="彩虹粗仿宋" w:hAnsi="宋体" w:eastAsia="彩虹粗仿宋"/>
          <w:kern w:val="0"/>
          <w:sz w:val="32"/>
          <w:szCs w:val="32"/>
        </w:rPr>
        <w:t>（四）服务方派驻我行的服务人员由服务方负责管理，我行负责监督。服务方应保持押运车辆和押运人员、驾驶员、解款员的相对稳定。如遇车辆和人员调换，服务方须提前两天以书面形式将押运车辆牌号、押运员、解款员、人员身份证、工作卡等照片及复印件送甲方备案。双休日、节假日，需按我行要求安排运钞车辆、车组人员，保证甲方营业机构的业务需求。</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1.押运服务团队包括</w:t>
      </w:r>
      <w:r>
        <w:rPr>
          <w:rFonts w:hint="eastAsia" w:ascii="彩虹粗仿宋" w:hAnsi="宋体" w:eastAsia="彩虹粗仿宋"/>
          <w:b/>
          <w:kern w:val="0"/>
          <w:sz w:val="32"/>
          <w:szCs w:val="32"/>
        </w:rPr>
        <w:t>：</w:t>
      </w:r>
      <w:r>
        <w:rPr>
          <w:rFonts w:hint="eastAsia" w:ascii="彩虹粗仿宋" w:hAnsi="宋体" w:eastAsia="彩虹粗仿宋"/>
          <w:kern w:val="0"/>
          <w:sz w:val="32"/>
          <w:szCs w:val="32"/>
        </w:rPr>
        <w:t>两个车组每组押运人员2人、驾驶员1人、解款员2人，团队人员应进行严格的政审，应是政治素质好、工作责任心强、作风正派、身心健康。</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2.押运人员持有保安员证、持枪证，驾驶员持有驾驶证，同时所有服务人员具有3年以上的押运服务经验。</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 xml:space="preserve">  （二）风险控制和应急措施</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640"/>
        <w:rPr>
          <w:rFonts w:ascii="彩虹粗仿宋" w:hAnsi="Times New Roman" w:eastAsia="彩虹粗仿宋" w:cs="Times New Roman"/>
          <w:sz w:val="32"/>
          <w:szCs w:val="32"/>
        </w:rPr>
      </w:pPr>
      <w:r>
        <w:rPr>
          <w:sz w:val="30"/>
          <w:szCs w:val="30"/>
        </w:rPr>
        <w:fldChar w:fldCharType="begin"/>
      </w:r>
      <w:r>
        <w:rPr>
          <w:sz w:val="30"/>
          <w:szCs w:val="30"/>
        </w:rPr>
        <w:instrText xml:space="preserve"> </w:instrText>
      </w:r>
      <w:r>
        <w:rPr>
          <w:rFonts w:hint="eastAsia"/>
          <w:sz w:val="30"/>
          <w:szCs w:val="30"/>
        </w:rPr>
        <w:instrText xml:space="preserve">eq \o\ac(</w:instrText>
      </w:r>
      <w:r>
        <w:rPr>
          <w:rFonts w:hint="eastAsia" w:ascii="宋体"/>
          <w:position w:val="-6"/>
          <w:sz w:val="45"/>
          <w:szCs w:val="30"/>
        </w:rPr>
        <w:instrText xml:space="preserve">○</w:instrText>
      </w:r>
      <w:r>
        <w:rPr>
          <w:rFonts w:hint="eastAsia"/>
          <w:sz w:val="30"/>
          <w:szCs w:val="30"/>
        </w:rPr>
        <w:instrText xml:space="preserve">,1)</w:instrText>
      </w:r>
      <w:r>
        <w:rPr>
          <w:sz w:val="30"/>
          <w:szCs w:val="30"/>
        </w:rPr>
        <w:fldChar w:fldCharType="end"/>
      </w:r>
      <w:r>
        <w:rPr>
          <w:rFonts w:hint="eastAsia" w:ascii="彩虹粗仿宋" w:hAnsi="Times New Roman" w:eastAsia="彩虹粗仿宋" w:cs="Times New Roman"/>
          <w:sz w:val="32"/>
          <w:szCs w:val="32"/>
        </w:rPr>
        <w:t>钞币运送和守护业务应按规程操作。</w:t>
      </w:r>
    </w:p>
    <w:p>
      <w:pPr>
        <w:spacing w:line="560" w:lineRule="exact"/>
        <w:ind w:firstLine="640"/>
        <w:rPr>
          <w:rFonts w:ascii="彩虹粗仿宋" w:hAnsi="Times New Roman" w:eastAsia="彩虹粗仿宋" w:cs="Times New Roman"/>
          <w:kern w:val="0"/>
          <w:sz w:val="32"/>
          <w:szCs w:val="32"/>
        </w:rPr>
      </w:pPr>
      <w:r>
        <w:rPr>
          <w:rFonts w:ascii="彩虹粗仿宋" w:hAnsi="Times New Roman" w:eastAsia="彩虹粗仿宋" w:cs="Times New Roman"/>
          <w:sz w:val="32"/>
          <w:szCs w:val="32"/>
        </w:rPr>
        <w:fldChar w:fldCharType="begin"/>
      </w:r>
      <w:r>
        <w:rPr>
          <w:rFonts w:ascii="彩虹粗仿宋" w:hAnsi="Times New Roman" w:eastAsia="彩虹粗仿宋" w:cs="Times New Roman"/>
          <w:sz w:val="32"/>
          <w:szCs w:val="32"/>
        </w:rPr>
        <w:instrText xml:space="preserve"> </w:instrText>
      </w:r>
      <w:r>
        <w:rPr>
          <w:rFonts w:hint="eastAsia" w:ascii="彩虹粗仿宋" w:hAnsi="Times New Roman" w:eastAsia="彩虹粗仿宋" w:cs="Times New Roman"/>
          <w:sz w:val="32"/>
          <w:szCs w:val="32"/>
        </w:rPr>
        <w:instrText xml:space="preserve">eq \o\ac(</w:instrText>
      </w:r>
      <w:r>
        <w:rPr>
          <w:rFonts w:hint="eastAsia" w:ascii="彩虹粗仿宋" w:hAnsi="Times New Roman" w:eastAsia="彩虹粗仿宋" w:cs="Times New Roman"/>
          <w:position w:val="-6"/>
          <w:sz w:val="48"/>
          <w:szCs w:val="32"/>
        </w:rPr>
        <w:instrText xml:space="preserve">○</w:instrText>
      </w:r>
      <w:r>
        <w:rPr>
          <w:rFonts w:hint="eastAsia" w:ascii="彩虹粗仿宋" w:hAnsi="Times New Roman" w:eastAsia="彩虹粗仿宋" w:cs="Times New Roman"/>
          <w:sz w:val="32"/>
          <w:szCs w:val="32"/>
        </w:rPr>
        <w:instrText xml:space="preserve">,2)</w:instrText>
      </w:r>
      <w:r>
        <w:rPr>
          <w:rFonts w:ascii="彩虹粗仿宋" w:hAnsi="Times New Roman" w:eastAsia="彩虹粗仿宋" w:cs="Times New Roman"/>
          <w:sz w:val="32"/>
          <w:szCs w:val="32"/>
        </w:rPr>
        <w:fldChar w:fldCharType="end"/>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z w:val="32"/>
          <w:szCs w:val="32"/>
        </w:rPr>
        <w:t>服务方保证按时把款箱安全押运至我行各营业场所和</w:t>
      </w:r>
      <w:r>
        <w:rPr>
          <w:rFonts w:hint="eastAsia" w:ascii="彩虹粗仿宋" w:hAnsi="宋体" w:eastAsia="彩虹粗仿宋"/>
          <w:kern w:val="0"/>
          <w:sz w:val="32"/>
          <w:szCs w:val="32"/>
        </w:rPr>
        <w:t>尾箱及时入库，按时完成上门接送款、自助银行加（撤）钞押运等工作，服务价格按固定金额收费，服务过程中产生的额外费用由双方协商并签署补充协议执行。</w:t>
      </w:r>
    </w:p>
    <w:p>
      <w:pPr>
        <w:spacing w:line="360" w:lineRule="auto"/>
        <w:ind w:firstLine="566" w:firstLineChars="177"/>
        <w:rPr>
          <w:rFonts w:ascii="彩虹粗仿宋" w:hAnsi="宋体" w:eastAsia="彩虹粗仿宋"/>
          <w:kern w:val="0"/>
          <w:sz w:val="32"/>
          <w:szCs w:val="32"/>
        </w:rPr>
      </w:pPr>
      <w:r>
        <w:rPr>
          <w:rFonts w:hint="eastAsia" w:ascii="彩虹粗仿宋" w:hAnsi="宋体" w:eastAsia="彩虹粗仿宋"/>
          <w:kern w:val="0"/>
          <w:sz w:val="32"/>
          <w:szCs w:val="32"/>
        </w:rPr>
        <w:t xml:space="preserve"> 1.城区6个营业场所，根据“运六休一”运营安排，在每个营业工作日早9点之前，服务方应把营业所需的款箱及重要物品安全押运至营业场所，解款员同营业网点有权解缴人在营业柜台内监控区域纳办理押运款箱（包）交接手续。营业场所晚5点营业终了后，解款员同营业网点有权解缴人在柜台内监控区域办理押运款箱（包）交接手续，并安全将款包押运至我行中心金库并办理交接手续。</w:t>
      </w:r>
    </w:p>
    <w:p>
      <w:pPr>
        <w:spacing w:line="360" w:lineRule="auto"/>
        <w:ind w:firstLine="630"/>
        <w:rPr>
          <w:rFonts w:ascii="彩虹粗仿宋" w:hAnsi="宋体" w:eastAsia="彩虹粗仿宋"/>
          <w:kern w:val="0"/>
          <w:sz w:val="32"/>
          <w:szCs w:val="32"/>
        </w:rPr>
      </w:pPr>
      <w:r>
        <w:rPr>
          <w:rFonts w:hint="eastAsia" w:ascii="彩虹粗仿宋" w:hAnsi="宋体" w:eastAsia="彩虹粗仿宋"/>
          <w:kern w:val="0"/>
          <w:sz w:val="32"/>
          <w:szCs w:val="32"/>
        </w:rPr>
        <w:t>2.自助服务加（撤）钞和上门收款服务时间、地点服务方根据我行渠道与运营管理部的业务需求时间安排押运车辆和人员及时组织实施，并办理交接手续。</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本次拟采购的服务数量见：济源分行武装押运服务外包需求表。</w:t>
      </w:r>
    </w:p>
    <w:tbl>
      <w:tblPr>
        <w:tblStyle w:val="2"/>
        <w:tblW w:w="0" w:type="auto"/>
        <w:jc w:val="center"/>
        <w:tblLayout w:type="autofit"/>
        <w:tblCellMar>
          <w:top w:w="0" w:type="dxa"/>
          <w:left w:w="108" w:type="dxa"/>
          <w:bottom w:w="0" w:type="dxa"/>
          <w:right w:w="108" w:type="dxa"/>
        </w:tblCellMar>
      </w:tblPr>
      <w:tblGrid>
        <w:gridCol w:w="1840"/>
        <w:gridCol w:w="665"/>
        <w:gridCol w:w="804"/>
        <w:gridCol w:w="665"/>
        <w:gridCol w:w="665"/>
        <w:gridCol w:w="3883"/>
      </w:tblGrid>
      <w:tr>
        <w:tblPrEx>
          <w:tblCellMar>
            <w:top w:w="0" w:type="dxa"/>
            <w:left w:w="108" w:type="dxa"/>
            <w:bottom w:w="0" w:type="dxa"/>
            <w:right w:w="108" w:type="dxa"/>
          </w:tblCellMar>
        </w:tblPrEx>
        <w:trPr>
          <w:trHeight w:val="456" w:hRule="atLeast"/>
          <w:jc w:val="center"/>
        </w:trPr>
        <w:tc>
          <w:tcPr>
            <w:tcW w:w="0" w:type="auto"/>
            <w:gridSpan w:val="6"/>
          </w:tcPr>
          <w:p>
            <w:pPr>
              <w:adjustRightInd w:val="0"/>
              <w:snapToGrid w:val="0"/>
              <w:spacing w:line="560" w:lineRule="exact"/>
              <w:ind w:firstLine="482" w:firstLineChars="200"/>
              <w:jc w:val="center"/>
              <w:rPr>
                <w:rFonts w:cs="宋体" w:asciiTheme="minorEastAsia" w:hAnsiTheme="minorEastAsia"/>
                <w:b/>
                <w:color w:val="000000"/>
                <w:kern w:val="0"/>
                <w:sz w:val="24"/>
                <w:szCs w:val="24"/>
              </w:rPr>
            </w:pPr>
            <w:r>
              <w:rPr>
                <w:rFonts w:hint="eastAsia" w:asciiTheme="minorEastAsia" w:hAnsiTheme="minorEastAsia"/>
                <w:b/>
                <w:kern w:val="0"/>
                <w:sz w:val="24"/>
                <w:szCs w:val="24"/>
              </w:rPr>
              <w:t>济源分行武装押运服务外包需求表</w:t>
            </w:r>
          </w:p>
        </w:tc>
      </w:tr>
      <w:tr>
        <w:tblPrEx>
          <w:tblCellMar>
            <w:top w:w="0" w:type="dxa"/>
            <w:left w:w="108" w:type="dxa"/>
            <w:bottom w:w="0" w:type="dxa"/>
            <w:right w:w="108" w:type="dxa"/>
          </w:tblCellMar>
        </w:tblPrEx>
        <w:trPr>
          <w:trHeight w:val="792" w:hRule="atLeast"/>
          <w:jc w:val="center"/>
        </w:trPr>
        <w:tc>
          <w:tcPr>
            <w:tcW w:w="0" w:type="auto"/>
            <w:tcBorders>
              <w:top w:val="single" w:color="auto" w:sz="8" w:space="0"/>
              <w:left w:val="single" w:color="auto" w:sz="8" w:space="0"/>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名称</w:t>
            </w:r>
          </w:p>
        </w:tc>
        <w:tc>
          <w:tcPr>
            <w:tcW w:w="0" w:type="auto"/>
            <w:tcBorders>
              <w:top w:val="single" w:color="auto" w:sz="8" w:space="0"/>
              <w:left w:val="nil"/>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营业场所</w:t>
            </w:r>
          </w:p>
        </w:tc>
        <w:tc>
          <w:tcPr>
            <w:tcW w:w="0" w:type="auto"/>
            <w:tcBorders>
              <w:top w:val="single" w:color="auto" w:sz="8" w:space="0"/>
              <w:left w:val="nil"/>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离行自助银行</w:t>
            </w:r>
          </w:p>
        </w:tc>
        <w:tc>
          <w:tcPr>
            <w:tcW w:w="0" w:type="auto"/>
            <w:tcBorders>
              <w:top w:val="single" w:color="auto" w:sz="4" w:space="0"/>
              <w:left w:val="nil"/>
              <w:bottom w:val="single" w:color="auto" w:sz="4" w:space="0"/>
              <w:right w:val="single" w:color="auto" w:sz="4" w:space="0"/>
            </w:tcBorders>
          </w:tcPr>
          <w:p>
            <w:pPr>
              <w:widowControl/>
              <w:jc w:val="center"/>
              <w:rPr>
                <w:rFonts w:cs="宋体" w:asciiTheme="minorEastAsia" w:hAnsiTheme="minorEastAsia"/>
                <w:color w:val="000000"/>
                <w:kern w:val="0"/>
                <w:sz w:val="24"/>
                <w:szCs w:val="24"/>
              </w:rPr>
            </w:pPr>
          </w:p>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金库值守</w:t>
            </w:r>
          </w:p>
        </w:tc>
        <w:tc>
          <w:tcPr>
            <w:tcW w:w="0" w:type="auto"/>
            <w:tcBorders>
              <w:top w:val="single" w:color="auto" w:sz="8"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上门服务</w:t>
            </w:r>
          </w:p>
        </w:tc>
        <w:tc>
          <w:tcPr>
            <w:tcW w:w="0" w:type="auto"/>
            <w:tcBorders>
              <w:top w:val="single" w:color="auto" w:sz="8" w:space="0"/>
              <w:left w:val="nil"/>
              <w:bottom w:val="single" w:color="auto" w:sz="4" w:space="0"/>
              <w:right w:val="single" w:color="auto" w:sz="8"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CellMar>
            <w:top w:w="0" w:type="dxa"/>
            <w:left w:w="108" w:type="dxa"/>
            <w:bottom w:w="0" w:type="dxa"/>
            <w:right w:w="108" w:type="dxa"/>
          </w:tblCellMar>
        </w:tblPrEx>
        <w:trPr>
          <w:trHeight w:val="1140" w:hRule="atLeast"/>
          <w:jc w:val="center"/>
        </w:trPr>
        <w:tc>
          <w:tcPr>
            <w:tcW w:w="0" w:type="auto"/>
            <w:tcBorders>
              <w:top w:val="nil"/>
              <w:left w:val="single" w:color="auto" w:sz="8" w:space="0"/>
              <w:bottom w:val="single" w:color="auto" w:sz="4" w:space="0"/>
              <w:right w:val="nil"/>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城区支行、出入库（按需）押运服务</w:t>
            </w:r>
          </w:p>
        </w:tc>
        <w:tc>
          <w:tcPr>
            <w:tcW w:w="0" w:type="auto"/>
            <w:tcBorders>
              <w:top w:val="nil"/>
              <w:left w:val="single" w:color="auto" w:sz="4" w:space="0"/>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p>
        </w:tc>
        <w:tc>
          <w:tcPr>
            <w:tcW w:w="0" w:type="auto"/>
            <w:tcBorders>
              <w:top w:val="single" w:color="auto" w:sz="4" w:space="0"/>
              <w:left w:val="nil"/>
              <w:bottom w:val="single" w:color="auto" w:sz="4" w:space="0"/>
              <w:right w:val="single" w:color="auto" w:sz="4" w:space="0"/>
            </w:tcBorders>
          </w:tcPr>
          <w:p>
            <w:pPr>
              <w:widowControl/>
              <w:jc w:val="center"/>
              <w:rPr>
                <w:rFonts w:cs="宋体" w:asciiTheme="minorEastAsia" w:hAnsiTheme="minorEastAsia"/>
                <w:color w:val="000000"/>
                <w:kern w:val="0"/>
                <w:sz w:val="24"/>
                <w:szCs w:val="24"/>
              </w:rPr>
            </w:pPr>
          </w:p>
        </w:tc>
        <w:tc>
          <w:tcPr>
            <w:tcW w:w="0" w:type="auto"/>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p>
        </w:tc>
        <w:tc>
          <w:tcPr>
            <w:tcW w:w="0" w:type="auto"/>
            <w:tcBorders>
              <w:top w:val="nil"/>
              <w:left w:val="nil"/>
              <w:bottom w:val="single" w:color="auto" w:sz="4" w:space="0"/>
              <w:right w:val="single" w:color="auto" w:sz="8" w:space="0"/>
            </w:tcBorders>
            <w:vAlign w:val="bottom"/>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城区营业场所早晚款箱接送2条线路，自助加钞1条线路，不定时押运工作延时服务。</w:t>
            </w:r>
          </w:p>
        </w:tc>
      </w:tr>
      <w:tr>
        <w:tblPrEx>
          <w:tblCellMar>
            <w:top w:w="0" w:type="dxa"/>
            <w:left w:w="108" w:type="dxa"/>
            <w:bottom w:w="0" w:type="dxa"/>
            <w:right w:w="108" w:type="dxa"/>
          </w:tblCellMar>
        </w:tblPrEx>
        <w:trPr>
          <w:trHeight w:val="469" w:hRule="atLeast"/>
          <w:jc w:val="center"/>
        </w:trPr>
        <w:tc>
          <w:tcPr>
            <w:tcW w:w="0" w:type="auto"/>
            <w:tcBorders>
              <w:top w:val="nil"/>
              <w:left w:val="single" w:color="auto" w:sz="8" w:space="0"/>
              <w:bottom w:val="single" w:color="auto" w:sz="4" w:space="0"/>
              <w:right w:val="nil"/>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沁北支行</w:t>
            </w:r>
          </w:p>
        </w:tc>
        <w:tc>
          <w:tcPr>
            <w:tcW w:w="0" w:type="auto"/>
            <w:tcBorders>
              <w:top w:val="nil"/>
              <w:left w:val="single" w:color="auto" w:sz="4" w:space="0"/>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0" w:type="auto"/>
            <w:tcBorders>
              <w:top w:val="single" w:color="auto" w:sz="4" w:space="0"/>
              <w:left w:val="nil"/>
              <w:bottom w:val="single" w:color="auto" w:sz="4" w:space="0"/>
              <w:right w:val="single" w:color="auto" w:sz="4" w:space="0"/>
            </w:tcBorders>
          </w:tcPr>
          <w:p>
            <w:pPr>
              <w:widowControl/>
              <w:jc w:val="center"/>
              <w:rPr>
                <w:rFonts w:cs="宋体" w:asciiTheme="minorEastAsia" w:hAnsiTheme="minorEastAsia"/>
                <w:color w:val="000000"/>
                <w:kern w:val="0"/>
                <w:sz w:val="24"/>
                <w:szCs w:val="24"/>
              </w:rPr>
            </w:pPr>
          </w:p>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 </w:t>
            </w:r>
          </w:p>
        </w:tc>
        <w:tc>
          <w:tcPr>
            <w:tcW w:w="0" w:type="auto"/>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p>
        </w:tc>
        <w:tc>
          <w:tcPr>
            <w:tcW w:w="0" w:type="auto"/>
            <w:tcBorders>
              <w:top w:val="nil"/>
              <w:left w:val="nil"/>
              <w:bottom w:val="single" w:color="auto" w:sz="4" w:space="0"/>
              <w:right w:val="single" w:color="auto" w:sz="8" w:space="0"/>
            </w:tcBorders>
            <w:vAlign w:val="bottom"/>
          </w:tcPr>
          <w:p>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 郊区</w:t>
            </w:r>
          </w:p>
        </w:tc>
      </w:tr>
      <w:tr>
        <w:tblPrEx>
          <w:tblCellMar>
            <w:top w:w="0" w:type="dxa"/>
            <w:left w:w="108" w:type="dxa"/>
            <w:bottom w:w="0" w:type="dxa"/>
            <w:right w:w="108" w:type="dxa"/>
          </w:tblCellMar>
        </w:tblPrEx>
        <w:trPr>
          <w:trHeight w:val="696" w:hRule="atLeast"/>
          <w:jc w:val="center"/>
        </w:trPr>
        <w:tc>
          <w:tcPr>
            <w:tcW w:w="0" w:type="auto"/>
            <w:tcBorders>
              <w:top w:val="nil"/>
              <w:left w:val="single" w:color="auto" w:sz="8" w:space="0"/>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富士康</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 </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0" w:type="auto"/>
            <w:tcBorders>
              <w:top w:val="single" w:color="auto" w:sz="4" w:space="0"/>
              <w:left w:val="nil"/>
              <w:bottom w:val="single" w:color="auto" w:sz="4" w:space="0"/>
              <w:right w:val="single" w:color="auto" w:sz="4" w:space="0"/>
            </w:tcBorders>
          </w:tcPr>
          <w:p>
            <w:pPr>
              <w:widowControl/>
              <w:jc w:val="center"/>
              <w:rPr>
                <w:rFonts w:cs="宋体" w:asciiTheme="minorEastAsia" w:hAnsiTheme="minorEastAsia"/>
                <w:color w:val="000000"/>
                <w:kern w:val="0"/>
                <w:sz w:val="24"/>
                <w:szCs w:val="24"/>
              </w:rPr>
            </w:pPr>
          </w:p>
        </w:tc>
        <w:tc>
          <w:tcPr>
            <w:tcW w:w="0" w:type="auto"/>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w:t>
            </w:r>
          </w:p>
        </w:tc>
        <w:tc>
          <w:tcPr>
            <w:tcW w:w="0" w:type="auto"/>
            <w:tcBorders>
              <w:top w:val="nil"/>
              <w:left w:val="nil"/>
              <w:bottom w:val="single" w:color="auto" w:sz="4" w:space="0"/>
              <w:right w:val="single" w:color="auto" w:sz="8" w:space="0"/>
            </w:tcBorders>
            <w:noWrap/>
            <w:vAlign w:val="bottom"/>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郊区1个离行　</w:t>
            </w:r>
          </w:p>
        </w:tc>
      </w:tr>
      <w:tr>
        <w:tblPrEx>
          <w:tblCellMar>
            <w:top w:w="0" w:type="dxa"/>
            <w:left w:w="108" w:type="dxa"/>
            <w:bottom w:w="0" w:type="dxa"/>
            <w:right w:w="108" w:type="dxa"/>
          </w:tblCellMar>
        </w:tblPrEx>
        <w:trPr>
          <w:trHeight w:val="696" w:hRule="atLeast"/>
          <w:jc w:val="center"/>
        </w:trPr>
        <w:tc>
          <w:tcPr>
            <w:tcW w:w="0" w:type="auto"/>
            <w:tcBorders>
              <w:top w:val="nil"/>
              <w:left w:val="single" w:color="auto" w:sz="8" w:space="0"/>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万洋</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 </w:t>
            </w:r>
          </w:p>
        </w:tc>
        <w:tc>
          <w:tcPr>
            <w:tcW w:w="0" w:type="auto"/>
            <w:tcBorders>
              <w:top w:val="nil"/>
              <w:left w:val="nil"/>
              <w:bottom w:val="single" w:color="auto" w:sz="4" w:space="0"/>
              <w:right w:val="single" w:color="auto" w:sz="4" w:space="0"/>
            </w:tcBorders>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0" w:type="auto"/>
            <w:tcBorders>
              <w:top w:val="single" w:color="auto" w:sz="4" w:space="0"/>
              <w:left w:val="nil"/>
              <w:bottom w:val="single" w:color="auto" w:sz="4" w:space="0"/>
              <w:right w:val="single" w:color="auto" w:sz="4" w:space="0"/>
            </w:tcBorders>
          </w:tcPr>
          <w:p>
            <w:pPr>
              <w:widowControl/>
              <w:jc w:val="center"/>
              <w:rPr>
                <w:rFonts w:cs="宋体" w:asciiTheme="minorEastAsia" w:hAnsiTheme="minorEastAsia"/>
                <w:color w:val="000000"/>
                <w:kern w:val="0"/>
                <w:sz w:val="24"/>
                <w:szCs w:val="24"/>
              </w:rPr>
            </w:pPr>
          </w:p>
        </w:tc>
        <w:tc>
          <w:tcPr>
            <w:tcW w:w="0" w:type="auto"/>
            <w:tcBorders>
              <w:top w:val="nil"/>
              <w:left w:val="single" w:color="auto" w:sz="4" w:space="0"/>
              <w:bottom w:val="single" w:color="auto" w:sz="4" w:space="0"/>
              <w:right w:val="single" w:color="auto" w:sz="4" w:space="0"/>
            </w:tcBorders>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w:t>
            </w:r>
          </w:p>
        </w:tc>
        <w:tc>
          <w:tcPr>
            <w:tcW w:w="0" w:type="auto"/>
            <w:tcBorders>
              <w:top w:val="nil"/>
              <w:left w:val="nil"/>
              <w:bottom w:val="single" w:color="auto" w:sz="4" w:space="0"/>
              <w:right w:val="single" w:color="auto" w:sz="8" w:space="0"/>
            </w:tcBorders>
            <w:noWrap/>
            <w:vAlign w:val="bottom"/>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郊区1个离行　</w:t>
            </w:r>
          </w:p>
        </w:tc>
      </w:tr>
    </w:tbl>
    <w:p>
      <w:pPr>
        <w:adjustRightInd w:val="0"/>
        <w:snapToGrid w:val="0"/>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预计需要</w:t>
      </w:r>
      <w:r>
        <w:rPr>
          <w:rFonts w:hint="eastAsia" w:ascii="彩虹粗仿宋" w:hAnsi="宋体" w:eastAsia="彩虹粗仿宋"/>
          <w:sz w:val="32"/>
          <w:szCs w:val="32"/>
          <w:lang w:val="en-US" w:eastAsia="zh-CN"/>
        </w:rPr>
        <w:t>2</w:t>
      </w:r>
      <w:r>
        <w:rPr>
          <w:rFonts w:hint="eastAsia" w:ascii="彩虹粗仿宋" w:hAnsi="宋体" w:eastAsia="彩虹粗仿宋"/>
          <w:sz w:val="32"/>
          <w:szCs w:val="32"/>
        </w:rPr>
        <w:t>个车组。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103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2024-05-23T01:24:47Z</dcterms:created>
  <dc:creator>haccb</dc:creator>
  <cp:lastModifiedBy>haccb</cp:lastModifiedBy>
  <dcterms:modified xsi:type="dcterms:W3CDTF">2024-05-23T01:44:57Z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B39E0A7422374E92ABD15DDF350E5D2C_12</vt:lpwstr>
  </property>
</Properties>
</file>