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彩虹小标宋" w:eastAsia="彩虹小标宋" w:cs="彩虹小标宋"/>
          <w:sz w:val="44"/>
          <w:szCs w:val="44"/>
        </w:rPr>
      </w:pPr>
      <w:r>
        <w:rPr>
          <w:rFonts w:hint="eastAsia" w:ascii="彩虹小标宋" w:hAnsi="彩虹小标宋" w:eastAsia="彩虹小标宋" w:cs="彩虹小标宋"/>
          <w:sz w:val="44"/>
          <w:szCs w:val="44"/>
          <w:lang w:val="en-US" w:eastAsia="zh-CN"/>
        </w:rPr>
        <w:t>泉州市洛江区卫生健康局卫生系统银医升级项目</w:t>
      </w:r>
      <w:r>
        <w:rPr>
          <w:rFonts w:hint="eastAsia" w:ascii="彩虹小标宋" w:hAnsi="彩虹小标宋" w:eastAsia="彩虹小标宋" w:cs="彩虹小标宋"/>
          <w:sz w:val="44"/>
          <w:szCs w:val="44"/>
        </w:rPr>
        <w:t>采购需求</w:t>
      </w:r>
    </w:p>
    <w:p>
      <w:pPr>
        <w:rPr>
          <w:rFonts w:ascii="彩虹粗仿宋" w:hAnsi="彩虹粗仿宋" w:eastAsia="彩虹粗仿宋" w:cs="彩虹粗仿宋"/>
          <w:sz w:val="32"/>
          <w:szCs w:val="32"/>
        </w:rPr>
      </w:pP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一、对于候选供应商的要求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1.供应商应具备独立的法人资格，具有相应软件产品服务的经营范围，具有医疗卫生行业信息化建设经验。</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2.具有良好的商业信誉和健全的财务会计制度，参与建设银行采购活动前五年内，在经营活动中没有重大违法记录；没有处于被责令停业、财产被接管、冻结、破产状态。</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.供应商近五年内</w:t>
      </w:r>
      <w:r>
        <w:rPr>
          <w:rFonts w:hint="eastAsia" w:ascii="彩虹粗仿宋" w:hAnsi="宋体" w:eastAsia="彩虹粗仿宋" w:cs="Times New Roman"/>
          <w:snapToGrid w:val="0"/>
          <w:kern w:val="0"/>
          <w:sz w:val="32"/>
          <w:szCs w:val="32"/>
          <w:lang w:val="en-US" w:eastAsia="zh-CN"/>
        </w:rPr>
        <w:t>医疗卫生</w:t>
      </w:r>
      <w:r>
        <w:rPr>
          <w:rFonts w:hint="eastAsia" w:ascii="彩虹粗仿宋" w:hAnsi="宋体" w:eastAsia="彩虹粗仿宋" w:cs="Times New Roman"/>
          <w:snapToGrid w:val="0"/>
          <w:kern w:val="0"/>
          <w:sz w:val="32"/>
          <w:szCs w:val="32"/>
        </w:rPr>
        <w:t>行业软件</w:t>
      </w:r>
      <w:r>
        <w:rPr>
          <w:rFonts w:hint="eastAsia" w:ascii="彩虹粗仿宋" w:hAnsi="宋体" w:eastAsia="彩虹粗仿宋" w:cs="Times New Roman"/>
          <w:snapToGrid w:val="0"/>
          <w:kern w:val="0"/>
          <w:sz w:val="32"/>
          <w:szCs w:val="32"/>
          <w:lang w:val="en-US" w:eastAsia="zh-CN"/>
        </w:rPr>
        <w:t>相关</w:t>
      </w:r>
      <w:r>
        <w:rPr>
          <w:rFonts w:hint="eastAsia" w:ascii="彩虹粗仿宋" w:hAnsi="宋体" w:eastAsia="彩虹粗仿宋" w:cs="Times New Roman"/>
          <w:snapToGrid w:val="0"/>
          <w:kern w:val="0"/>
          <w:sz w:val="32"/>
          <w:szCs w:val="32"/>
        </w:rPr>
        <w:t>案例</w:t>
      </w:r>
      <w:r>
        <w:rPr>
          <w:rFonts w:hint="eastAsia" w:ascii="彩虹粗仿宋" w:hAnsi="宋体" w:eastAsia="彩虹粗仿宋" w:cs="Times New Roman"/>
          <w:snapToGrid w:val="0"/>
          <w:kern w:val="0"/>
          <w:sz w:val="32"/>
          <w:szCs w:val="32"/>
          <w:lang w:eastAsia="zh-CN"/>
        </w:rPr>
        <w:t>。</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二、对于拟采购设备（物品）的要求</w:t>
      </w:r>
    </w:p>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（一）基本要求</w:t>
      </w:r>
    </w:p>
    <w:p>
      <w:pPr>
        <w:adjustRightInd w:val="0"/>
        <w:snapToGrid w:val="0"/>
        <w:spacing w:line="560" w:lineRule="exact"/>
        <w:ind w:firstLine="640" w:firstLineChars="200"/>
        <w:rPr>
          <w:rFonts w:hint="eastAsia" w:ascii="彩虹粗仿宋" w:hAnsi="宋体" w:eastAsia="彩虹粗仿宋" w:cs="彩虹粗仿宋"/>
          <w:sz w:val="32"/>
          <w:szCs w:val="32"/>
        </w:rPr>
      </w:pPr>
      <w:r>
        <w:rPr>
          <w:rFonts w:hint="eastAsia" w:ascii="彩虹粗仿宋" w:eastAsia="彩虹粗仿宋"/>
          <w:color w:val="auto"/>
          <w:sz w:val="32"/>
          <w:szCs w:val="32"/>
          <w:lang w:val="en-US" w:eastAsia="zh-CN"/>
        </w:rPr>
        <w:t>泉州市洛江区卫生健康局卫生系统银医升级项目采购包括软、</w:t>
      </w:r>
      <w:r>
        <w:rPr>
          <w:rFonts w:hint="eastAsia" w:ascii="彩虹粗仿宋" w:eastAsia="彩虹粗仿宋"/>
          <w:color w:val="000000"/>
          <w:sz w:val="32"/>
          <w:szCs w:val="32"/>
          <w:lang w:val="en-US" w:eastAsia="zh-CN"/>
        </w:rPr>
        <w:t>硬</w:t>
      </w:r>
      <w:r>
        <w:rPr>
          <w:rFonts w:hint="eastAsia" w:ascii="彩虹粗仿宋" w:eastAsia="彩虹粗仿宋"/>
          <w:sz w:val="32"/>
          <w:szCs w:val="32"/>
        </w:rPr>
        <w:t>件，</w:t>
      </w:r>
      <w:r>
        <w:rPr>
          <w:rFonts w:hint="eastAsia" w:ascii="彩虹粗仿宋" w:hAnsi="宋体" w:eastAsia="彩虹粗仿宋" w:cs="彩虹粗仿宋"/>
          <w:sz w:val="32"/>
          <w:szCs w:val="32"/>
        </w:rPr>
        <w:t>明细如下：</w:t>
      </w:r>
    </w:p>
    <w:tbl>
      <w:tblPr>
        <w:tblStyle w:val="9"/>
        <w:tblpPr w:leftFromText="180" w:rightFromText="180" w:vertAnchor="text" w:horzAnchor="margin" w:tblpXSpec="center" w:tblpY="338"/>
        <w:tblW w:w="7654" w:type="dxa"/>
        <w:tblInd w:w="-7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85"/>
        <w:gridCol w:w="170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序号</w:t>
            </w:r>
          </w:p>
        </w:tc>
        <w:tc>
          <w:tcPr>
            <w:tcW w:w="3685" w:type="dxa"/>
            <w:vAlign w:val="center"/>
          </w:tcPr>
          <w:p>
            <w:pPr>
              <w:jc w:val="center"/>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项目名称</w:t>
            </w:r>
          </w:p>
        </w:tc>
        <w:tc>
          <w:tcPr>
            <w:tcW w:w="1701" w:type="dxa"/>
            <w:vAlign w:val="center"/>
          </w:tcPr>
          <w:p>
            <w:pPr>
              <w:jc w:val="center"/>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数量</w:t>
            </w:r>
          </w:p>
        </w:tc>
        <w:tc>
          <w:tcPr>
            <w:tcW w:w="1134" w:type="dxa"/>
            <w:vAlign w:val="center"/>
          </w:tcPr>
          <w:p>
            <w:pPr>
              <w:jc w:val="center"/>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34" w:type="dxa"/>
            <w:vAlign w:val="center"/>
          </w:tcPr>
          <w:p>
            <w:pPr>
              <w:widowControl/>
              <w:jc w:val="center"/>
              <w:textAlignment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1</w:t>
            </w:r>
          </w:p>
        </w:tc>
        <w:tc>
          <w:tcPr>
            <w:tcW w:w="3685" w:type="dxa"/>
            <w:vAlign w:val="center"/>
          </w:tcPr>
          <w:p>
            <w:pPr>
              <w:widowControl/>
              <w:jc w:val="center"/>
              <w:textAlignment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医保移动支付平台</w:t>
            </w:r>
          </w:p>
        </w:tc>
        <w:tc>
          <w:tcPr>
            <w:tcW w:w="1701" w:type="dxa"/>
            <w:vAlign w:val="center"/>
          </w:tcPr>
          <w:p>
            <w:pPr>
              <w:pStyle w:val="11"/>
              <w:spacing w:before="156" w:after="156"/>
              <w:jc w:val="center"/>
              <w:rPr>
                <w:rFonts w:hint="eastAsia" w:ascii="彩虹粗仿宋" w:hAnsi="彩虹粗仿宋" w:eastAsia="彩虹粗仿宋" w:cs="彩虹粗仿宋"/>
                <w:b w:val="0"/>
                <w:sz w:val="32"/>
                <w:szCs w:val="32"/>
              </w:rPr>
            </w:pPr>
            <w:r>
              <w:rPr>
                <w:rFonts w:hint="eastAsia" w:ascii="彩虹粗仿宋" w:hAnsi="彩虹粗仿宋" w:eastAsia="彩虹粗仿宋" w:cs="彩虹粗仿宋"/>
                <w:b w:val="0"/>
                <w:sz w:val="32"/>
                <w:szCs w:val="32"/>
              </w:rPr>
              <w:t>1套</w:t>
            </w:r>
          </w:p>
        </w:tc>
        <w:tc>
          <w:tcPr>
            <w:tcW w:w="1134" w:type="dxa"/>
            <w:vAlign w:val="center"/>
          </w:tcPr>
          <w:p>
            <w:pPr>
              <w:pStyle w:val="11"/>
              <w:spacing w:before="156" w:after="156"/>
              <w:jc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widowControl/>
              <w:jc w:val="center"/>
              <w:textAlignment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2</w:t>
            </w:r>
          </w:p>
        </w:tc>
        <w:tc>
          <w:tcPr>
            <w:tcW w:w="3685" w:type="dxa"/>
            <w:vAlign w:val="center"/>
          </w:tcPr>
          <w:p>
            <w:pPr>
              <w:widowControl/>
              <w:jc w:val="center"/>
              <w:textAlignment w:val="center"/>
              <w:rPr>
                <w:rFonts w:hint="eastAsia" w:ascii="彩虹粗仿宋" w:hAnsi="彩虹粗仿宋" w:eastAsia="彩虹粗仿宋" w:cs="彩虹粗仿宋"/>
                <w:kern w:val="0"/>
                <w:sz w:val="32"/>
                <w:szCs w:val="32"/>
                <w:lang w:val="en-US" w:eastAsia="zh-CN"/>
              </w:rPr>
            </w:pPr>
            <w:r>
              <w:rPr>
                <w:rFonts w:hint="eastAsia" w:ascii="彩虹粗仿宋" w:hAnsi="彩虹粗仿宋" w:eastAsia="彩虹粗仿宋" w:cs="彩虹粗仿宋"/>
                <w:kern w:val="0"/>
                <w:sz w:val="32"/>
                <w:szCs w:val="32"/>
                <w:lang w:val="en-US" w:eastAsia="zh-CN"/>
              </w:rPr>
              <w:t>电子票据管理系统</w:t>
            </w:r>
          </w:p>
        </w:tc>
        <w:tc>
          <w:tcPr>
            <w:tcW w:w="1701" w:type="dxa"/>
            <w:vAlign w:val="center"/>
          </w:tcPr>
          <w:p>
            <w:pPr>
              <w:pStyle w:val="11"/>
              <w:spacing w:before="156" w:after="156"/>
              <w:jc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1套</w:t>
            </w:r>
          </w:p>
        </w:tc>
        <w:tc>
          <w:tcPr>
            <w:tcW w:w="1134" w:type="dxa"/>
            <w:vAlign w:val="center"/>
          </w:tcPr>
          <w:p>
            <w:pPr>
              <w:pStyle w:val="11"/>
              <w:spacing w:before="156" w:after="156"/>
              <w:jc w:val="center"/>
              <w:rPr>
                <w:rFonts w:hint="default"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134" w:type="dxa"/>
            <w:vAlign w:val="center"/>
          </w:tcPr>
          <w:p>
            <w:pPr>
              <w:widowControl/>
              <w:snapToGrid w:val="0"/>
              <w:jc w:val="center"/>
              <w:rPr>
                <w:rFonts w:hint="eastAsia" w:ascii="彩虹粗仿宋" w:hAnsi="彩虹粗仿宋" w:eastAsia="彩虹粗仿宋" w:cs="彩虹粗仿宋"/>
                <w:color w:val="000000"/>
                <w:kern w:val="0"/>
                <w:sz w:val="32"/>
                <w:szCs w:val="32"/>
                <w:lang w:val="en-US" w:eastAsia="zh-CN" w:bidi="ar-SA"/>
              </w:rPr>
            </w:pPr>
            <w:r>
              <w:rPr>
                <w:rFonts w:hint="eastAsia" w:ascii="彩虹粗仿宋" w:hAnsi="彩虹粗仿宋" w:eastAsia="彩虹粗仿宋" w:cs="彩虹粗仿宋"/>
                <w:color w:val="000000"/>
                <w:kern w:val="0"/>
                <w:sz w:val="32"/>
                <w:szCs w:val="32"/>
                <w:lang w:val="en-US" w:eastAsia="zh-CN"/>
              </w:rPr>
              <w:t>3</w:t>
            </w:r>
          </w:p>
        </w:tc>
        <w:tc>
          <w:tcPr>
            <w:tcW w:w="3685" w:type="dxa"/>
            <w:vAlign w:val="center"/>
          </w:tcPr>
          <w:p>
            <w:pPr>
              <w:widowControl/>
              <w:snapToGrid w:val="0"/>
              <w:jc w:val="center"/>
              <w:rPr>
                <w:rFonts w:hint="eastAsia" w:ascii="彩虹粗仿宋" w:hAnsi="彩虹粗仿宋" w:eastAsia="彩虹粗仿宋" w:cs="彩虹粗仿宋"/>
                <w:color w:val="000000"/>
                <w:kern w:val="0"/>
                <w:sz w:val="32"/>
                <w:szCs w:val="32"/>
                <w:lang w:val="en-US" w:eastAsia="zh-CN" w:bidi="ar-SA"/>
              </w:rPr>
            </w:pPr>
            <w:r>
              <w:rPr>
                <w:rFonts w:hint="eastAsia" w:ascii="彩虹粗仿宋" w:hAnsi="彩虹粗仿宋" w:eastAsia="彩虹粗仿宋" w:cs="彩虹粗仿宋"/>
                <w:color w:val="000000"/>
                <w:kern w:val="0"/>
                <w:sz w:val="32"/>
                <w:szCs w:val="32"/>
              </w:rPr>
              <w:t>医保刷脸服务终端</w:t>
            </w:r>
          </w:p>
        </w:tc>
        <w:tc>
          <w:tcPr>
            <w:tcW w:w="1701" w:type="dxa"/>
            <w:vAlign w:val="center"/>
          </w:tcPr>
          <w:p>
            <w:pPr>
              <w:pStyle w:val="11"/>
              <w:spacing w:before="156" w:after="156"/>
              <w:jc w:val="center"/>
              <w:rPr>
                <w:rFonts w:hint="default"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3台</w:t>
            </w:r>
          </w:p>
        </w:tc>
        <w:tc>
          <w:tcPr>
            <w:tcW w:w="1134" w:type="dxa"/>
            <w:vAlign w:val="center"/>
          </w:tcPr>
          <w:p>
            <w:pPr>
              <w:pStyle w:val="11"/>
              <w:spacing w:before="156" w:after="156"/>
              <w:jc w:val="center"/>
              <w:rPr>
                <w:rFonts w:hint="default"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134" w:type="dxa"/>
            <w:vAlign w:val="center"/>
          </w:tcPr>
          <w:p>
            <w:pPr>
              <w:widowControl/>
              <w:snapToGrid w:val="0"/>
              <w:jc w:val="center"/>
              <w:rPr>
                <w:rFonts w:hint="default" w:ascii="彩虹粗仿宋" w:hAnsi="彩虹粗仿宋" w:eastAsia="彩虹粗仿宋" w:cs="彩虹粗仿宋"/>
                <w:color w:val="000000"/>
                <w:kern w:val="0"/>
                <w:sz w:val="32"/>
                <w:szCs w:val="32"/>
                <w:lang w:val="en-US" w:eastAsia="zh-CN"/>
              </w:rPr>
            </w:pPr>
            <w:r>
              <w:rPr>
                <w:rFonts w:hint="eastAsia" w:ascii="彩虹粗仿宋" w:hAnsi="彩虹粗仿宋" w:eastAsia="彩虹粗仿宋" w:cs="彩虹粗仿宋"/>
                <w:color w:val="000000"/>
                <w:kern w:val="0"/>
                <w:sz w:val="32"/>
                <w:szCs w:val="32"/>
                <w:lang w:val="en-US" w:eastAsia="zh-CN"/>
              </w:rPr>
              <w:t>4</w:t>
            </w:r>
          </w:p>
        </w:tc>
        <w:tc>
          <w:tcPr>
            <w:tcW w:w="3685" w:type="dxa"/>
            <w:vAlign w:val="center"/>
          </w:tcPr>
          <w:p>
            <w:pPr>
              <w:keepNext w:val="0"/>
              <w:keepLines w:val="0"/>
              <w:pageBreakBefore w:val="0"/>
              <w:tabs>
                <w:tab w:val="left" w:pos="459"/>
              </w:tabs>
              <w:kinsoku/>
              <w:wordWrap/>
              <w:overflowPunct/>
              <w:topLinePunct w:val="0"/>
              <w:autoSpaceDE/>
              <w:autoSpaceDN/>
              <w:bidi w:val="0"/>
              <w:adjustRightInd/>
              <w:snapToGrid/>
              <w:spacing w:line="240" w:lineRule="auto"/>
              <w:ind w:left="0" w:leftChars="0"/>
              <w:contextualSpacing/>
              <w:jc w:val="center"/>
              <w:textAlignment w:val="auto"/>
              <w:rPr>
                <w:rFonts w:hint="eastAsia" w:ascii="宋体" w:hAnsi="宋体" w:eastAsia="宋体" w:cs="宋体"/>
                <w:kern w:val="0"/>
                <w:sz w:val="21"/>
                <w:szCs w:val="21"/>
                <w:lang w:val="en-US" w:eastAsia="zh-CN" w:bidi="ar-SA"/>
              </w:rPr>
            </w:pPr>
            <w:r>
              <w:rPr>
                <w:rFonts w:hint="eastAsia" w:ascii="彩虹粗仿宋" w:hAnsi="彩虹粗仿宋" w:eastAsia="彩虹粗仿宋" w:cs="彩虹粗仿宋"/>
                <w:kern w:val="0"/>
                <w:sz w:val="32"/>
                <w:szCs w:val="32"/>
              </w:rPr>
              <w:t>打印机</w:t>
            </w:r>
          </w:p>
        </w:tc>
        <w:tc>
          <w:tcPr>
            <w:tcW w:w="1701" w:type="dxa"/>
            <w:vAlign w:val="center"/>
          </w:tcPr>
          <w:p>
            <w:pPr>
              <w:pStyle w:val="11"/>
              <w:spacing w:before="156" w:after="156"/>
              <w:jc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2台</w:t>
            </w:r>
          </w:p>
        </w:tc>
        <w:tc>
          <w:tcPr>
            <w:tcW w:w="1134" w:type="dxa"/>
            <w:vAlign w:val="center"/>
          </w:tcPr>
          <w:p>
            <w:pPr>
              <w:pStyle w:val="11"/>
              <w:spacing w:before="156" w:after="156"/>
              <w:jc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134" w:type="dxa"/>
            <w:vAlign w:val="center"/>
          </w:tcPr>
          <w:p>
            <w:pPr>
              <w:widowControl/>
              <w:snapToGrid w:val="0"/>
              <w:jc w:val="center"/>
              <w:rPr>
                <w:rFonts w:hint="default" w:ascii="彩虹粗仿宋" w:hAnsi="彩虹粗仿宋" w:eastAsia="彩虹粗仿宋" w:cs="彩虹粗仿宋"/>
                <w:color w:val="000000"/>
                <w:kern w:val="0"/>
                <w:sz w:val="32"/>
                <w:szCs w:val="32"/>
                <w:lang w:val="en-US" w:eastAsia="zh-CN"/>
              </w:rPr>
            </w:pPr>
            <w:r>
              <w:rPr>
                <w:rFonts w:hint="eastAsia" w:ascii="彩虹粗仿宋" w:hAnsi="彩虹粗仿宋" w:eastAsia="彩虹粗仿宋" w:cs="彩虹粗仿宋"/>
                <w:color w:val="000000"/>
                <w:kern w:val="0"/>
                <w:sz w:val="32"/>
                <w:szCs w:val="32"/>
                <w:lang w:val="en-US" w:eastAsia="zh-CN"/>
              </w:rPr>
              <w:t>5</w:t>
            </w:r>
          </w:p>
        </w:tc>
        <w:tc>
          <w:tcPr>
            <w:tcW w:w="3685" w:type="dxa"/>
            <w:vAlign w:val="center"/>
          </w:tcPr>
          <w:p>
            <w:pPr>
              <w:widowControl/>
              <w:snapToGrid w:val="0"/>
              <w:jc w:val="center"/>
              <w:rPr>
                <w:rFonts w:hint="default" w:ascii="彩虹粗仿宋" w:hAnsi="彩虹粗仿宋" w:eastAsia="彩虹粗仿宋" w:cs="彩虹粗仿宋"/>
                <w:color w:val="000000"/>
                <w:kern w:val="0"/>
                <w:sz w:val="32"/>
                <w:szCs w:val="32"/>
                <w:lang w:val="en-US" w:eastAsia="zh-CN"/>
              </w:rPr>
            </w:pPr>
            <w:r>
              <w:rPr>
                <w:rFonts w:hint="eastAsia" w:ascii="彩虹粗仿宋" w:hAnsi="彩虹粗仿宋" w:eastAsia="彩虹粗仿宋" w:cs="彩虹粗仿宋"/>
                <w:color w:val="000000"/>
                <w:kern w:val="0"/>
                <w:sz w:val="32"/>
                <w:szCs w:val="32"/>
                <w:lang w:val="en-US" w:eastAsia="zh-CN"/>
              </w:rPr>
              <w:t>服务器</w:t>
            </w:r>
          </w:p>
        </w:tc>
        <w:tc>
          <w:tcPr>
            <w:tcW w:w="1701" w:type="dxa"/>
            <w:vAlign w:val="center"/>
          </w:tcPr>
          <w:p>
            <w:pPr>
              <w:pStyle w:val="11"/>
              <w:spacing w:before="156" w:after="156"/>
              <w:jc w:val="center"/>
              <w:rPr>
                <w:rFonts w:hint="default"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1台</w:t>
            </w:r>
          </w:p>
        </w:tc>
        <w:tc>
          <w:tcPr>
            <w:tcW w:w="1134" w:type="dxa"/>
            <w:vAlign w:val="center"/>
          </w:tcPr>
          <w:p>
            <w:pPr>
              <w:pStyle w:val="11"/>
              <w:spacing w:before="156" w:after="156"/>
              <w:jc w:val="center"/>
              <w:rPr>
                <w:rFonts w:hint="eastAsia" w:ascii="彩虹粗仿宋" w:hAnsi="彩虹粗仿宋" w:eastAsia="彩虹粗仿宋" w:cs="彩虹粗仿宋"/>
                <w:b w:val="0"/>
                <w:sz w:val="32"/>
                <w:szCs w:val="32"/>
                <w:lang w:val="en-US" w:eastAsia="zh-CN"/>
              </w:rPr>
            </w:pPr>
            <w:r>
              <w:rPr>
                <w:rFonts w:hint="eastAsia" w:ascii="彩虹粗仿宋" w:hAnsi="彩虹粗仿宋" w:eastAsia="彩虹粗仿宋" w:cs="彩虹粗仿宋"/>
                <w:b w:val="0"/>
                <w:sz w:val="32"/>
                <w:szCs w:val="32"/>
                <w:lang w:val="en-US" w:eastAsia="zh-CN"/>
              </w:rPr>
              <w:t>硬件</w:t>
            </w:r>
          </w:p>
        </w:tc>
      </w:tr>
    </w:tbl>
    <w:p>
      <w:pPr>
        <w:keepNext w:val="0"/>
        <w:keepLines w:val="0"/>
        <w:pageBreakBefore w:val="0"/>
        <w:kinsoku/>
        <w:wordWrap/>
        <w:overflowPunct/>
        <w:topLinePunct w:val="0"/>
        <w:bidi w:val="0"/>
        <w:adjustRightInd/>
        <w:snapToGrid/>
        <w:spacing w:line="560" w:lineRule="atLeast"/>
        <w:ind w:left="0" w:firstLine="643" w:firstLineChars="200"/>
        <w:textAlignment w:val="auto"/>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（二）配置要求</w:t>
      </w:r>
    </w:p>
    <w:p>
      <w:pPr>
        <w:pStyle w:val="3"/>
        <w:keepNext w:val="0"/>
        <w:keepLines w:val="0"/>
        <w:pageBreakBefore w:val="0"/>
        <w:kinsoku/>
        <w:wordWrap/>
        <w:overflowPunct/>
        <w:topLinePunct w:val="0"/>
        <w:bidi w:val="0"/>
        <w:adjustRightInd/>
        <w:snapToGrid/>
        <w:spacing w:after="0" w:line="360" w:lineRule="auto"/>
        <w:ind w:left="0" w:firstLine="640" w:firstLineChars="200"/>
        <w:jc w:val="both"/>
        <w:textAlignment w:val="auto"/>
        <w:rPr>
          <w:rFonts w:hint="eastAsia" w:ascii="彩虹粗仿宋" w:hAnsi="彩虹粗仿宋" w:eastAsia="彩虹粗仿宋" w:cs="彩虹粗仿宋"/>
          <w:kern w:val="2"/>
          <w:sz w:val="32"/>
          <w:szCs w:val="32"/>
        </w:rPr>
      </w:pPr>
      <w:r>
        <w:rPr>
          <w:rFonts w:hint="eastAsia" w:ascii="彩虹粗仿宋" w:hAnsi="彩虹粗仿宋" w:eastAsia="彩虹粗仿宋" w:cs="彩虹粗仿宋"/>
          <w:kern w:val="2"/>
          <w:sz w:val="32"/>
          <w:szCs w:val="32"/>
          <w:lang w:val="en-US" w:eastAsia="zh-CN"/>
        </w:rPr>
        <w:t>1.软件</w:t>
      </w:r>
      <w:r>
        <w:rPr>
          <w:rFonts w:hint="eastAsia" w:ascii="彩虹粗仿宋" w:hAnsi="彩虹粗仿宋" w:eastAsia="彩虹粗仿宋" w:cs="彩虹粗仿宋"/>
          <w:kern w:val="2"/>
          <w:sz w:val="32"/>
          <w:szCs w:val="32"/>
        </w:rPr>
        <w:t>采购的</w:t>
      </w:r>
      <w:r>
        <w:rPr>
          <w:rFonts w:hint="eastAsia" w:ascii="彩虹粗仿宋" w:hAnsi="彩虹粗仿宋" w:eastAsia="彩虹粗仿宋" w:cs="彩虹粗仿宋"/>
          <w:kern w:val="2"/>
          <w:sz w:val="32"/>
          <w:szCs w:val="32"/>
          <w:lang w:val="en-US" w:eastAsia="zh-CN"/>
        </w:rPr>
        <w:t>参数</w:t>
      </w:r>
      <w:r>
        <w:rPr>
          <w:rFonts w:hint="eastAsia" w:ascii="彩虹粗仿宋" w:hAnsi="彩虹粗仿宋" w:eastAsia="彩虹粗仿宋" w:cs="彩虹粗仿宋"/>
          <w:kern w:val="2"/>
          <w:sz w:val="32"/>
          <w:szCs w:val="32"/>
        </w:rPr>
        <w:t>如下：</w:t>
      </w:r>
    </w:p>
    <w:tbl>
      <w:tblPr>
        <w:tblStyle w:val="9"/>
        <w:tblW w:w="83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20"/>
        <w:gridCol w:w="1533"/>
        <w:gridCol w:w="4819"/>
        <w:gridCol w:w="9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02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序号</w:t>
            </w:r>
          </w:p>
        </w:tc>
        <w:tc>
          <w:tcPr>
            <w:tcW w:w="1533"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名称</w:t>
            </w:r>
          </w:p>
        </w:tc>
        <w:tc>
          <w:tcPr>
            <w:tcW w:w="481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功能明细</w:t>
            </w:r>
          </w:p>
        </w:tc>
        <w:tc>
          <w:tcPr>
            <w:tcW w:w="944"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8" w:hRule="atLeast"/>
          <w:jc w:val="center"/>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1</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医保移动支付平台</w:t>
            </w:r>
          </w:p>
        </w:tc>
        <w:tc>
          <w:tcPr>
            <w:tcW w:w="4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1.医疗电子票据系统本地部署实施</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2.HIS业务系统对接联调</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3.电子凭证激活与授权、待结算费用查询、医保结算收银台配置、医保移动支付安全服务、结算结果查询推送、微信\支付宝收银台应用、移动支付对账服务</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4.收费窗口扫码支付功能改造</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5.各医院实施联调费用</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6.接口改造</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7医保移动中台对接服务、体检报告对接服务</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sz w:val="32"/>
                <w:szCs w:val="32"/>
                <w:u w:val="none"/>
                <w:lang w:val="en-US"/>
              </w:rPr>
            </w:pPr>
            <w:r>
              <w:rPr>
                <w:rFonts w:hint="eastAsia" w:ascii="彩虹粗仿宋" w:hAnsi="彩虹粗仿宋" w:eastAsia="彩虹粗仿宋" w:cs="彩虹粗仿宋"/>
                <w:i w:val="0"/>
                <w:iCs w:val="0"/>
                <w:color w:val="000000"/>
                <w:kern w:val="0"/>
                <w:sz w:val="32"/>
                <w:szCs w:val="32"/>
                <w:u w:val="none"/>
                <w:lang w:val="en-US" w:eastAsia="zh-CN" w:bidi="ar"/>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2</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电子票据管理系统</w:t>
            </w:r>
          </w:p>
        </w:tc>
        <w:tc>
          <w:tcPr>
            <w:tcW w:w="4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1.票据汇总存储和财务入账管理</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2.各医院实施联调费用</w:t>
            </w:r>
          </w:p>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4"/>
                <w:szCs w:val="24"/>
                <w:u w:val="none"/>
                <w:lang w:val="en-US" w:eastAsia="zh-CN" w:bidi="ar"/>
              </w:rPr>
            </w:pPr>
            <w:r>
              <w:rPr>
                <w:rFonts w:hint="eastAsia" w:ascii="彩虹粗仿宋" w:hAnsi="彩虹粗仿宋" w:eastAsia="彩虹粗仿宋" w:cs="彩虹粗仿宋"/>
                <w:i w:val="0"/>
                <w:iCs w:val="0"/>
                <w:color w:val="000000"/>
                <w:kern w:val="0"/>
                <w:sz w:val="24"/>
                <w:szCs w:val="24"/>
                <w:u w:val="none"/>
                <w:lang w:val="en-US" w:eastAsia="zh-CN" w:bidi="ar"/>
              </w:rPr>
              <w:t>3.接口对接</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1套</w:t>
            </w:r>
          </w:p>
        </w:tc>
      </w:tr>
    </w:tbl>
    <w:p>
      <w:pPr>
        <w:pStyle w:val="6"/>
        <w:keepNext w:val="0"/>
        <w:keepLines w:val="0"/>
        <w:pageBreakBefore w:val="0"/>
        <w:kinsoku/>
        <w:wordWrap/>
        <w:overflowPunct/>
        <w:topLinePunct w:val="0"/>
        <w:bidi w:val="0"/>
        <w:adjustRightInd/>
        <w:snapToGrid/>
        <w:ind w:left="0"/>
        <w:textAlignment w:val="auto"/>
        <w:rPr>
          <w:rFonts w:hint="eastAsia"/>
          <w:sz w:val="32"/>
          <w:szCs w:val="32"/>
        </w:rPr>
      </w:pPr>
      <w:r>
        <w:rPr>
          <w:rFonts w:hint="eastAsia" w:ascii="彩虹粗仿宋" w:hAnsi="彩虹粗仿宋" w:eastAsia="彩虹粗仿宋" w:cs="彩虹粗仿宋"/>
          <w:kern w:val="2"/>
          <w:sz w:val="32"/>
          <w:szCs w:val="32"/>
          <w:lang w:val="en-US" w:eastAsia="zh-CN"/>
        </w:rPr>
        <w:t>2.硬件</w:t>
      </w:r>
      <w:r>
        <w:rPr>
          <w:rFonts w:hint="eastAsia" w:ascii="彩虹粗仿宋" w:hAnsi="彩虹粗仿宋" w:eastAsia="彩虹粗仿宋" w:cs="彩虹粗仿宋"/>
          <w:kern w:val="2"/>
          <w:sz w:val="32"/>
          <w:szCs w:val="32"/>
        </w:rPr>
        <w:t>采购的</w:t>
      </w:r>
      <w:r>
        <w:rPr>
          <w:rFonts w:hint="eastAsia" w:ascii="彩虹粗仿宋" w:hAnsi="彩虹粗仿宋" w:eastAsia="彩虹粗仿宋" w:cs="彩虹粗仿宋"/>
          <w:kern w:val="2"/>
          <w:sz w:val="32"/>
          <w:szCs w:val="32"/>
          <w:lang w:val="en-US" w:eastAsia="zh-CN"/>
        </w:rPr>
        <w:t>参数</w:t>
      </w:r>
      <w:r>
        <w:rPr>
          <w:rFonts w:hint="eastAsia" w:ascii="彩虹粗仿宋" w:hAnsi="彩虹粗仿宋" w:eastAsia="彩虹粗仿宋" w:cs="彩虹粗仿宋"/>
          <w:kern w:val="2"/>
          <w:sz w:val="32"/>
          <w:szCs w:val="32"/>
        </w:rPr>
        <w:t>如下：</w:t>
      </w:r>
    </w:p>
    <w:tbl>
      <w:tblPr>
        <w:tblStyle w:val="9"/>
        <w:tblW w:w="86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34"/>
        <w:gridCol w:w="1533"/>
        <w:gridCol w:w="4819"/>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134"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序号</w:t>
            </w:r>
          </w:p>
        </w:tc>
        <w:tc>
          <w:tcPr>
            <w:tcW w:w="1533"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lang w:val="en-US" w:eastAsia="zh-CN"/>
              </w:rPr>
            </w:pPr>
            <w:r>
              <w:rPr>
                <w:rFonts w:hint="eastAsia" w:ascii="彩虹粗仿宋" w:hAnsi="彩虹粗仿宋" w:eastAsia="彩虹粗仿宋" w:cs="彩虹粗仿宋"/>
                <w:b/>
                <w:bCs/>
                <w:i w:val="0"/>
                <w:iCs w:val="0"/>
                <w:color w:val="000000"/>
                <w:sz w:val="32"/>
                <w:szCs w:val="32"/>
                <w:u w:val="none"/>
                <w:lang w:val="en-US" w:eastAsia="zh-CN"/>
              </w:rPr>
              <w:t>名称</w:t>
            </w:r>
          </w:p>
        </w:tc>
        <w:tc>
          <w:tcPr>
            <w:tcW w:w="481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任务/功能明细</w:t>
            </w:r>
          </w:p>
        </w:tc>
        <w:tc>
          <w:tcPr>
            <w:tcW w:w="1134"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32"/>
                <w:szCs w:val="32"/>
                <w:u w:val="none"/>
              </w:rPr>
            </w:pPr>
            <w:r>
              <w:rPr>
                <w:rFonts w:hint="eastAsia" w:ascii="彩虹粗仿宋" w:hAnsi="彩虹粗仿宋" w:eastAsia="彩虹粗仿宋" w:cs="彩虹粗仿宋"/>
                <w:b/>
                <w:bCs/>
                <w:i w:val="0"/>
                <w:iCs w:val="0"/>
                <w:color w:val="000000"/>
                <w:kern w:val="0"/>
                <w:sz w:val="32"/>
                <w:szCs w:val="32"/>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1</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医保刷脸服务终端</w:t>
            </w:r>
          </w:p>
        </w:tc>
        <w:tc>
          <w:tcPr>
            <w:tcW w:w="4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8"/>
                <w:szCs w:val="28"/>
                <w:u w:val="none"/>
              </w:rPr>
            </w:pPr>
            <w:r>
              <w:rPr>
                <w:rFonts w:hint="eastAsia" w:ascii="彩虹粗仿宋" w:hAnsi="彩虹粗仿宋" w:eastAsia="彩虹粗仿宋" w:cs="彩虹粗仿宋"/>
                <w:i w:val="0"/>
                <w:iCs w:val="0"/>
                <w:color w:val="000000"/>
                <w:kern w:val="0"/>
                <w:sz w:val="28"/>
                <w:szCs w:val="28"/>
                <w:u w:val="none"/>
                <w:lang w:val="en-US" w:eastAsia="zh-CN" w:bidi="ar"/>
              </w:rPr>
              <w:t>医保刷脸结算、核身；含身份证、社保卡读卡，可选配热敏打印机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sz w:val="32"/>
                <w:szCs w:val="32"/>
                <w:u w:val="none"/>
                <w:lang w:val="en-US"/>
              </w:rPr>
            </w:pPr>
            <w:r>
              <w:rPr>
                <w:rFonts w:hint="eastAsia" w:ascii="彩虹粗仿宋" w:hAnsi="彩虹粗仿宋" w:eastAsia="彩虹粗仿宋" w:cs="彩虹粗仿宋"/>
                <w:i w:val="0"/>
                <w:iCs w:val="0"/>
                <w:color w:val="000000"/>
                <w:kern w:val="0"/>
                <w:sz w:val="32"/>
                <w:szCs w:val="32"/>
                <w:u w:val="none"/>
                <w:lang w:val="en-US" w:eastAsia="zh-CN" w:bidi="ar"/>
              </w:rPr>
              <w:t>3台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jc w:val="center"/>
        </w:trPr>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2</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32"/>
                <w:szCs w:val="32"/>
                <w:u w:val="none"/>
              </w:rPr>
            </w:pPr>
            <w:r>
              <w:rPr>
                <w:rFonts w:hint="eastAsia" w:ascii="彩虹粗仿宋" w:hAnsi="彩虹粗仿宋" w:eastAsia="彩虹粗仿宋" w:cs="彩虹粗仿宋"/>
                <w:i w:val="0"/>
                <w:iCs w:val="0"/>
                <w:color w:val="000000"/>
                <w:kern w:val="0"/>
                <w:sz w:val="32"/>
                <w:szCs w:val="32"/>
                <w:u w:val="none"/>
                <w:lang w:val="en-US" w:eastAsia="zh-CN" w:bidi="ar"/>
              </w:rPr>
              <w:t>打印机</w:t>
            </w:r>
          </w:p>
        </w:tc>
        <w:tc>
          <w:tcPr>
            <w:tcW w:w="4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8"/>
                <w:szCs w:val="28"/>
                <w:u w:val="none"/>
              </w:rPr>
            </w:pPr>
            <w:r>
              <w:rPr>
                <w:rFonts w:hint="eastAsia" w:ascii="彩虹粗仿宋" w:hAnsi="彩虹粗仿宋" w:eastAsia="彩虹粗仿宋" w:cs="彩虹粗仿宋"/>
                <w:i w:val="0"/>
                <w:iCs w:val="0"/>
                <w:color w:val="000000"/>
                <w:kern w:val="0"/>
                <w:sz w:val="28"/>
                <w:szCs w:val="28"/>
                <w:u w:val="none"/>
                <w:lang w:val="en-US" w:eastAsia="zh-CN" w:bidi="ar"/>
              </w:rPr>
              <w:t>含票据等打印机及接口对接服务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sz w:val="32"/>
                <w:szCs w:val="32"/>
                <w:u w:val="none"/>
                <w:lang w:val="en-US"/>
              </w:rPr>
            </w:pPr>
            <w:r>
              <w:rPr>
                <w:rFonts w:hint="eastAsia" w:ascii="彩虹粗仿宋" w:hAnsi="彩虹粗仿宋" w:eastAsia="彩虹粗仿宋" w:cs="彩虹粗仿宋"/>
                <w:i w:val="0"/>
                <w:iCs w:val="0"/>
                <w:color w:val="000000"/>
                <w:kern w:val="0"/>
                <w:sz w:val="32"/>
                <w:szCs w:val="32"/>
                <w:u w:val="none"/>
                <w:lang w:val="en-US" w:eastAsia="zh-CN" w:bidi="ar"/>
              </w:rPr>
              <w:t>2台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3</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服务器</w:t>
            </w:r>
          </w:p>
        </w:tc>
        <w:tc>
          <w:tcPr>
            <w:tcW w:w="4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kern w:val="0"/>
                <w:sz w:val="28"/>
                <w:szCs w:val="28"/>
                <w:u w:val="none"/>
                <w:lang w:val="en-US" w:eastAsia="zh-CN" w:bidi="ar"/>
              </w:rPr>
            </w:pPr>
            <w:r>
              <w:rPr>
                <w:rFonts w:hint="eastAsia" w:ascii="彩虹粗仿宋" w:hAnsi="彩虹粗仿宋" w:eastAsia="彩虹粗仿宋" w:cs="彩虹粗仿宋"/>
                <w:i w:val="0"/>
                <w:iCs w:val="0"/>
                <w:color w:val="000000"/>
                <w:kern w:val="0"/>
                <w:sz w:val="28"/>
                <w:szCs w:val="28"/>
                <w:u w:val="none"/>
                <w:lang w:val="en-US" w:eastAsia="zh-CN" w:bidi="ar"/>
              </w:rPr>
              <w:t>浪潮CS5260H2（机架式2U)（含2颗国产Hygon5000系列处理器），支持国产信创，按所需软件配置医保移动支付应用软件</w:t>
            </w:r>
            <w:bookmarkStart w:id="0" w:name="_GoBack"/>
            <w:bookmarkEnd w:id="0"/>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彩虹粗仿宋" w:hAnsi="彩虹粗仿宋" w:eastAsia="彩虹粗仿宋" w:cs="彩虹粗仿宋"/>
                <w:i w:val="0"/>
                <w:iCs w:val="0"/>
                <w:color w:val="000000"/>
                <w:kern w:val="0"/>
                <w:sz w:val="32"/>
                <w:szCs w:val="32"/>
                <w:u w:val="none"/>
                <w:lang w:val="en-US" w:eastAsia="zh-CN" w:bidi="ar"/>
              </w:rPr>
            </w:pPr>
            <w:r>
              <w:rPr>
                <w:rFonts w:hint="eastAsia" w:ascii="彩虹粗仿宋" w:hAnsi="彩虹粗仿宋" w:eastAsia="彩虹粗仿宋" w:cs="彩虹粗仿宋"/>
                <w:i w:val="0"/>
                <w:iCs w:val="0"/>
                <w:color w:val="000000"/>
                <w:kern w:val="0"/>
                <w:sz w:val="32"/>
                <w:szCs w:val="32"/>
                <w:u w:val="none"/>
                <w:lang w:val="en-US" w:eastAsia="zh-CN" w:bidi="ar"/>
              </w:rPr>
              <w:t>1台</w:t>
            </w:r>
          </w:p>
        </w:tc>
      </w:tr>
    </w:tbl>
    <w:p>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（三）技术、环保、质量要求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此次</w:t>
      </w:r>
      <w:r>
        <w:rPr>
          <w:rFonts w:hint="eastAsia" w:ascii="彩虹粗仿宋" w:hAnsi="宋体" w:eastAsia="彩虹粗仿宋" w:cs="Times New Roman"/>
          <w:snapToGrid w:val="0"/>
          <w:kern w:val="0"/>
          <w:sz w:val="32"/>
          <w:szCs w:val="32"/>
        </w:rPr>
        <w:t>拟采购</w:t>
      </w:r>
      <w:r>
        <w:rPr>
          <w:rFonts w:hint="eastAsia" w:ascii="彩虹粗仿宋" w:hAnsi="宋体" w:eastAsia="彩虹粗仿宋" w:cs="Times New Roman"/>
          <w:snapToGrid w:val="0"/>
          <w:kern w:val="0"/>
          <w:sz w:val="32"/>
          <w:szCs w:val="32"/>
          <w:lang w:val="en-US" w:eastAsia="zh-CN"/>
        </w:rPr>
        <w:t>软、硬件</w:t>
      </w:r>
      <w:r>
        <w:rPr>
          <w:rFonts w:hint="eastAsia" w:ascii="彩虹粗仿宋" w:hAnsi="宋体" w:eastAsia="彩虹粗仿宋" w:cs="Times New Roman"/>
          <w:snapToGrid w:val="0"/>
          <w:kern w:val="0"/>
          <w:sz w:val="32"/>
          <w:szCs w:val="32"/>
        </w:rPr>
        <w:t>的详细技术参数</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配置如上表，</w:t>
      </w:r>
      <w:r>
        <w:rPr>
          <w:rFonts w:hint="eastAsia" w:ascii="彩虹粗仿宋" w:hAnsi="宋体" w:eastAsia="彩虹粗仿宋" w:cs="Times New Roman"/>
          <w:snapToGrid w:val="0"/>
          <w:kern w:val="0"/>
          <w:sz w:val="32"/>
          <w:szCs w:val="32"/>
        </w:rPr>
        <w:t>环保等级、质量标准等要求</w:t>
      </w:r>
      <w:r>
        <w:rPr>
          <w:rFonts w:hint="eastAsia" w:ascii="彩虹粗仿宋" w:hAnsi="宋体" w:eastAsia="彩虹粗仿宋" w:cs="Times New Roman"/>
          <w:snapToGrid w:val="0"/>
          <w:kern w:val="0"/>
          <w:sz w:val="32"/>
          <w:szCs w:val="32"/>
          <w:lang w:val="en-US" w:eastAsia="zh-CN"/>
        </w:rPr>
        <w:t>如下，</w:t>
      </w:r>
      <w:r>
        <w:rPr>
          <w:rFonts w:hint="eastAsia" w:ascii="彩虹粗仿宋" w:hAnsi="宋体" w:eastAsia="彩虹粗仿宋" w:cs="Times New Roman"/>
          <w:snapToGrid w:val="0"/>
          <w:kern w:val="0"/>
          <w:sz w:val="32"/>
          <w:szCs w:val="32"/>
        </w:rPr>
        <w:t>如有变动以泉州市洛江区卫生健康局的需求为准。</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1.平台核心功能需求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核心功能在正常的业务时间内，保证的可用时间是每周的周一到周日，全天候，即7×24小时的服务。</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系统在保证可用时间内，可接受的停机时间是每次不超过30分钟，每月不超过3次，折合等效可用率是99%。</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系统在保证可用时间之外，可接受的系统停机时间是每月1.5小时。</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当系统所在场所或整个系统发生灾难时，可接受的系统恢复服务时间是72小时。</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当系统的关键硬件发生灾难导致系统服务或数据不可用时，可接受的系统恢复时间目标是72小时。</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当灾难发生后，可接受的系统恢复数据点目标是允许丢失3天的数据量。丢失的数据采用何种方式恢复（事后人工补齐、从日志恢复等）。</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系统发生灾难后，系统完全恢复到正常的可用性和性能水平的时间目标是1周。</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2.系统性能</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（1）系统吞吐量</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吞吐量（每月交易量、数据量、高峰期每日交易量、数据量）在保证性能的前提下，系统设计能够满足未来五年的交易高峰量。</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）响应时间</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简单业务响应时间≤2s，复杂业务响应时间≤5s。</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）时间窗口需求</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7×24小时不间断运行。</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lang w:val="en-US" w:eastAsia="zh-CN"/>
        </w:rPr>
        <w:t>4</w:t>
      </w:r>
      <w:r>
        <w:rPr>
          <w:rFonts w:hint="eastAsia" w:ascii="彩虹粗仿宋" w:hAnsi="宋体" w:eastAsia="彩虹粗仿宋" w:cs="Times New Roman"/>
          <w:snapToGrid w:val="0"/>
          <w:kern w:val="0"/>
          <w:sz w:val="32"/>
          <w:szCs w:val="32"/>
        </w:rPr>
        <w:t>）数据备份和恢复时间</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系统提供完整的系统数据备份与灾难恢复机制，支持定期自动备份与手工两种备份方式，提供系统数据的全量和增量备份模数据库架构设计。</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lang w:val="en-US" w:eastAsia="zh-CN"/>
        </w:rPr>
        <w:t>5</w:t>
      </w:r>
      <w:r>
        <w:rPr>
          <w:rFonts w:hint="eastAsia" w:ascii="彩虹粗仿宋" w:hAnsi="宋体" w:eastAsia="彩虹粗仿宋" w:cs="Times New Roman"/>
          <w:snapToGrid w:val="0"/>
          <w:kern w:val="0"/>
          <w:sz w:val="32"/>
          <w:szCs w:val="32"/>
        </w:rPr>
        <w:t>）数据传输</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数据交换传输时，在网络链路正常的情况下，4KB以下文件传输延时不超过1秒，1GB文件传输延时最大不超过24小时。</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3.安全保密设计方案</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对</w:t>
      </w:r>
      <w:r>
        <w:rPr>
          <w:rFonts w:hint="eastAsia" w:ascii="彩虹粗仿宋" w:eastAsia="彩虹粗仿宋"/>
          <w:color w:val="auto"/>
          <w:sz w:val="32"/>
          <w:szCs w:val="32"/>
          <w:lang w:val="en-US" w:eastAsia="zh-CN"/>
        </w:rPr>
        <w:t>泉州市洛江区卫生健康局卫生系统银医升级项目</w:t>
      </w:r>
      <w:r>
        <w:rPr>
          <w:rFonts w:hint="eastAsia" w:ascii="彩虹粗仿宋" w:hAnsi="宋体" w:eastAsia="彩虹粗仿宋" w:cs="Times New Roman"/>
          <w:snapToGrid w:val="0"/>
          <w:kern w:val="0"/>
          <w:sz w:val="32"/>
          <w:szCs w:val="32"/>
        </w:rPr>
        <w:t>遵循安全性设计要求而制定，应满足信息系统安全保护等级三级的各项要求，具体包括应用系统安全的基本框架、设计原则、实施要求和实施内容。在不影响系统易用性的前提下，提供良好的用户界面、管理界面和开发界面，确保系统安全、高效、可靠运行。</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4.系统维护设计</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系统具有运行日志，记录系统的使用情况、运行状况，能够保留故障现场，提供现场、远程等多种运维服务方式。</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5.系统对接</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泉州市洛江区卫生健康局卫生系统银医升级项目能和</w:t>
      </w:r>
      <w:r>
        <w:rPr>
          <w:rFonts w:hint="eastAsia" w:ascii="彩虹粗仿宋" w:hAnsi="宋体" w:eastAsia="彩虹粗仿宋" w:cs="Times New Roman"/>
          <w:snapToGrid w:val="0"/>
          <w:kern w:val="0"/>
          <w:sz w:val="32"/>
          <w:szCs w:val="32"/>
          <w:lang w:val="en-US" w:eastAsia="zh-CN"/>
        </w:rPr>
        <w:t>辖内</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医院现行的管理平台系统无缝对接，实现数据共享，保证界面统一、流程统一、避免出现终端系统维护的繁琐性，</w:t>
      </w:r>
      <w:r>
        <w:rPr>
          <w:rFonts w:hint="eastAsia" w:ascii="彩虹粗仿宋" w:hAnsi="宋体" w:eastAsia="彩虹粗仿宋"/>
          <w:kern w:val="44"/>
          <w:sz w:val="32"/>
          <w:szCs w:val="32"/>
          <w:highlight w:val="none"/>
        </w:rPr>
        <w:t>所需第三方对接费用及改造费用包含在项目总价中。</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6.知识产权</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（1）供应商保证提供的软件产品或服务（无论供应商是否为该软件产品或服务的原厂商）不存在任何侵犯第三方知识产权的情形。</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（2）本次采购软件（无形资产源代码产权等）归我行所有。我行在供应商提供的软件产品基础上开发、研制形成的技术成果（包括但不限于程序、文件、资料等）的知识产权归我行所有。</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以下情况知识产权应归属我行：</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①根据我行制定具体需求向供应商订制的服务成果（包括但不限于任何产品、程序、文件、报告等）；</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②供应商在其现有知识产权基础上根据我行需求进行客户化后形成的作品；</w:t>
      </w:r>
    </w:p>
    <w:p>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③我行在采购的他人作品、他人提供的技术服务成果基础上进行后续改进形成的作品。对于②、③项所列举的情形，基础成果权利人需将该项知识产权授权我行永久免费使用。</w:t>
      </w:r>
    </w:p>
    <w:p>
      <w:pPr>
        <w:adjustRightInd w:val="0"/>
        <w:snapToGrid w:val="0"/>
        <w:spacing w:line="560" w:lineRule="atLeast"/>
        <w:ind w:firstLine="643" w:firstLineChars="200"/>
        <w:rPr>
          <w:rFonts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（四）供货要求</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eastAsia="彩虹粗仿宋"/>
          <w:sz w:val="32"/>
          <w:szCs w:val="32"/>
        </w:rPr>
        <w:t>应于本合同签订之日起30天内，提供上述采购商品并负责交付到购货方指定地点，供应商总报价为包干价，应包括设备价款、安装、调试、检验、税收、技术培训、技术资料、运输保险等一切可能发生的费用。建行不承担其他任何费用。</w:t>
      </w:r>
    </w:p>
    <w:p>
      <w:pPr>
        <w:adjustRightInd w:val="0"/>
        <w:snapToGrid w:val="0"/>
        <w:spacing w:line="560" w:lineRule="atLeast"/>
        <w:ind w:firstLine="643" w:firstLineChars="200"/>
        <w:rPr>
          <w:rFonts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（五）售后服务要求</w:t>
      </w:r>
    </w:p>
    <w:p>
      <w:pPr>
        <w:adjustRightInd w:val="0"/>
        <w:snapToGrid w:val="0"/>
        <w:spacing w:line="560" w:lineRule="atLeast"/>
        <w:ind w:firstLine="640" w:firstLineChars="200"/>
        <w:jc w:val="left"/>
        <w:rPr>
          <w:rFonts w:hint="default" w:ascii="彩虹粗仿宋" w:eastAsia="彩虹粗仿宋"/>
          <w:sz w:val="32"/>
          <w:szCs w:val="32"/>
          <w:lang w:val="en-US" w:eastAsia="zh-CN"/>
        </w:rPr>
      </w:pPr>
      <w:r>
        <w:rPr>
          <w:rFonts w:hint="eastAsia" w:ascii="彩虹粗仿宋" w:eastAsia="彩虹粗仿宋"/>
          <w:sz w:val="32"/>
          <w:szCs w:val="32"/>
          <w:lang w:val="en-US" w:eastAsia="zh-CN"/>
        </w:rPr>
        <w:t>1.软件售后服务要求：</w:t>
      </w:r>
    </w:p>
    <w:p>
      <w:pPr>
        <w:adjustRightInd w:val="0"/>
        <w:snapToGrid w:val="0"/>
        <w:spacing w:line="560" w:lineRule="atLeast"/>
        <w:ind w:firstLine="640" w:firstLineChars="200"/>
        <w:jc w:val="left"/>
        <w:rPr>
          <w:rFonts w:hint="eastAsia" w:ascii="彩虹粗仿宋" w:eastAsia="彩虹粗仿宋"/>
          <w:sz w:val="32"/>
          <w:szCs w:val="32"/>
          <w:lang w:eastAsia="zh-CN"/>
        </w:rPr>
      </w:pPr>
      <w:r>
        <w:rPr>
          <w:rFonts w:hint="eastAsia" w:ascii="彩虹粗仿宋" w:eastAsia="彩虹粗仿宋"/>
          <w:sz w:val="32"/>
          <w:szCs w:val="32"/>
          <w:lang w:eastAsia="zh-CN"/>
        </w:rPr>
        <w:t>（</w:t>
      </w:r>
      <w:r>
        <w:rPr>
          <w:rFonts w:hint="eastAsia" w:ascii="彩虹粗仿宋" w:eastAsia="彩虹粗仿宋"/>
          <w:sz w:val="32"/>
          <w:szCs w:val="32"/>
        </w:rPr>
        <w:t>1</w:t>
      </w:r>
      <w:r>
        <w:rPr>
          <w:rFonts w:hint="eastAsia" w:ascii="彩虹粗仿宋" w:eastAsia="彩虹粗仿宋"/>
          <w:sz w:val="32"/>
          <w:szCs w:val="32"/>
          <w:lang w:eastAsia="zh-CN"/>
        </w:rPr>
        <w:t>）</w:t>
      </w:r>
      <w:r>
        <w:rPr>
          <w:rFonts w:hint="eastAsia" w:ascii="彩虹粗仿宋" w:eastAsia="彩虹粗仿宋"/>
          <w:sz w:val="32"/>
          <w:szCs w:val="32"/>
        </w:rPr>
        <w:t>软件(含接口费用）不少于3年免费维护升级</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w:t>
      </w:r>
    </w:p>
    <w:p>
      <w:pPr>
        <w:adjustRightInd w:val="0"/>
        <w:snapToGrid w:val="0"/>
        <w:spacing w:line="560" w:lineRule="atLeast"/>
        <w:ind w:firstLine="640" w:firstLineChars="200"/>
        <w:jc w:val="left"/>
        <w:rPr>
          <w:rFonts w:hint="eastAsia" w:ascii="彩虹粗仿宋" w:eastAsia="彩虹粗仿宋"/>
          <w:sz w:val="32"/>
          <w:szCs w:val="32"/>
        </w:rPr>
      </w:pPr>
      <w:r>
        <w:rPr>
          <w:rFonts w:hint="eastAsia" w:ascii="彩虹粗仿宋" w:eastAsia="彩虹粗仿宋"/>
          <w:sz w:val="32"/>
          <w:szCs w:val="32"/>
          <w:lang w:eastAsia="zh-CN"/>
        </w:rPr>
        <w:t>（</w:t>
      </w:r>
      <w:r>
        <w:rPr>
          <w:rFonts w:hint="eastAsia" w:ascii="彩虹粗仿宋" w:eastAsia="彩虹粗仿宋"/>
          <w:sz w:val="32"/>
          <w:szCs w:val="32"/>
          <w:lang w:val="en-US" w:eastAsia="zh-CN"/>
        </w:rPr>
        <w:t>2</w:t>
      </w:r>
      <w:r>
        <w:rPr>
          <w:rFonts w:hint="eastAsia" w:ascii="彩虹粗仿宋" w:eastAsia="彩虹粗仿宋"/>
          <w:sz w:val="32"/>
          <w:szCs w:val="32"/>
          <w:lang w:eastAsia="zh-CN"/>
        </w:rPr>
        <w:t>）</w:t>
      </w:r>
      <w:r>
        <w:rPr>
          <w:rFonts w:hint="eastAsia" w:ascii="彩虹粗仿宋" w:eastAsia="彩虹粗仿宋"/>
          <w:sz w:val="32"/>
          <w:szCs w:val="32"/>
        </w:rPr>
        <w:t>供应商交付的软件产品介质、技术资料、文档及使用许可证明文件等存在损坏或短缺，或软件产品种类、版本等不符合合同约定的，供应商应当按照我行要求立即进行更换或补足，并承担由此产生的全部费用。在该部分软件产品或其资料文件进行更换或补足前，我行有权拒付相应合同价款。</w:t>
      </w:r>
    </w:p>
    <w:p>
      <w:pPr>
        <w:adjustRightInd w:val="0"/>
        <w:snapToGrid w:val="0"/>
        <w:spacing w:line="560" w:lineRule="atLeast"/>
        <w:ind w:firstLine="640" w:firstLineChars="200"/>
        <w:jc w:val="left"/>
        <w:rPr>
          <w:rFonts w:hint="eastAsia" w:ascii="彩虹粗仿宋" w:eastAsia="彩虹粗仿宋"/>
          <w:sz w:val="32"/>
          <w:szCs w:val="32"/>
        </w:rPr>
      </w:pPr>
      <w:r>
        <w:rPr>
          <w:rFonts w:hint="eastAsia" w:ascii="彩虹粗仿宋" w:eastAsia="彩虹粗仿宋"/>
          <w:sz w:val="32"/>
          <w:szCs w:val="32"/>
          <w:lang w:eastAsia="zh-CN"/>
        </w:rPr>
        <w:t>（</w:t>
      </w:r>
      <w:r>
        <w:rPr>
          <w:rFonts w:hint="eastAsia" w:ascii="彩虹粗仿宋" w:eastAsia="彩虹粗仿宋"/>
          <w:sz w:val="32"/>
          <w:szCs w:val="32"/>
          <w:lang w:val="en-US" w:eastAsia="zh-CN"/>
        </w:rPr>
        <w:t>3</w:t>
      </w:r>
      <w:r>
        <w:rPr>
          <w:rFonts w:hint="eastAsia" w:ascii="彩虹粗仿宋" w:eastAsia="彩虹粗仿宋"/>
          <w:sz w:val="32"/>
          <w:szCs w:val="32"/>
          <w:lang w:eastAsia="zh-CN"/>
        </w:rPr>
        <w:t>）</w:t>
      </w:r>
      <w:r>
        <w:rPr>
          <w:rFonts w:hint="eastAsia" w:ascii="彩虹粗仿宋" w:eastAsia="彩虹粗仿宋"/>
          <w:sz w:val="32"/>
          <w:szCs w:val="32"/>
        </w:rPr>
        <w:t>供应商接严重级别故障通知后，可在3小时内响应到达现场；接一般级别故障通知后，如故障在3小时内无法排除，可在6小时内响应到达现场；接轻微级别故障通知后，如故障在6小时内无法排除，可在12小时内响应到达现场。</w:t>
      </w:r>
    </w:p>
    <w:p>
      <w:pPr>
        <w:adjustRightInd w:val="0"/>
        <w:snapToGrid w:val="0"/>
        <w:spacing w:line="560" w:lineRule="atLeast"/>
        <w:ind w:firstLine="640" w:firstLineChars="200"/>
        <w:jc w:val="left"/>
        <w:rPr>
          <w:rFonts w:hint="eastAsia" w:ascii="彩虹粗仿宋" w:eastAsia="彩虹粗仿宋"/>
          <w:sz w:val="32"/>
          <w:szCs w:val="32"/>
          <w:lang w:val="en-US" w:eastAsia="zh-CN"/>
        </w:rPr>
      </w:pPr>
      <w:r>
        <w:rPr>
          <w:rFonts w:hint="eastAsia" w:ascii="彩虹粗仿宋" w:eastAsia="彩虹粗仿宋"/>
          <w:sz w:val="32"/>
          <w:szCs w:val="32"/>
          <w:lang w:val="en-US" w:eastAsia="zh-CN"/>
        </w:rPr>
        <w:t>2.硬件售后要求：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（1）</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硬件(含接口费用）不少于5年免费维护升级。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（2）</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维护支持服务期内，</w:t>
      </w: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供应商和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维护支持服务提供方提供7×24小时电话、网络等远程支持服务及上门维护支持服务。维护支持服务提供方可通过电话、网络等远程方式对</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在产品使用过程中出现的一般性问题提供咨询解答。产品出现故障时，</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可以通过电话或网络方式向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报告故障，维护支持服务提供方应按照本合同约定立即作出响应。</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（3）</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在提供产品或服务（包括但不限于运输、安装、测试、调试、集成、维护等）过程中，造成产品毁损的，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应根据</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要求进行维修或更换产品，维修或更换的费用由</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承担；无法维修或更换的，由</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按照产品原价负责赔偿；若</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产品或</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在提供产品或服务（包括但不限于运输、安装、测试、调试、集成、维护等）过程中，造成</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或其他第三人的人身、财产损害的，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应承担赔偿责任。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（4）</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未按本合同约定履行培训服务、维护支持服务或其他约定义务的，应按照</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要求承担继续履行、采取补救措施和赔偿损失等违约责任，并向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支付违约金：对于超过时限不履行义务的，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应自逾期之日起按照合同总金额的3‰乘以逾期天数向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支付违约金；对于其他违约情形的，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应就每一违约事件按照合同总金额的1%向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支付违约金。违约金不足以补偿</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损失的，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还应赔偿</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损失。违约行为对</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项目工作造成重大不利影响的，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同时有权解除或部分解除合同。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highlight w:val="none"/>
          <w:lang w:val="en-US" w:eastAsia="zh-CN"/>
          <w14:textFill>
            <w14:solidFill>
              <w14:schemeClr w14:val="tx1"/>
            </w14:solidFill>
          </w14:textFill>
        </w:rPr>
        <w:t>（5）</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应当向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支付违约金或赔偿金的，应当在</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发出索赔通知后30日之内支付给</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。如</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尚有未向</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支付的款项的，</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同意</w:t>
      </w:r>
      <w:r>
        <w:rPr>
          <w:rFonts w:hint="eastAsia" w:ascii="彩虹粗仿宋" w:hAnsi="宋体" w:eastAsia="彩虹粗仿宋" w:cs="Times New Roman"/>
          <w:snapToGrid w:val="0"/>
          <w:color w:val="000000" w:themeColor="text1"/>
          <w:kern w:val="0"/>
          <w:sz w:val="32"/>
          <w:szCs w:val="32"/>
          <w:highlight w:val="none"/>
          <w:lang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有权从未支付款项中扣除相应数额的款项。</w:t>
      </w:r>
    </w:p>
    <w:p>
      <w:pPr>
        <w:adjustRightInd w:val="0"/>
        <w:snapToGrid w:val="0"/>
        <w:spacing w:line="560" w:lineRule="atLeast"/>
        <w:ind w:firstLine="643" w:firstLineChars="200"/>
        <w:rPr>
          <w:rFonts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（六）报价要求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color w:val="000000" w:themeColor="text1"/>
          <w:kern w:val="0"/>
          <w:sz w:val="32"/>
          <w:szCs w:val="32"/>
          <w:highlight w:val="none"/>
          <w14:textFill>
            <w14:solidFill>
              <w14:schemeClr w14:val="tx1"/>
            </w14:solidFill>
          </w14:textFill>
        </w:rPr>
        <w:t>报价包括产品价格、现场安装调试费用及增值税专用发票税点。</w:t>
      </w:r>
    </w:p>
    <w:p>
      <w:pPr>
        <w:adjustRightInd w:val="0"/>
        <w:snapToGrid w:val="0"/>
        <w:spacing w:line="560" w:lineRule="atLeast"/>
        <w:ind w:firstLine="643" w:firstLineChars="200"/>
        <w:rPr>
          <w:rFonts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（七）款项支付要求</w:t>
      </w:r>
    </w:p>
    <w:p>
      <w:pPr>
        <w:adjustRightInd w:val="0"/>
        <w:snapToGrid w:val="0"/>
        <w:spacing w:line="560" w:lineRule="atLeast"/>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1.软件款项支付要求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在供应商无任何违约行为的前提下，建行</w:t>
      </w:r>
      <w:r>
        <w:rPr>
          <w:rFonts w:hint="eastAsia" w:ascii="彩虹粗仿宋" w:hAnsi="宋体" w:eastAsia="彩虹粗仿宋" w:cs="Times New Roman"/>
          <w:snapToGrid w:val="0"/>
          <w:kern w:val="0"/>
          <w:sz w:val="32"/>
          <w:szCs w:val="32"/>
          <w:lang w:val="en-US" w:eastAsia="zh-CN"/>
        </w:rPr>
        <w:t>泉州</w:t>
      </w:r>
      <w:r>
        <w:rPr>
          <w:rFonts w:hint="eastAsia" w:ascii="彩虹粗仿宋" w:hAnsi="宋体" w:eastAsia="彩虹粗仿宋" w:cs="Times New Roman"/>
          <w:snapToGrid w:val="0"/>
          <w:kern w:val="0"/>
          <w:sz w:val="32"/>
          <w:szCs w:val="32"/>
        </w:rPr>
        <w:t>分行按照下列约定支付价款：</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1</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自产品上线运行稳定，供应商开具全额发票后30日内，向供应商支付产品价款的40%；</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自产品最终验收合格，向供应商支付产品价款的50%；</w:t>
      </w:r>
    </w:p>
    <w:p>
      <w:pPr>
        <w:adjustRightInd w:val="0"/>
        <w:snapToGrid w:val="0"/>
        <w:spacing w:line="560" w:lineRule="exac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产品价款10%为项目保证金，待免费维护期满，在全面履行合同项下所有义务后，通过银行办理转账以全额不计息退还。</w:t>
      </w:r>
    </w:p>
    <w:p>
      <w:pPr>
        <w:adjustRightInd w:val="0"/>
        <w:snapToGrid w:val="0"/>
        <w:spacing w:line="560" w:lineRule="exac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2.硬件款项支付要求</w:t>
      </w:r>
    </w:p>
    <w:p>
      <w:pPr>
        <w:adjustRightInd w:val="0"/>
        <w:snapToGrid w:val="0"/>
        <w:spacing w:line="560" w:lineRule="exact"/>
        <w:ind w:firstLine="640" w:firstLineChars="200"/>
        <w:rPr>
          <w:rFonts w:hint="default" w:ascii="彩虹粗仿宋" w:hAnsi="宋体" w:eastAsia="彩虹粗仿宋" w:cs="Times New Roman"/>
          <w:snapToGrid w:val="0"/>
          <w:kern w:val="0"/>
          <w:sz w:val="32"/>
          <w:szCs w:val="32"/>
          <w:lang w:val="en-US" w:eastAsia="zh-CN"/>
        </w:rPr>
      </w:pPr>
      <w:r>
        <w:rPr>
          <w:rFonts w:hint="default" w:ascii="彩虹粗仿宋" w:hAnsi="宋体" w:eastAsia="彩虹粗仿宋" w:cs="Times New Roman"/>
          <w:snapToGrid w:val="0"/>
          <w:kern w:val="0"/>
          <w:sz w:val="32"/>
          <w:szCs w:val="32"/>
          <w:lang w:val="en-US" w:eastAsia="zh-CN"/>
        </w:rPr>
        <w:t>在供应商无任何违约行为的前提下，建行福建省分行所属</w:t>
      </w:r>
      <w:r>
        <w:rPr>
          <w:rFonts w:hint="eastAsia" w:ascii="彩虹粗仿宋" w:hAnsi="宋体" w:eastAsia="彩虹粗仿宋" w:cs="Times New Roman"/>
          <w:snapToGrid w:val="0"/>
          <w:kern w:val="0"/>
          <w:sz w:val="32"/>
          <w:szCs w:val="32"/>
          <w:lang w:val="en-US" w:eastAsia="zh-CN"/>
        </w:rPr>
        <w:t>泉州</w:t>
      </w:r>
      <w:r>
        <w:rPr>
          <w:rFonts w:hint="default" w:ascii="彩虹粗仿宋" w:hAnsi="宋体" w:eastAsia="彩虹粗仿宋" w:cs="Times New Roman"/>
          <w:snapToGrid w:val="0"/>
          <w:kern w:val="0"/>
          <w:sz w:val="32"/>
          <w:szCs w:val="32"/>
          <w:lang w:val="en-US" w:eastAsia="zh-CN"/>
        </w:rPr>
        <w:t>分行按照下列约定支付价款：</w:t>
      </w:r>
    </w:p>
    <w:p>
      <w:pPr>
        <w:adjustRightInd w:val="0"/>
        <w:snapToGrid w:val="0"/>
        <w:spacing w:line="560" w:lineRule="exact"/>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w:t>
      </w:r>
      <w:r>
        <w:rPr>
          <w:rFonts w:hint="default"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lang w:val="en-US" w:eastAsia="zh-CN"/>
        </w:rPr>
        <w:t>）</w:t>
      </w:r>
      <w:r>
        <w:rPr>
          <w:rFonts w:hint="default" w:ascii="彩虹粗仿宋" w:hAnsi="宋体" w:eastAsia="彩虹粗仿宋" w:cs="Times New Roman"/>
          <w:snapToGrid w:val="0"/>
          <w:kern w:val="0"/>
          <w:sz w:val="32"/>
          <w:szCs w:val="32"/>
          <w:lang w:val="en-US" w:eastAsia="zh-CN"/>
        </w:rPr>
        <w:t>在设备到货、完成调试并通过上线验收后30个工作日内，向入选供应商支付全部款项的90%；</w:t>
      </w:r>
    </w:p>
    <w:p>
      <w:pPr>
        <w:adjustRightInd w:val="0"/>
        <w:snapToGrid w:val="0"/>
        <w:spacing w:line="560" w:lineRule="exact"/>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w:t>
      </w:r>
      <w:r>
        <w:rPr>
          <w:rFonts w:hint="default"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lang w:val="en-US" w:eastAsia="zh-CN"/>
        </w:rPr>
        <w:t>）</w:t>
      </w:r>
      <w:r>
        <w:rPr>
          <w:rFonts w:hint="default" w:ascii="彩虹粗仿宋" w:hAnsi="宋体" w:eastAsia="彩虹粗仿宋" w:cs="Times New Roman"/>
          <w:snapToGrid w:val="0"/>
          <w:kern w:val="0"/>
          <w:sz w:val="32"/>
          <w:szCs w:val="32"/>
          <w:lang w:val="en-US" w:eastAsia="zh-CN"/>
        </w:rPr>
        <w:t>待免费维护期满，在全面履行合同项下所有义务后，向入选供应商支付全部款项的10%。</w:t>
      </w:r>
    </w:p>
    <w:p>
      <w:pPr>
        <w:adjustRightInd w:val="0"/>
        <w:snapToGrid w:val="0"/>
        <w:spacing w:line="560" w:lineRule="atLeast"/>
        <w:ind w:firstLine="643" w:firstLineChars="200"/>
        <w:outlineLvl w:val="1"/>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（八）发票要求</w:t>
      </w:r>
    </w:p>
    <w:p>
      <w:pPr>
        <w:adjustRightInd w:val="0"/>
        <w:snapToGrid w:val="0"/>
        <w:spacing w:line="560" w:lineRule="atLeast"/>
        <w:ind w:firstLine="640"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snapToGrid w:val="0"/>
          <w:kern w:val="0"/>
          <w:sz w:val="32"/>
          <w:szCs w:val="32"/>
        </w:rPr>
        <w:t>供应商应提供增值税专用发票。</w:t>
      </w:r>
    </w:p>
    <w:p>
      <w:pPr>
        <w:spacing w:line="360" w:lineRule="auto"/>
        <w:ind w:firstLine="643" w:firstLineChars="200"/>
        <w:rPr>
          <w:rFonts w:ascii="彩虹粗仿宋" w:hAnsi="宋体" w:eastAsia="彩虹粗仿宋" w:cs="Times New Roman"/>
          <w:b/>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snapToGrid w:val="0"/>
          <w:color w:val="000000" w:themeColor="text1"/>
          <w:kern w:val="0"/>
          <w:sz w:val="32"/>
          <w:szCs w:val="32"/>
          <w14:textFill>
            <w14:solidFill>
              <w14:schemeClr w14:val="tx1"/>
            </w14:solidFill>
          </w14:textFill>
        </w:rPr>
        <w:t>三、响应材料提供要求</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（一）资质材料</w:t>
      </w:r>
    </w:p>
    <w:p>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1.营业执照；</w:t>
      </w:r>
    </w:p>
    <w:p>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2.法人授权书、法人身份证复印件、被授权人身份证复印件；</w:t>
      </w:r>
    </w:p>
    <w:p>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3.承诺与声明；</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4.采购合作供应商禁止性规定。</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（二）需求应答材料</w:t>
      </w:r>
    </w:p>
    <w:p>
      <w:pPr>
        <w:spacing w:line="360" w:lineRule="auto"/>
        <w:ind w:firstLine="640" w:firstLineChars="200"/>
        <w:rPr>
          <w:rFonts w:hint="eastAsia" w:ascii="彩虹粗仿宋" w:hAnsi="宋体" w:eastAsia="彩虹粗仿宋" w:cs="Times New Roman"/>
          <w:b w:val="0"/>
          <w:bCs/>
          <w:snapToGrid w:val="0"/>
          <w:kern w:val="0"/>
          <w:sz w:val="32"/>
          <w:szCs w:val="32"/>
        </w:rPr>
      </w:pPr>
      <w:r>
        <w:rPr>
          <w:rFonts w:hint="eastAsia" w:ascii="彩虹粗仿宋" w:hAnsi="宋体" w:eastAsia="彩虹粗仿宋" w:cs="Times New Roman"/>
          <w:b w:val="0"/>
          <w:bCs/>
          <w:snapToGrid w:val="0"/>
          <w:kern w:val="0"/>
          <w:sz w:val="32"/>
          <w:szCs w:val="32"/>
        </w:rPr>
        <w:t>1.对本次供应商要求及拟采购软件要求的响应说明。</w:t>
      </w:r>
    </w:p>
    <w:p>
      <w:pPr>
        <w:spacing w:line="360" w:lineRule="auto"/>
        <w:ind w:firstLine="640" w:firstLineChars="200"/>
        <w:rPr>
          <w:rFonts w:hint="eastAsia" w:ascii="彩虹粗仿宋" w:hAnsi="宋体" w:eastAsia="彩虹粗仿宋" w:cs="Times New Roman"/>
          <w:b w:val="0"/>
          <w:bCs/>
          <w:snapToGrid w:val="0"/>
          <w:kern w:val="0"/>
          <w:sz w:val="32"/>
          <w:szCs w:val="32"/>
        </w:rPr>
      </w:pPr>
      <w:r>
        <w:rPr>
          <w:rFonts w:hint="eastAsia" w:ascii="彩虹粗仿宋" w:hAnsi="宋体" w:eastAsia="彩虹粗仿宋" w:cs="Times New Roman"/>
          <w:b w:val="0"/>
          <w:bCs/>
          <w:snapToGrid w:val="0"/>
          <w:kern w:val="0"/>
          <w:sz w:val="32"/>
          <w:szCs w:val="32"/>
        </w:rPr>
        <w:t>2.服务方案（包括不限于技术支持、维修响应方式、响应时间及应急方案等）</w:t>
      </w:r>
    </w:p>
    <w:p>
      <w:pPr>
        <w:spacing w:line="360" w:lineRule="auto"/>
        <w:ind w:firstLine="640" w:firstLineChars="200"/>
        <w:rPr>
          <w:rFonts w:ascii="彩虹粗仿宋" w:hAnsi="宋体" w:eastAsia="彩虹粗仿宋" w:cs="Times New Roman"/>
          <w:b w:val="0"/>
          <w:bCs/>
          <w:snapToGrid w:val="0"/>
          <w:kern w:val="0"/>
          <w:sz w:val="32"/>
          <w:szCs w:val="32"/>
        </w:rPr>
      </w:pPr>
      <w:r>
        <w:rPr>
          <w:rFonts w:hint="eastAsia" w:ascii="彩虹粗仿宋" w:hAnsi="宋体" w:eastAsia="彩虹粗仿宋" w:cs="Times New Roman"/>
          <w:b w:val="0"/>
          <w:bCs/>
          <w:snapToGrid w:val="0"/>
          <w:kern w:val="0"/>
          <w:sz w:val="32"/>
          <w:szCs w:val="32"/>
        </w:rPr>
        <w:t>3.近五年合同案例（2020年起至今）等各项佐证材料。</w:t>
      </w:r>
    </w:p>
    <w:p>
      <w:pPr>
        <w:rPr>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2010609000101010101"/>
    <w:charset w:val="86"/>
    <w:family w:val="script"/>
    <w:pitch w:val="default"/>
    <w:sig w:usb0="00000000" w:usb1="00000000" w:usb2="00000000" w:usb3="00000000" w:csb0="00000000" w:csb1="00000000"/>
  </w:font>
  <w:font w:name="彩虹粗仿宋">
    <w:panose1 w:val="02010609000101010101"/>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F6044D"/>
    <w:multiLevelType w:val="multilevel"/>
    <w:tmpl w:val="51F6044D"/>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5399"/>
        </w:tabs>
        <w:ind w:left="5399" w:hanging="720"/>
      </w:pPr>
      <w:rPr>
        <w:rFonts w:hint="eastAsia"/>
      </w:rPr>
    </w:lvl>
    <w:lvl w:ilvl="3" w:tentative="0">
      <w:start w:val="1"/>
      <w:numFmt w:val="decimal"/>
      <w:pStyle w:val="2"/>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9830AC"/>
    <w:rsid w:val="11736A8E"/>
    <w:rsid w:val="20415C7A"/>
    <w:rsid w:val="251C14CA"/>
    <w:rsid w:val="508B3368"/>
    <w:rsid w:val="6A490465"/>
    <w:rsid w:val="6A4C7A78"/>
    <w:rsid w:val="7BC71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3"/>
    <w:qFormat/>
    <w:uiPriority w:val="0"/>
    <w:pPr>
      <w:keepNext/>
      <w:keepLines/>
      <w:numPr>
        <w:ilvl w:val="3"/>
        <w:numId w:val="1"/>
      </w:numPr>
      <w:spacing w:before="280" w:after="290" w:line="376" w:lineRule="auto"/>
      <w:outlineLvl w:val="3"/>
    </w:pPr>
    <w:rPr>
      <w:rFonts w:ascii="Arial" w:hAnsi="Arial" w:eastAsia="黑体"/>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widowControl/>
      <w:spacing w:after="120"/>
      <w:jc w:val="left"/>
    </w:pPr>
    <w:rPr>
      <w:kern w:val="0"/>
      <w:sz w:val="24"/>
      <w:szCs w:val="20"/>
    </w:rPr>
  </w:style>
  <w:style w:type="paragraph" w:customStyle="1" w:styleId="4">
    <w:name w:val="一级条标题"/>
    <w:basedOn w:val="5"/>
    <w:next w:val="6"/>
    <w:qFormat/>
    <w:uiPriority w:val="0"/>
    <w:pPr>
      <w:spacing w:line="240" w:lineRule="auto"/>
      <w:ind w:left="420"/>
      <w:outlineLvl w:val="2"/>
    </w:pPr>
  </w:style>
  <w:style w:type="paragraph" w:customStyle="1" w:styleId="5">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6">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7">
    <w:name w:val="annotation text"/>
    <w:basedOn w:val="1"/>
    <w:semiHidden/>
    <w:unhideWhenUsed/>
    <w:qFormat/>
    <w:uiPriority w:val="99"/>
    <w:pPr>
      <w:jc w:val="left"/>
    </w:pPr>
  </w:style>
  <w:style w:type="paragraph" w:styleId="8">
    <w:name w:val="Plain Text"/>
    <w:basedOn w:val="1"/>
    <w:qFormat/>
    <w:uiPriority w:val="0"/>
    <w:rPr>
      <w:rFonts w:ascii="宋体" w:hAnsi="Courier New" w:cs="黑体"/>
      <w:kern w:val="0"/>
      <w:szCs w:val="21"/>
    </w:rPr>
  </w:style>
  <w:style w:type="paragraph" w:customStyle="1" w:styleId="11">
    <w:name w:val="标题4"/>
    <w:basedOn w:val="2"/>
    <w:qFormat/>
    <w:uiPriority w:val="0"/>
    <w:pPr>
      <w:keepNext w:val="0"/>
      <w:numPr>
        <w:ilvl w:val="0"/>
        <w:numId w:val="0"/>
      </w:numPr>
      <w:spacing w:beforeLines="0" w:afterLines="0" w:line="360" w:lineRule="auto"/>
      <w:jc w:val="left"/>
    </w:pPr>
    <w:rPr>
      <w:rFonts w:eastAsia="黑体"/>
      <w:kern w:val="0"/>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2025-08-05T03:03:00Z</dcterms:created>
  <dc:creator>ccb</dc:creator>
  <cp:lastModifiedBy>王灿龙</cp:lastModifiedBy>
  <dcterms:modified xsi:type="dcterms:W3CDTF">2025-08-08T00:52:51Z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331779A9CD4B41B2B51BD15446ABDC47_13</vt:lpwstr>
  </property>
</Properties>
</file>