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8516F">
      <w:pPr>
        <w:pStyle w:val="4"/>
        <w:snapToGrid w:val="0"/>
        <w:jc w:val="center"/>
        <w:rPr>
          <w:rFonts w:hint="eastAsia"/>
          <w:bCs/>
          <w:color w:val="auto"/>
        </w:rPr>
      </w:pPr>
      <w:r>
        <w:rPr>
          <w:rFonts w:hint="eastAsia" w:ascii="Albertus Medium" w:hAnsi="Albertus Medium"/>
          <w:b/>
          <w:bCs/>
          <w:color w:val="auto"/>
          <w:w w:val="90"/>
          <w:sz w:val="36"/>
        </w:rPr>
        <w:t>交通银行上海市分行防盗报警联网服务项目招标公告</w:t>
      </w:r>
    </w:p>
    <w:p w14:paraId="1880CDD3">
      <w:pPr>
        <w:widowControl/>
        <w:spacing w:line="360" w:lineRule="auto"/>
        <w:ind w:firstLine="480" w:firstLineChars="200"/>
        <w:jc w:val="left"/>
        <w:rPr>
          <w:rFonts w:hint="eastAsia" w:ascii="宋体" w:hAnsi="宋体"/>
          <w:color w:val="auto"/>
        </w:rPr>
      </w:pPr>
      <w:r>
        <w:rPr>
          <w:rFonts w:hint="eastAsia" w:ascii="宋体" w:hAnsi="宋体"/>
          <w:color w:val="auto"/>
          <w:lang w:eastAsia="zh-CN"/>
        </w:rPr>
        <w:t>上海中世建设咨询有限公司</w:t>
      </w:r>
      <w:r>
        <w:rPr>
          <w:rFonts w:hint="eastAsia" w:ascii="宋体" w:hAnsi="宋体"/>
          <w:color w:val="auto"/>
        </w:rPr>
        <w:t>受</w:t>
      </w:r>
      <w:r>
        <w:rPr>
          <w:rFonts w:hint="eastAsia" w:ascii="宋体" w:hAnsi="宋体"/>
          <w:color w:val="auto"/>
          <w:lang w:eastAsia="zh-CN"/>
        </w:rPr>
        <w:t>交通银行股份有限公司上海市分行</w:t>
      </w:r>
      <w:r>
        <w:rPr>
          <w:rFonts w:hint="eastAsia" w:ascii="宋体" w:hAnsi="宋体"/>
          <w:color w:val="auto"/>
        </w:rPr>
        <w:t>委托，对</w:t>
      </w:r>
      <w:r>
        <w:rPr>
          <w:rFonts w:hint="eastAsia" w:ascii="宋体" w:hAnsi="宋体"/>
          <w:color w:val="auto"/>
          <w:u w:val="single"/>
          <w:lang w:eastAsia="zh-CN"/>
        </w:rPr>
        <w:t>交通银行上海市分行防盗报警联网服务项目</w:t>
      </w:r>
      <w:r>
        <w:rPr>
          <w:rFonts w:hint="eastAsia" w:ascii="宋体" w:hAnsi="宋体"/>
          <w:color w:val="auto"/>
        </w:rPr>
        <w:t>进行国内公开招标，现诚邀合格的投标人参加本项目投标。</w:t>
      </w:r>
    </w:p>
    <w:p w14:paraId="4F9CF798">
      <w:pPr>
        <w:widowControl/>
        <w:spacing w:line="360" w:lineRule="auto"/>
        <w:jc w:val="left"/>
        <w:rPr>
          <w:rFonts w:hint="eastAsia" w:ascii="宋体" w:hAnsi="宋体" w:eastAsia="宋体" w:cs="宋体"/>
          <w:color w:val="auto"/>
          <w:szCs w:val="24"/>
          <w:lang w:eastAsia="zh-CN"/>
        </w:rPr>
      </w:pPr>
      <w:r>
        <w:rPr>
          <w:rFonts w:hint="eastAsia" w:ascii="宋体" w:hAnsi="宋体" w:cs="宋体"/>
          <w:color w:val="auto"/>
          <w:szCs w:val="24"/>
        </w:rPr>
        <w:t>1、</w:t>
      </w:r>
      <w:r>
        <w:rPr>
          <w:rFonts w:hint="eastAsia" w:ascii="宋体" w:hAnsi="宋体" w:cs="宋体"/>
          <w:color w:val="auto"/>
          <w:szCs w:val="24"/>
          <w:lang w:eastAsia="zh-CN"/>
        </w:rPr>
        <w:t>招标编号：招案2025-5257</w:t>
      </w:r>
      <w:r>
        <w:rPr>
          <w:rFonts w:ascii="宋体" w:hAnsi="宋体" w:cs="宋体"/>
          <w:color w:val="auto"/>
          <w:szCs w:val="24"/>
        </w:rPr>
        <w:t>；交通银行编号：</w:t>
      </w:r>
      <w:r>
        <w:rPr>
          <w:rFonts w:hint="eastAsia" w:ascii="宋体" w:hAnsi="宋体" w:cs="宋体"/>
          <w:color w:val="auto"/>
          <w:szCs w:val="24"/>
          <w:lang w:eastAsia="zh-CN"/>
        </w:rPr>
        <w:t>CGXM31099925110013</w:t>
      </w:r>
    </w:p>
    <w:p w14:paraId="63DEE06B">
      <w:pPr>
        <w:widowControl/>
        <w:spacing w:line="360" w:lineRule="auto"/>
        <w:jc w:val="left"/>
        <w:rPr>
          <w:rFonts w:hint="eastAsia" w:ascii="宋体" w:hAnsi="宋体" w:eastAsia="宋体" w:cs="宋体"/>
          <w:color w:val="auto"/>
          <w:szCs w:val="24"/>
          <w:lang w:eastAsia="zh-CN"/>
        </w:rPr>
      </w:pPr>
      <w:r>
        <w:rPr>
          <w:rFonts w:hint="eastAsia" w:ascii="宋体" w:hAnsi="宋体" w:cs="宋体"/>
          <w:color w:val="auto"/>
          <w:szCs w:val="24"/>
        </w:rPr>
        <w:t>2、项目名称：</w:t>
      </w:r>
      <w:r>
        <w:rPr>
          <w:rFonts w:hint="eastAsia" w:ascii="宋体" w:hAnsi="宋体" w:cs="宋体"/>
          <w:color w:val="auto"/>
          <w:szCs w:val="24"/>
          <w:lang w:eastAsia="zh-CN"/>
        </w:rPr>
        <w:t>交通银行上海市分行防盗报警联网服务项目</w:t>
      </w:r>
    </w:p>
    <w:p w14:paraId="27D9B57A">
      <w:pPr>
        <w:pStyle w:val="4"/>
        <w:rPr>
          <w:rFonts w:hint="eastAsia" w:eastAsia="宋体"/>
          <w:color w:val="auto"/>
          <w:lang w:val="en-US" w:eastAsia="zh-CN"/>
        </w:rPr>
      </w:pPr>
      <w:r>
        <w:rPr>
          <w:rFonts w:ascii="宋体" w:hAnsi="宋体" w:cs="宋体"/>
          <w:color w:val="auto"/>
          <w:szCs w:val="24"/>
        </w:rPr>
        <w:t>3</w:t>
      </w:r>
      <w:r>
        <w:rPr>
          <w:rFonts w:hint="eastAsia" w:ascii="宋体" w:hAnsi="宋体" w:cs="宋体"/>
          <w:color w:val="auto"/>
          <w:szCs w:val="24"/>
        </w:rPr>
        <w:t>、资金来源：自筹资金。</w:t>
      </w:r>
    </w:p>
    <w:p w14:paraId="4676D53E">
      <w:pPr>
        <w:widowControl/>
        <w:spacing w:line="360" w:lineRule="auto"/>
        <w:ind w:firstLine="0" w:firstLineChars="0"/>
        <w:jc w:val="left"/>
        <w:rPr>
          <w:rFonts w:hint="eastAsia" w:ascii="宋体" w:hAnsi="宋体" w:eastAsia="宋体" w:cs="Times New Roman"/>
          <w:color w:val="auto"/>
          <w:szCs w:val="20"/>
          <w:lang w:eastAsia="zh-CN"/>
        </w:rPr>
      </w:pPr>
      <w:r>
        <w:rPr>
          <w:rFonts w:hint="eastAsia" w:ascii="宋体" w:hAnsi="宋体" w:cs="宋体"/>
          <w:color w:val="auto"/>
          <w:szCs w:val="24"/>
        </w:rPr>
        <w:t>4、招标内容：</w:t>
      </w:r>
      <w:r>
        <w:rPr>
          <w:rFonts w:hint="eastAsia" w:ascii="宋体" w:hAnsi="宋体" w:eastAsia="宋体" w:cs="Times New Roman"/>
          <w:color w:val="auto"/>
          <w:szCs w:val="20"/>
          <w:lang w:eastAsia="zh-CN"/>
        </w:rPr>
        <w:t>拟选取不超过2家供应商为招标人营业网点（网点、自助银行、离行式商务单机等）与办公大楼（办公楼、金库、监控中心等）提供防盗报警接处警及设备安装服务。连续合同期限3年（含首次及续签），符合续签条件下，合同一年一签。</w:t>
      </w:r>
    </w:p>
    <w:p w14:paraId="4A14B01C">
      <w:pPr>
        <w:widowControl/>
        <w:spacing w:line="360" w:lineRule="auto"/>
        <w:jc w:val="left"/>
        <w:rPr>
          <w:rFonts w:hint="eastAsia" w:ascii="宋体" w:hAnsi="宋体" w:cs="宋体"/>
          <w:color w:val="auto"/>
          <w:szCs w:val="24"/>
        </w:rPr>
      </w:pPr>
      <w:r>
        <w:rPr>
          <w:rFonts w:hint="eastAsia" w:ascii="宋体" w:hAnsi="宋体" w:cs="宋体"/>
          <w:color w:val="auto"/>
          <w:szCs w:val="24"/>
        </w:rPr>
        <w:t>5、投标人资格要求：</w:t>
      </w:r>
    </w:p>
    <w:p w14:paraId="5161BBF0">
      <w:pPr>
        <w:pStyle w:val="4"/>
        <w:ind w:firstLine="482" w:firstLineChars="200"/>
        <w:rPr>
          <w:rFonts w:hint="eastAsia" w:ascii="宋体"/>
          <w:b/>
          <w:bCs/>
          <w:color w:val="auto"/>
          <w:szCs w:val="21"/>
        </w:rPr>
      </w:pPr>
      <w:bookmarkStart w:id="0" w:name="_Hlk154574779"/>
      <w:r>
        <w:rPr>
          <w:rFonts w:hint="eastAsia" w:ascii="宋体"/>
          <w:b/>
          <w:bCs/>
          <w:color w:val="auto"/>
          <w:szCs w:val="21"/>
        </w:rPr>
        <w:t>（一）一般要求：</w:t>
      </w:r>
    </w:p>
    <w:p w14:paraId="004E9BDD">
      <w:pPr>
        <w:pStyle w:val="4"/>
        <w:ind w:firstLine="480" w:firstLineChars="200"/>
        <w:rPr>
          <w:rFonts w:hint="eastAsia" w:ascii="宋体" w:hAnsi="宋体" w:eastAsia="宋体" w:cs="宋体"/>
          <w:b w:val="0"/>
          <w:bCs w:val="0"/>
          <w:color w:val="auto"/>
          <w:szCs w:val="24"/>
        </w:rPr>
      </w:pPr>
      <w:bookmarkStart w:id="1" w:name="_Hlk93345769"/>
      <w:r>
        <w:rPr>
          <w:rFonts w:hint="eastAsia" w:ascii="宋体" w:hAnsi="宋体" w:eastAsia="宋体" w:cs="宋体"/>
          <w:b w:val="0"/>
          <w:bCs w:val="0"/>
          <w:color w:val="auto"/>
          <w:szCs w:val="24"/>
        </w:rPr>
        <w:t>（1）投标人须具有独立承担民事责任的能力（提供有效营业执照复印件，非企业性单位提供相应的有效登记证书复印件；若投标人为分公司，需另提供总公司营业执照复印件及总公司对分公司出具的授权书）。</w:t>
      </w:r>
    </w:p>
    <w:p w14:paraId="2853145E">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（2）投标人具有良好的商业信誉，当前未被列入交通银行供应商黑名单（指被交通银行作禁用或退库处理的供应商名单）（提供承诺函）。</w:t>
      </w:r>
    </w:p>
    <w:p w14:paraId="2FC5E0A9">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3）投标人须遵守国家法律法规，当前未被列入“信用中国（https://www.creditchina.gov.cn/）”有关失信被执行人名单、重大税收违法失信主体、政府采购严重违法失信行为记录名单和经营异常名录（招标人和招标代理机构有权根据评标需要，在评标现场对本条款的相关要求进行网络查询核实，并由评标委员会根据查询情况予以评判）（提供承诺函）。</w:t>
      </w:r>
    </w:p>
    <w:p w14:paraId="328622C9">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（4）投标人须在法律和财务上独立、合法运作并独立于招标人和招标代理机构（提供承诺函）。</w:t>
      </w:r>
    </w:p>
    <w:p w14:paraId="1E8B15B4">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5）投标人须承诺，招标人在其本国使用供应商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14:paraId="1E5C57A0">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（6）投标人不将本项目采购内容以任何方式进行分包或转包（提供承诺函）。</w:t>
      </w:r>
    </w:p>
    <w:p w14:paraId="1B5F2332">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（7）法定代表人为同一个人的两个及两个以上法人，母公司与全资子公司/由其控股的子公司，不得在本项目中同时投标（提供承诺函）。</w:t>
      </w:r>
    </w:p>
    <w:p w14:paraId="2559A429">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（8）投标人必须从招标代理机构获得</w:t>
      </w:r>
      <w:r>
        <w:rPr>
          <w:rFonts w:hint="eastAsia" w:ascii="宋体" w:hAnsi="宋体" w:eastAsia="宋体" w:cs="宋体"/>
          <w:color w:val="auto"/>
          <w:szCs w:val="24"/>
        </w:rPr>
        <w:t>招标文件</w:t>
      </w:r>
      <w:r>
        <w:rPr>
          <w:rFonts w:hint="eastAsia" w:ascii="宋体" w:hAnsi="宋体" w:eastAsia="宋体" w:cs="宋体"/>
          <w:b w:val="0"/>
          <w:bCs w:val="0"/>
          <w:color w:val="auto"/>
          <w:szCs w:val="24"/>
        </w:rPr>
        <w:t>并登记备案，否则不能参加本次招标。</w:t>
      </w:r>
    </w:p>
    <w:p w14:paraId="56791978">
      <w:pPr>
        <w:pStyle w:val="4"/>
        <w:ind w:firstLine="480" w:firstLineChars="200"/>
        <w:rPr>
          <w:rFonts w:hint="eastAsia" w:ascii="宋体" w:hAnsi="宋体" w:eastAsia="宋体" w:cs="宋体"/>
          <w:b w:val="0"/>
          <w:bCs w:val="0"/>
          <w:color w:val="auto"/>
          <w:szCs w:val="24"/>
        </w:rPr>
      </w:pPr>
      <w:r>
        <w:rPr>
          <w:rFonts w:hint="eastAsia" w:ascii="宋体" w:hAnsi="宋体" w:eastAsia="宋体" w:cs="宋体"/>
          <w:b w:val="0"/>
          <w:bCs w:val="0"/>
          <w:color w:val="auto"/>
          <w:szCs w:val="24"/>
        </w:rPr>
        <w:t>（9）本项目不接受联合体形式的投标。</w:t>
      </w:r>
    </w:p>
    <w:p w14:paraId="5B058021">
      <w:pPr>
        <w:pStyle w:val="4"/>
        <w:ind w:firstLine="482" w:firstLineChars="200"/>
        <w:rPr>
          <w:rFonts w:hint="eastAsia" w:ascii="宋体" w:hAnsi="宋体"/>
          <w:b/>
          <w:bCs/>
          <w:color w:val="auto"/>
          <w:szCs w:val="24"/>
        </w:rPr>
      </w:pPr>
      <w:r>
        <w:rPr>
          <w:rFonts w:hint="eastAsia" w:ascii="宋体" w:hAnsi="宋体"/>
          <w:b/>
          <w:bCs/>
          <w:color w:val="auto"/>
          <w:szCs w:val="24"/>
        </w:rPr>
        <w:t>（二）特别要求：</w:t>
      </w:r>
    </w:p>
    <w:p w14:paraId="683F0F4D">
      <w:pPr>
        <w:pStyle w:val="4"/>
        <w:ind w:firstLine="480" w:firstLineChars="200"/>
        <w:rPr>
          <w:rFonts w:hint="eastAsia" w:ascii="宋体" w:hAnsi="宋体" w:eastAsia="宋体" w:cs="宋体"/>
          <w:b w:val="0"/>
          <w:bCs w:val="0"/>
          <w:color w:val="auto"/>
          <w:szCs w:val="24"/>
          <w:lang w:val="en-US" w:eastAsia="zh-CN"/>
        </w:rPr>
      </w:pPr>
      <w:r>
        <w:rPr>
          <w:rFonts w:hint="eastAsia" w:ascii="宋体" w:hAnsi="宋体" w:eastAsia="宋体" w:cs="宋体"/>
          <w:b w:val="0"/>
          <w:bCs w:val="0"/>
          <w:color w:val="auto"/>
          <w:szCs w:val="24"/>
        </w:rPr>
        <w:t>（1）投标人具有公安部门颁发的《保安服务许可证》。</w:t>
      </w:r>
    </w:p>
    <w:bookmarkEnd w:id="0"/>
    <w:bookmarkEnd w:id="1"/>
    <w:p w14:paraId="2D336111">
      <w:pPr>
        <w:widowControl/>
        <w:spacing w:line="360" w:lineRule="auto"/>
        <w:jc w:val="left"/>
        <w:rPr>
          <w:rFonts w:ascii="宋体" w:hAnsi="宋体" w:cs="宋体"/>
          <w:b/>
          <w:bCs/>
          <w:color w:val="auto"/>
          <w:szCs w:val="24"/>
        </w:rPr>
      </w:pPr>
      <w:r>
        <w:rPr>
          <w:rFonts w:hint="eastAsia" w:ascii="宋体" w:hAnsi="宋体" w:cs="宋体"/>
          <w:b/>
          <w:bCs/>
          <w:color w:val="auto"/>
          <w:szCs w:val="24"/>
        </w:rPr>
        <w:t>注：以上是对投标人的基本资格要求，须在投标文件中提供有效证明文件。</w:t>
      </w:r>
    </w:p>
    <w:p w14:paraId="26DB3071">
      <w:pPr>
        <w:spacing w:line="360" w:lineRule="auto"/>
        <w:rPr>
          <w:rFonts w:hint="eastAsia" w:ascii="宋体" w:hAnsi="宋体" w:cs="宋体"/>
          <w:color w:val="auto"/>
          <w:szCs w:val="24"/>
        </w:rPr>
      </w:pPr>
      <w:r>
        <w:rPr>
          <w:rFonts w:hint="eastAsia" w:ascii="宋体" w:hAnsi="宋体" w:cs="宋体"/>
          <w:color w:val="auto"/>
          <w:szCs w:val="24"/>
        </w:rPr>
        <w:t>6、招标文件售价：人民币500元/套，招标文件售后不退。</w:t>
      </w:r>
    </w:p>
    <w:p w14:paraId="45EAF09B">
      <w:pPr>
        <w:adjustRightInd w:val="0"/>
        <w:spacing w:line="360" w:lineRule="auto"/>
        <w:ind w:left="360" w:hanging="360" w:hangingChars="150"/>
        <w:rPr>
          <w:rFonts w:ascii="宋体" w:hAnsi="宋体"/>
          <w:color w:val="auto"/>
          <w:szCs w:val="24"/>
        </w:rPr>
      </w:pPr>
      <w:r>
        <w:rPr>
          <w:rFonts w:hint="eastAsia" w:ascii="宋体" w:hAnsi="宋体"/>
          <w:color w:val="auto"/>
          <w:szCs w:val="24"/>
        </w:rPr>
        <w:t>7、获取招标文件时间：自</w:t>
      </w:r>
      <w:r>
        <w:rPr>
          <w:rFonts w:hint="eastAsia" w:ascii="宋体" w:hAnsi="宋体"/>
          <w:color w:val="auto"/>
          <w:szCs w:val="24"/>
          <w:u w:val="single"/>
        </w:rPr>
        <w:t>202</w:t>
      </w:r>
      <w:r>
        <w:rPr>
          <w:rFonts w:hint="eastAsia" w:ascii="宋体" w:hAnsi="宋体"/>
          <w:color w:val="auto"/>
          <w:szCs w:val="24"/>
          <w:u w:val="single"/>
          <w:lang w:val="en-US" w:eastAsia="zh-CN"/>
        </w:rPr>
        <w:t>5</w:t>
      </w:r>
      <w:r>
        <w:rPr>
          <w:rFonts w:hint="eastAsia" w:ascii="宋体" w:hAnsi="宋体"/>
          <w:color w:val="auto"/>
          <w:szCs w:val="24"/>
        </w:rPr>
        <w:t>年</w:t>
      </w:r>
      <w:r>
        <w:rPr>
          <w:rFonts w:hint="eastAsia" w:ascii="宋体" w:hAnsi="宋体"/>
          <w:color w:val="auto"/>
          <w:szCs w:val="24"/>
          <w:u w:val="single"/>
          <w:lang w:val="en-US" w:eastAsia="zh-CN"/>
        </w:rPr>
        <w:t>12</w:t>
      </w:r>
      <w:r>
        <w:rPr>
          <w:rFonts w:hint="eastAsia" w:ascii="宋体" w:hAnsi="宋体"/>
          <w:color w:val="auto"/>
          <w:szCs w:val="24"/>
          <w:u w:val="single"/>
          <w:lang w:eastAsia="zh-CN"/>
        </w:rPr>
        <w:t>月</w:t>
      </w:r>
      <w:r>
        <w:rPr>
          <w:rFonts w:hint="eastAsia" w:ascii="宋体" w:hAnsi="宋体"/>
          <w:color w:val="auto"/>
          <w:szCs w:val="24"/>
          <w:u w:val="single"/>
          <w:lang w:val="en-US" w:eastAsia="zh-CN"/>
        </w:rPr>
        <w:t>11</w:t>
      </w:r>
      <w:r>
        <w:rPr>
          <w:rFonts w:hint="eastAsia" w:ascii="宋体" w:hAnsi="宋体"/>
          <w:color w:val="auto"/>
          <w:szCs w:val="24"/>
        </w:rPr>
        <w:t>日起至</w:t>
      </w:r>
      <w:r>
        <w:rPr>
          <w:rFonts w:hint="eastAsia" w:ascii="宋体" w:hAnsi="宋体"/>
          <w:color w:val="auto"/>
          <w:szCs w:val="24"/>
          <w:u w:val="single"/>
          <w:lang w:eastAsia="zh-CN"/>
        </w:rPr>
        <w:t>2025年</w:t>
      </w:r>
      <w:r>
        <w:rPr>
          <w:rFonts w:hint="eastAsia" w:ascii="宋体" w:hAnsi="宋体"/>
          <w:color w:val="auto"/>
          <w:szCs w:val="24"/>
          <w:u w:val="single"/>
          <w:lang w:val="en-US" w:eastAsia="zh-CN"/>
        </w:rPr>
        <w:t>12</w:t>
      </w:r>
      <w:r>
        <w:rPr>
          <w:rFonts w:hint="eastAsia" w:ascii="宋体" w:hAnsi="宋体"/>
          <w:color w:val="auto"/>
          <w:szCs w:val="24"/>
          <w:u w:val="single"/>
          <w:lang w:eastAsia="zh-CN"/>
        </w:rPr>
        <w:t>月</w:t>
      </w:r>
      <w:r>
        <w:rPr>
          <w:rFonts w:hint="eastAsia" w:ascii="宋体" w:hAnsi="宋体"/>
          <w:color w:val="auto"/>
          <w:szCs w:val="24"/>
          <w:u w:val="single"/>
          <w:lang w:val="en-US" w:eastAsia="zh-CN"/>
        </w:rPr>
        <w:t>17</w:t>
      </w:r>
      <w:r>
        <w:rPr>
          <w:rFonts w:hint="eastAsia" w:ascii="宋体" w:hAnsi="宋体"/>
          <w:color w:val="auto"/>
          <w:szCs w:val="24"/>
        </w:rPr>
        <w:t>日止，每天上午9</w:t>
      </w:r>
      <w:r>
        <w:rPr>
          <w:rFonts w:ascii="宋体" w:hAnsi="宋体"/>
          <w:color w:val="auto"/>
          <w:szCs w:val="24"/>
        </w:rPr>
        <w:t>:</w:t>
      </w:r>
      <w:r>
        <w:rPr>
          <w:rFonts w:hint="eastAsia" w:ascii="宋体" w:hAnsi="宋体"/>
          <w:color w:val="auto"/>
          <w:szCs w:val="24"/>
        </w:rPr>
        <w:t>0</w:t>
      </w:r>
      <w:r>
        <w:rPr>
          <w:rFonts w:ascii="宋体" w:hAnsi="宋体"/>
          <w:color w:val="auto"/>
          <w:szCs w:val="24"/>
        </w:rPr>
        <w:t>0-1</w:t>
      </w:r>
      <w:r>
        <w:rPr>
          <w:rFonts w:hint="eastAsia" w:ascii="宋体" w:hAnsi="宋体"/>
          <w:color w:val="auto"/>
          <w:szCs w:val="24"/>
        </w:rPr>
        <w:t>1</w:t>
      </w:r>
      <w:r>
        <w:rPr>
          <w:rFonts w:ascii="宋体" w:hAnsi="宋体"/>
          <w:color w:val="auto"/>
          <w:szCs w:val="24"/>
        </w:rPr>
        <w:t>:</w:t>
      </w:r>
      <w:r>
        <w:rPr>
          <w:rFonts w:hint="eastAsia" w:ascii="宋体" w:hAnsi="宋体"/>
          <w:color w:val="auto"/>
          <w:szCs w:val="24"/>
        </w:rPr>
        <w:t>3</w:t>
      </w:r>
      <w:r>
        <w:rPr>
          <w:rFonts w:ascii="宋体" w:hAnsi="宋体"/>
          <w:color w:val="auto"/>
          <w:szCs w:val="24"/>
        </w:rPr>
        <w:t>0</w:t>
      </w:r>
      <w:r>
        <w:rPr>
          <w:rFonts w:hint="eastAsia" w:ascii="宋体" w:hAnsi="宋体"/>
          <w:color w:val="auto"/>
          <w:szCs w:val="24"/>
        </w:rPr>
        <w:t>，下午13</w:t>
      </w:r>
      <w:r>
        <w:rPr>
          <w:rFonts w:ascii="宋体" w:hAnsi="宋体"/>
          <w:color w:val="auto"/>
          <w:szCs w:val="24"/>
        </w:rPr>
        <w:t>:</w:t>
      </w:r>
      <w:r>
        <w:rPr>
          <w:rFonts w:hint="eastAsia" w:ascii="宋体" w:hAnsi="宋体"/>
          <w:color w:val="auto"/>
          <w:szCs w:val="24"/>
        </w:rPr>
        <w:t>3</w:t>
      </w:r>
      <w:r>
        <w:rPr>
          <w:rFonts w:ascii="宋体" w:hAnsi="宋体"/>
          <w:color w:val="auto"/>
          <w:szCs w:val="24"/>
        </w:rPr>
        <w:t>0-</w:t>
      </w:r>
      <w:r>
        <w:rPr>
          <w:rFonts w:hint="eastAsia" w:ascii="宋体" w:hAnsi="宋体"/>
          <w:color w:val="auto"/>
          <w:szCs w:val="24"/>
        </w:rPr>
        <w:t>1</w:t>
      </w:r>
      <w:r>
        <w:rPr>
          <w:rFonts w:ascii="宋体" w:hAnsi="宋体"/>
          <w:color w:val="auto"/>
          <w:szCs w:val="24"/>
        </w:rPr>
        <w:t>7:00</w:t>
      </w:r>
      <w:r>
        <w:rPr>
          <w:rFonts w:hint="eastAsia" w:ascii="宋体" w:hAnsi="宋体"/>
          <w:color w:val="auto"/>
          <w:szCs w:val="24"/>
        </w:rPr>
        <w:t>（北京时间，法定节假日除外）。</w:t>
      </w:r>
    </w:p>
    <w:p w14:paraId="1A84EB55">
      <w:pPr>
        <w:spacing w:line="360" w:lineRule="auto"/>
        <w:ind w:left="360" w:hanging="360" w:hangingChars="150"/>
        <w:rPr>
          <w:rFonts w:hint="eastAsia" w:ascii="宋体" w:hAnsi="宋体"/>
          <w:color w:val="auto"/>
          <w:szCs w:val="24"/>
        </w:rPr>
      </w:pPr>
      <w:r>
        <w:rPr>
          <w:rFonts w:hint="eastAsia" w:ascii="宋体" w:hAnsi="宋体"/>
          <w:color w:val="auto"/>
          <w:szCs w:val="24"/>
        </w:rPr>
        <w:t>8、获取招标文件方式：</w:t>
      </w:r>
    </w:p>
    <w:p w14:paraId="17320B7D">
      <w:pPr>
        <w:numPr>
          <w:ilvl w:val="0"/>
          <w:numId w:val="1"/>
        </w:numPr>
        <w:spacing w:line="360" w:lineRule="auto"/>
        <w:ind w:left="425" w:leftChars="0" w:hanging="425" w:firstLineChars="0"/>
        <w:rPr>
          <w:rFonts w:hint="eastAsia" w:ascii="宋体" w:hAnsi="宋体" w:eastAsia="宋体" w:cs="宋体"/>
          <w:b w:val="0"/>
          <w:bCs w:val="0"/>
          <w:color w:val="auto"/>
          <w:szCs w:val="24"/>
        </w:rPr>
      </w:pPr>
      <w:r>
        <w:rPr>
          <w:rFonts w:hint="eastAsia" w:ascii="宋体" w:hAnsi="宋体" w:eastAsia="宋体" w:cs="宋体"/>
          <w:b w:val="0"/>
          <w:bCs w:val="0"/>
          <w:color w:val="auto"/>
          <w:szCs w:val="24"/>
          <w:lang w:val="en-US" w:eastAsia="zh-CN"/>
        </w:rPr>
        <w:t>投标人关注“中世建咨”微信服务号，主界面右下角“领取文件-用户注册”完成注册。完成注册后，在“中世建咨”微信公众号主界面右下角点击“领取文件-领取文件-按招标编号后四位搜索参与项目”，完成微信信息登记；</w:t>
      </w:r>
    </w:p>
    <w:p w14:paraId="3D82AC5C">
      <w:pPr>
        <w:numPr>
          <w:ilvl w:val="0"/>
          <w:numId w:val="1"/>
        </w:numPr>
        <w:spacing w:line="360" w:lineRule="auto"/>
        <w:ind w:left="425" w:leftChars="0" w:hanging="425" w:firstLineChars="0"/>
        <w:rPr>
          <w:rFonts w:hint="eastAsia" w:ascii="宋体" w:hAnsi="宋体" w:eastAsia="宋体" w:cs="宋体"/>
          <w:b w:val="0"/>
          <w:bCs w:val="0"/>
          <w:color w:val="auto"/>
          <w:szCs w:val="24"/>
        </w:rPr>
      </w:pPr>
      <w:r>
        <w:rPr>
          <w:rFonts w:hint="eastAsia" w:ascii="宋体" w:hAnsi="宋体" w:eastAsia="宋体" w:cs="宋体"/>
          <w:b w:val="0"/>
          <w:bCs w:val="0"/>
          <w:color w:val="auto"/>
          <w:szCs w:val="24"/>
          <w:lang w:val="en-US" w:eastAsia="zh-CN"/>
        </w:rPr>
        <w:t>招标文件购置费可微信支付或在微信端上传的公对公转账支付凭证；</w:t>
      </w:r>
      <w:r>
        <w:rPr>
          <w:rFonts w:hint="eastAsia" w:ascii="宋体" w:hAnsi="宋体" w:eastAsia="宋体" w:cs="宋体"/>
          <w:b w:val="0"/>
          <w:bCs w:val="0"/>
          <w:color w:val="auto"/>
          <w:szCs w:val="24"/>
          <w:lang w:val="en-US" w:eastAsia="zh-CN"/>
        </w:rPr>
        <w:cr/>
      </w:r>
      <w:r>
        <w:rPr>
          <w:rFonts w:hint="eastAsia" w:ascii="宋体" w:hAnsi="宋体" w:eastAsia="宋体" w:cs="宋体"/>
          <w:b w:val="0"/>
          <w:bCs w:val="0"/>
          <w:color w:val="auto"/>
          <w:szCs w:val="24"/>
          <w:lang w:val="en-US" w:eastAsia="zh-CN"/>
        </w:rPr>
        <w:t>招标文件购置费公对公汇款账户（非保证金汇款账户）：</w:t>
      </w:r>
      <w:r>
        <w:rPr>
          <w:rFonts w:hint="eastAsia" w:ascii="宋体" w:hAnsi="宋体" w:eastAsia="宋体" w:cs="宋体"/>
          <w:b w:val="0"/>
          <w:bCs w:val="0"/>
          <w:color w:val="auto"/>
          <w:szCs w:val="24"/>
          <w:lang w:val="en-US" w:eastAsia="zh-CN"/>
        </w:rPr>
        <w:cr/>
      </w:r>
      <w:r>
        <w:rPr>
          <w:rFonts w:hint="eastAsia" w:ascii="宋体" w:hAnsi="宋体" w:eastAsia="宋体" w:cs="宋体"/>
          <w:b w:val="0"/>
          <w:bCs w:val="0"/>
          <w:color w:val="auto"/>
          <w:szCs w:val="24"/>
          <w:lang w:val="en-US" w:eastAsia="zh-CN"/>
        </w:rPr>
        <w:t>户  名：上海中世建设咨询有限公司</w:t>
      </w:r>
      <w:r>
        <w:rPr>
          <w:rFonts w:hint="eastAsia" w:ascii="宋体" w:hAnsi="宋体" w:eastAsia="宋体" w:cs="宋体"/>
          <w:b w:val="0"/>
          <w:bCs w:val="0"/>
          <w:color w:val="auto"/>
          <w:szCs w:val="24"/>
          <w:lang w:val="en-US" w:eastAsia="zh-CN"/>
        </w:rPr>
        <w:cr/>
      </w:r>
      <w:r>
        <w:rPr>
          <w:rFonts w:hint="eastAsia" w:ascii="宋体" w:hAnsi="宋体" w:eastAsia="宋体" w:cs="宋体"/>
          <w:b w:val="0"/>
          <w:bCs w:val="0"/>
          <w:color w:val="auto"/>
          <w:szCs w:val="24"/>
          <w:lang w:val="en-US" w:eastAsia="zh-CN"/>
        </w:rPr>
        <w:t>开户行：上海银行愚园路支行</w:t>
      </w:r>
      <w:r>
        <w:rPr>
          <w:rFonts w:hint="eastAsia" w:ascii="宋体" w:hAnsi="宋体" w:eastAsia="宋体" w:cs="宋体"/>
          <w:b w:val="0"/>
          <w:bCs w:val="0"/>
          <w:color w:val="auto"/>
          <w:szCs w:val="24"/>
          <w:lang w:val="en-US" w:eastAsia="zh-CN"/>
        </w:rPr>
        <w:cr/>
      </w:r>
      <w:r>
        <w:rPr>
          <w:rFonts w:hint="eastAsia" w:ascii="宋体" w:hAnsi="宋体" w:eastAsia="宋体" w:cs="宋体"/>
          <w:b w:val="0"/>
          <w:bCs w:val="0"/>
          <w:color w:val="auto"/>
          <w:szCs w:val="24"/>
          <w:lang w:val="en-US" w:eastAsia="zh-CN"/>
        </w:rPr>
        <w:t>账  号：31641800003023916</w:t>
      </w:r>
    </w:p>
    <w:p w14:paraId="771B7AD8">
      <w:pPr>
        <w:numPr>
          <w:ilvl w:val="0"/>
          <w:numId w:val="1"/>
        </w:numPr>
        <w:spacing w:line="360" w:lineRule="auto"/>
        <w:ind w:left="425" w:leftChars="0" w:hanging="425" w:firstLineChars="0"/>
        <w:rPr>
          <w:rFonts w:hint="eastAsia" w:ascii="宋体" w:hAnsi="宋体" w:eastAsia="宋体" w:cs="宋体"/>
          <w:b w:val="0"/>
          <w:bCs w:val="0"/>
          <w:color w:val="auto"/>
          <w:szCs w:val="24"/>
        </w:rPr>
      </w:pPr>
      <w:r>
        <w:rPr>
          <w:rFonts w:hint="eastAsia" w:ascii="宋体" w:hAnsi="宋体" w:eastAsia="宋体" w:cs="宋体"/>
          <w:b w:val="0"/>
          <w:bCs w:val="0"/>
          <w:color w:val="auto"/>
          <w:szCs w:val="24"/>
          <w:lang w:val="en-US" w:eastAsia="zh-CN"/>
        </w:rPr>
        <w:t>关于招标文件购置费发票的领取：默认开具电子发票（增值税普通发票），此发票将通过招标招标代理机构系统自动发送至投标人报名登记时所填写的邮箱（务必填写正确），投标人请自行查收。</w:t>
      </w:r>
    </w:p>
    <w:p w14:paraId="2AC07769">
      <w:pPr>
        <w:pStyle w:val="3"/>
        <w:ind w:firstLine="0"/>
        <w:rPr>
          <w:rFonts w:hint="eastAsia"/>
          <w:color w:val="auto"/>
        </w:rPr>
      </w:pPr>
      <w:r>
        <w:rPr>
          <w:rFonts w:hint="eastAsia"/>
          <w:color w:val="auto"/>
        </w:rPr>
        <w:t>9、请投标人在交通银行智采平台供应商门户网站（https://bocom-gys.bankcomm.com）完成注册，详情请登录门户网站查阅《供应商门户操作手册》。完成注册后，及时向招标代理机构反馈注册结果（智采平台网站中通过注册审批的截图），截图路径为登录后点击基本资料显示“基本信息”的截图，且“服务分行”中必须选中“上海市分行”。</w:t>
      </w:r>
    </w:p>
    <w:p w14:paraId="602CE414">
      <w:pPr>
        <w:spacing w:line="360" w:lineRule="auto"/>
        <w:ind w:left="458" w:hanging="458" w:hangingChars="191"/>
        <w:rPr>
          <w:rFonts w:hint="eastAsia" w:ascii="宋体" w:hAnsi="宋体"/>
          <w:color w:val="auto"/>
          <w:szCs w:val="24"/>
        </w:rPr>
      </w:pPr>
      <w:r>
        <w:rPr>
          <w:rFonts w:hint="eastAsia" w:ascii="宋体" w:hAnsi="宋体"/>
          <w:color w:val="auto"/>
          <w:szCs w:val="24"/>
          <w:lang w:val="en-US" w:eastAsia="zh-CN"/>
        </w:rPr>
        <w:t>10</w:t>
      </w:r>
      <w:r>
        <w:rPr>
          <w:rFonts w:hint="eastAsia" w:ascii="宋体" w:hAnsi="宋体"/>
          <w:color w:val="auto"/>
          <w:szCs w:val="24"/>
        </w:rPr>
        <w:t>、投标截止时间和开标时间：</w:t>
      </w:r>
      <w:r>
        <w:rPr>
          <w:rFonts w:hint="eastAsia" w:ascii="宋体" w:hAnsi="宋体" w:cs="宋体"/>
          <w:b w:val="0"/>
          <w:bCs w:val="0"/>
          <w:color w:val="auto"/>
          <w:szCs w:val="24"/>
          <w:highlight w:val="none"/>
          <w:lang w:eastAsia="zh-CN"/>
        </w:rPr>
        <w:t>202</w:t>
      </w:r>
      <w:r>
        <w:rPr>
          <w:rFonts w:hint="eastAsia" w:ascii="宋体" w:hAnsi="宋体" w:cs="宋体"/>
          <w:b w:val="0"/>
          <w:bCs w:val="0"/>
          <w:color w:val="auto"/>
          <w:szCs w:val="24"/>
          <w:highlight w:val="none"/>
          <w:lang w:val="en-US" w:eastAsia="zh-CN"/>
        </w:rPr>
        <w:t>6</w:t>
      </w:r>
      <w:r>
        <w:rPr>
          <w:rFonts w:hint="eastAsia" w:ascii="宋体" w:hAnsi="宋体" w:cs="宋体"/>
          <w:b w:val="0"/>
          <w:bCs w:val="0"/>
          <w:color w:val="auto"/>
          <w:szCs w:val="24"/>
          <w:highlight w:val="none"/>
          <w:lang w:eastAsia="zh-CN"/>
        </w:rPr>
        <w:t>年</w:t>
      </w:r>
      <w:r>
        <w:rPr>
          <w:rFonts w:hint="eastAsia" w:ascii="宋体" w:hAnsi="宋体" w:cs="宋体"/>
          <w:b w:val="0"/>
          <w:bCs w:val="0"/>
          <w:color w:val="auto"/>
          <w:szCs w:val="24"/>
          <w:highlight w:val="none"/>
          <w:lang w:val="en-US" w:eastAsia="zh-CN"/>
        </w:rPr>
        <w:t>1</w:t>
      </w:r>
      <w:r>
        <w:rPr>
          <w:rFonts w:hint="eastAsia" w:ascii="宋体" w:hAnsi="宋体" w:cs="宋体"/>
          <w:b w:val="0"/>
          <w:bCs w:val="0"/>
          <w:color w:val="auto"/>
          <w:szCs w:val="24"/>
          <w:highlight w:val="none"/>
          <w:lang w:eastAsia="zh-CN"/>
        </w:rPr>
        <w:t>月</w:t>
      </w:r>
      <w:r>
        <w:rPr>
          <w:rFonts w:hint="eastAsia" w:ascii="宋体" w:hAnsi="宋体" w:cs="宋体"/>
          <w:b w:val="0"/>
          <w:bCs w:val="0"/>
          <w:color w:val="auto"/>
          <w:szCs w:val="24"/>
          <w:highlight w:val="none"/>
          <w:lang w:val="en-US" w:eastAsia="zh-CN"/>
        </w:rPr>
        <w:t>4</w:t>
      </w:r>
      <w:r>
        <w:rPr>
          <w:rFonts w:hint="eastAsia" w:ascii="宋体" w:hAnsi="宋体" w:eastAsia="宋体" w:cs="宋体"/>
          <w:b w:val="0"/>
          <w:bCs w:val="0"/>
          <w:color w:val="auto"/>
          <w:szCs w:val="24"/>
          <w:highlight w:val="none"/>
          <w:lang w:eastAsia="zh-CN"/>
        </w:rPr>
        <w:t>日</w:t>
      </w:r>
      <w:r>
        <w:rPr>
          <w:rFonts w:hint="eastAsia" w:ascii="宋体" w:hAnsi="宋体" w:cs="宋体"/>
          <w:b w:val="0"/>
          <w:bCs w:val="0"/>
          <w:color w:val="auto"/>
          <w:szCs w:val="24"/>
          <w:highlight w:val="none"/>
          <w:lang w:val="en-US" w:eastAsia="zh-CN"/>
        </w:rPr>
        <w:t>09</w:t>
      </w:r>
      <w:r>
        <w:rPr>
          <w:rFonts w:hint="eastAsia" w:ascii="宋体" w:hAnsi="宋体" w:eastAsia="宋体" w:cs="宋体"/>
          <w:b w:val="0"/>
          <w:bCs w:val="0"/>
          <w:color w:val="auto"/>
          <w:szCs w:val="24"/>
          <w:highlight w:val="none"/>
          <w:lang w:eastAsia="zh-CN"/>
        </w:rPr>
        <w:t>时</w:t>
      </w:r>
      <w:r>
        <w:rPr>
          <w:rFonts w:hint="eastAsia" w:ascii="宋体" w:hAnsi="宋体" w:cs="宋体"/>
          <w:b w:val="0"/>
          <w:bCs w:val="0"/>
          <w:color w:val="auto"/>
          <w:szCs w:val="24"/>
          <w:highlight w:val="none"/>
          <w:lang w:val="en-US" w:eastAsia="zh-CN"/>
        </w:rPr>
        <w:t>30</w:t>
      </w:r>
      <w:r>
        <w:rPr>
          <w:rFonts w:hint="eastAsia" w:ascii="宋体" w:hAnsi="宋体" w:eastAsia="宋体" w:cs="宋体"/>
          <w:b w:val="0"/>
          <w:bCs w:val="0"/>
          <w:color w:val="auto"/>
          <w:szCs w:val="24"/>
          <w:highlight w:val="none"/>
          <w:lang w:eastAsia="zh-CN"/>
        </w:rPr>
        <w:t>分</w:t>
      </w:r>
      <w:r>
        <w:rPr>
          <w:rFonts w:hint="eastAsia" w:ascii="宋体" w:hAnsi="宋体" w:eastAsia="宋体" w:cs="宋体"/>
          <w:b w:val="0"/>
          <w:bCs w:val="0"/>
          <w:color w:val="auto"/>
          <w:szCs w:val="24"/>
          <w:highlight w:val="none"/>
          <w:lang w:val="en-US" w:eastAsia="zh-CN"/>
        </w:rPr>
        <w:t>00秒</w:t>
      </w:r>
      <w:r>
        <w:rPr>
          <w:rFonts w:hint="eastAsia" w:ascii="宋体" w:hAnsi="宋体" w:eastAsia="宋体" w:cs="宋体"/>
          <w:b w:val="0"/>
          <w:bCs w:val="0"/>
          <w:color w:val="auto"/>
          <w:szCs w:val="24"/>
          <w:highlight w:val="none"/>
        </w:rPr>
        <w:t>（北京时间）。</w:t>
      </w:r>
      <w:r>
        <w:rPr>
          <w:rFonts w:hint="eastAsia" w:ascii="宋体" w:hAnsi="宋体" w:eastAsia="宋体" w:cs="宋体"/>
          <w:b w:val="0"/>
          <w:bCs w:val="0"/>
          <w:color w:val="auto"/>
          <w:szCs w:val="24"/>
        </w:rPr>
        <w:t>逾期递交的投标文件恕不接受。</w:t>
      </w:r>
    </w:p>
    <w:p w14:paraId="50AA7A00">
      <w:pPr>
        <w:spacing w:line="360" w:lineRule="auto"/>
        <w:ind w:left="360" w:hanging="360" w:hangingChars="150"/>
        <w:rPr>
          <w:rFonts w:hint="eastAsia" w:ascii="宋体" w:hAnsi="宋体"/>
          <w:color w:val="auto"/>
          <w:szCs w:val="24"/>
        </w:rPr>
      </w:pPr>
      <w:r>
        <w:rPr>
          <w:rFonts w:hint="eastAsia" w:ascii="宋体" w:hAnsi="宋体"/>
          <w:color w:val="auto"/>
          <w:szCs w:val="24"/>
        </w:rPr>
        <w:t>1</w:t>
      </w:r>
      <w:r>
        <w:rPr>
          <w:rFonts w:hint="eastAsia" w:ascii="宋体" w:hAnsi="宋体"/>
          <w:color w:val="auto"/>
          <w:szCs w:val="24"/>
          <w:lang w:val="en-US" w:eastAsia="zh-CN"/>
        </w:rPr>
        <w:t>1</w:t>
      </w:r>
      <w:r>
        <w:rPr>
          <w:rFonts w:hint="eastAsia" w:ascii="宋体" w:hAnsi="宋体"/>
          <w:color w:val="auto"/>
          <w:szCs w:val="24"/>
        </w:rPr>
        <w:t>、递交投标文件地点和开标地点：上海市普陀区曹杨路528弄35号（中世办公楼）会议室（详见一楼大屏）。</w:t>
      </w:r>
    </w:p>
    <w:p w14:paraId="2F29BBDD">
      <w:pPr>
        <w:spacing w:line="360" w:lineRule="auto"/>
        <w:ind w:left="480" w:hanging="480" w:hangingChars="200"/>
        <w:rPr>
          <w:rFonts w:hint="eastAsia" w:ascii="宋体" w:hAnsi="宋体"/>
          <w:color w:val="auto"/>
          <w:szCs w:val="24"/>
        </w:rPr>
      </w:pPr>
      <w:r>
        <w:rPr>
          <w:rFonts w:hint="eastAsia" w:ascii="宋体" w:hAnsi="宋体"/>
          <w:color w:val="auto"/>
          <w:szCs w:val="24"/>
        </w:rPr>
        <w:t>1</w:t>
      </w:r>
      <w:r>
        <w:rPr>
          <w:rFonts w:hint="eastAsia" w:ascii="宋体" w:hAnsi="宋体"/>
          <w:color w:val="auto"/>
          <w:szCs w:val="24"/>
          <w:lang w:val="en-US" w:eastAsia="zh-CN"/>
        </w:rPr>
        <w:t>2</w:t>
      </w:r>
      <w:r>
        <w:rPr>
          <w:rFonts w:hint="eastAsia" w:ascii="宋体" w:hAnsi="宋体"/>
          <w:color w:val="auto"/>
          <w:szCs w:val="24"/>
        </w:rPr>
        <w:t>、投标文件请于开标当日投标截止时间前递交至开标地点，届时请参加投标的单位派授权代表出席开标仪式。</w:t>
      </w:r>
    </w:p>
    <w:p w14:paraId="59BEA3A9">
      <w:pPr>
        <w:spacing w:line="360" w:lineRule="auto"/>
        <w:ind w:left="480" w:hanging="480" w:hangingChars="200"/>
        <w:rPr>
          <w:rFonts w:hint="eastAsia" w:ascii="宋体" w:hAnsi="宋体" w:cs="宋体"/>
          <w:color w:val="auto"/>
          <w:szCs w:val="24"/>
        </w:rPr>
      </w:pPr>
      <w:r>
        <w:rPr>
          <w:rFonts w:hint="eastAsia" w:ascii="宋体" w:hAnsi="宋体" w:cs="宋体"/>
          <w:color w:val="auto"/>
          <w:szCs w:val="24"/>
        </w:rPr>
        <w:t>1</w:t>
      </w:r>
      <w:r>
        <w:rPr>
          <w:rFonts w:hint="eastAsia" w:ascii="宋体" w:hAnsi="宋体" w:cs="宋体"/>
          <w:color w:val="auto"/>
          <w:szCs w:val="24"/>
          <w:lang w:val="en-US" w:eastAsia="zh-CN"/>
        </w:rPr>
        <w:t>3</w:t>
      </w:r>
      <w:r>
        <w:rPr>
          <w:rFonts w:hint="eastAsia" w:ascii="宋体" w:hAnsi="宋体" w:cs="宋体"/>
          <w:color w:val="auto"/>
          <w:szCs w:val="24"/>
        </w:rPr>
        <w:t>、招标公告发布：本招标公告通过交通银行供应商门户网站、</w:t>
      </w:r>
      <w:bookmarkStart w:id="2" w:name="_GoBack"/>
      <w:bookmarkEnd w:id="2"/>
      <w:r>
        <w:rPr>
          <w:rFonts w:hint="eastAsia" w:ascii="宋体" w:hAnsi="宋体" w:cs="宋体"/>
          <w:color w:val="auto"/>
          <w:szCs w:val="24"/>
          <w:lang w:eastAsia="zh-CN"/>
        </w:rPr>
        <w:t>中国采购与招标网大数据平台</w:t>
      </w:r>
      <w:r>
        <w:rPr>
          <w:rFonts w:hint="eastAsia" w:ascii="宋体" w:hAnsi="宋体" w:cs="宋体"/>
          <w:color w:val="auto"/>
          <w:szCs w:val="24"/>
        </w:rPr>
        <w:t>、金采网对外公开发布。</w:t>
      </w:r>
    </w:p>
    <w:p w14:paraId="5D1C3C81">
      <w:pPr>
        <w:pStyle w:val="4"/>
        <w:rPr>
          <w:rFonts w:hint="eastAsia" w:ascii="宋体" w:hAnsi="宋体" w:eastAsia="宋体" w:cs="宋体"/>
          <w:color w:val="auto"/>
          <w:szCs w:val="24"/>
          <w:lang w:val="en-US" w:eastAsia="zh-CN"/>
        </w:rPr>
      </w:pPr>
      <w:r>
        <w:rPr>
          <w:rFonts w:hint="eastAsia" w:ascii="宋体" w:hAnsi="宋体" w:eastAsia="宋体" w:cs="宋体"/>
          <w:color w:val="auto"/>
          <w:szCs w:val="24"/>
          <w:lang w:val="en-US" w:eastAsia="zh-CN"/>
        </w:rPr>
        <w:t>14、其他：</w:t>
      </w:r>
      <w:r>
        <w:rPr>
          <w:rFonts w:hint="eastAsia" w:ascii="宋体" w:hAnsi="宋体" w:eastAsia="宋体" w:cs="宋体"/>
          <w:b w:val="0"/>
          <w:color w:val="auto"/>
          <w:sz w:val="24"/>
          <w:szCs w:val="24"/>
          <w:lang w:val="en-US" w:eastAsia="zh-CN"/>
        </w:rPr>
        <w:t>本项目不属于依法必须进行招标的项目。</w:t>
      </w:r>
    </w:p>
    <w:p w14:paraId="179F15F6">
      <w:pPr>
        <w:spacing w:line="360" w:lineRule="auto"/>
        <w:ind w:left="480" w:firstLine="480" w:firstLineChars="200"/>
        <w:rPr>
          <w:rFonts w:hint="eastAsia" w:ascii="宋体" w:hAnsi="宋体" w:cs="宋体"/>
          <w:color w:val="auto"/>
          <w:szCs w:val="24"/>
        </w:rPr>
      </w:pPr>
    </w:p>
    <w:p w14:paraId="3C663246">
      <w:pPr>
        <w:spacing w:line="360" w:lineRule="auto"/>
        <w:ind w:firstLine="361" w:firstLineChars="150"/>
        <w:rPr>
          <w:rFonts w:hint="eastAsia" w:ascii="宋体" w:hAnsi="宋体" w:eastAsia="宋体" w:cs="宋体"/>
          <w:b/>
          <w:bCs/>
          <w:color w:val="auto"/>
          <w:szCs w:val="24"/>
          <w:lang w:eastAsia="zh-CN"/>
        </w:rPr>
      </w:pPr>
      <w:r>
        <w:rPr>
          <w:rFonts w:hint="eastAsia" w:ascii="宋体" w:hAnsi="宋体" w:cs="宋体"/>
          <w:b/>
          <w:bCs/>
          <w:color w:val="auto"/>
          <w:szCs w:val="24"/>
          <w:lang w:eastAsia="zh-CN"/>
        </w:rPr>
        <w:t>招标代理机构：上海中世建设咨询有限公司</w:t>
      </w:r>
    </w:p>
    <w:p w14:paraId="35F36C6D">
      <w:pPr>
        <w:spacing w:line="360" w:lineRule="auto"/>
        <w:ind w:firstLine="360" w:firstLineChars="150"/>
        <w:rPr>
          <w:rFonts w:hint="eastAsia" w:ascii="宋体" w:hAnsi="宋体" w:eastAsia="宋体"/>
          <w:color w:val="auto"/>
          <w:szCs w:val="24"/>
          <w:lang w:eastAsia="zh-CN"/>
        </w:rPr>
      </w:pPr>
      <w:r>
        <w:rPr>
          <w:rFonts w:hint="eastAsia" w:ascii="宋体" w:hAnsi="宋体"/>
          <w:color w:val="auto"/>
          <w:szCs w:val="24"/>
        </w:rPr>
        <w:t>地    址：</w:t>
      </w:r>
      <w:r>
        <w:rPr>
          <w:rFonts w:hint="eastAsia" w:ascii="宋体" w:hAnsi="宋体"/>
          <w:color w:val="auto"/>
          <w:szCs w:val="24"/>
          <w:lang w:eastAsia="zh-CN"/>
        </w:rPr>
        <w:t>上海市普陀区曹杨路528弄35号（中世办公楼）</w:t>
      </w:r>
    </w:p>
    <w:p w14:paraId="514C52C5">
      <w:pPr>
        <w:spacing w:line="360" w:lineRule="auto"/>
        <w:ind w:firstLine="360" w:firstLineChars="150"/>
        <w:rPr>
          <w:rFonts w:hint="eastAsia" w:ascii="宋体" w:hAnsi="宋体" w:eastAsia="宋体"/>
          <w:color w:val="auto"/>
          <w:szCs w:val="24"/>
          <w:lang w:eastAsia="zh-CN"/>
        </w:rPr>
      </w:pPr>
      <w:r>
        <w:rPr>
          <w:rFonts w:hint="eastAsia" w:ascii="宋体" w:hAnsi="宋体"/>
          <w:color w:val="auto"/>
          <w:szCs w:val="24"/>
        </w:rPr>
        <w:t>联</w:t>
      </w:r>
      <w:r>
        <w:rPr>
          <w:rFonts w:ascii="宋体" w:hAnsi="宋体"/>
          <w:color w:val="auto"/>
          <w:szCs w:val="24"/>
        </w:rPr>
        <w:t xml:space="preserve"> </w:t>
      </w:r>
      <w:r>
        <w:rPr>
          <w:rFonts w:hint="eastAsia" w:ascii="宋体" w:hAnsi="宋体"/>
          <w:color w:val="auto"/>
          <w:szCs w:val="24"/>
        </w:rPr>
        <w:t>系</w:t>
      </w:r>
      <w:r>
        <w:rPr>
          <w:rFonts w:ascii="宋体" w:hAnsi="宋体"/>
          <w:color w:val="auto"/>
          <w:szCs w:val="24"/>
        </w:rPr>
        <w:t xml:space="preserve"> </w:t>
      </w:r>
      <w:r>
        <w:rPr>
          <w:rFonts w:hint="eastAsia" w:ascii="宋体" w:hAnsi="宋体"/>
          <w:color w:val="auto"/>
          <w:szCs w:val="24"/>
        </w:rPr>
        <w:t>人：</w:t>
      </w:r>
      <w:r>
        <w:rPr>
          <w:rFonts w:hint="eastAsia" w:ascii="宋体" w:hAnsi="宋体" w:cs="宋体"/>
          <w:color w:val="auto"/>
          <w:szCs w:val="24"/>
          <w:lang w:eastAsia="zh-CN"/>
        </w:rPr>
        <w:t>李宏飞、陈洁、葛诗诗、张琴、丁明德</w:t>
      </w:r>
    </w:p>
    <w:p w14:paraId="6343CD13">
      <w:pPr>
        <w:spacing w:line="360" w:lineRule="auto"/>
        <w:ind w:firstLine="360" w:firstLineChars="150"/>
        <w:rPr>
          <w:rFonts w:hint="eastAsia" w:ascii="宋体" w:hAnsi="宋体" w:eastAsia="宋体"/>
          <w:color w:val="auto"/>
          <w:szCs w:val="24"/>
          <w:lang w:eastAsia="zh-CN"/>
        </w:rPr>
      </w:pPr>
      <w:r>
        <w:rPr>
          <w:rFonts w:hint="eastAsia" w:ascii="宋体" w:hAnsi="宋体"/>
          <w:color w:val="auto"/>
          <w:szCs w:val="24"/>
        </w:rPr>
        <w:t>电</w:t>
      </w:r>
      <w:r>
        <w:rPr>
          <w:rFonts w:ascii="宋体" w:hAnsi="宋体"/>
          <w:color w:val="auto"/>
          <w:szCs w:val="24"/>
        </w:rPr>
        <w:t xml:space="preserve">    </w:t>
      </w:r>
      <w:r>
        <w:rPr>
          <w:rFonts w:hint="eastAsia" w:ascii="宋体" w:hAnsi="宋体"/>
          <w:color w:val="auto"/>
          <w:szCs w:val="24"/>
        </w:rPr>
        <w:t>话：</w:t>
      </w:r>
      <w:r>
        <w:rPr>
          <w:rFonts w:hint="eastAsia" w:ascii="宋体" w:hAnsi="宋体" w:cs="宋体"/>
          <w:color w:val="auto"/>
          <w:szCs w:val="24"/>
          <w:lang w:eastAsia="zh-CN"/>
        </w:rPr>
        <w:t>021-62</w:t>
      </w:r>
      <w:r>
        <w:rPr>
          <w:rFonts w:hint="eastAsia" w:ascii="宋体" w:hAnsi="宋体" w:cs="宋体"/>
          <w:color w:val="auto"/>
          <w:szCs w:val="24"/>
          <w:lang w:val="en-US" w:eastAsia="zh-CN"/>
        </w:rPr>
        <w:t>4</w:t>
      </w:r>
      <w:r>
        <w:rPr>
          <w:rFonts w:hint="eastAsia" w:ascii="宋体" w:hAnsi="宋体" w:cs="宋体"/>
          <w:color w:val="auto"/>
          <w:szCs w:val="24"/>
          <w:lang w:eastAsia="zh-CN"/>
        </w:rPr>
        <w:t>45201、021-62340833、021-62440095</w:t>
      </w:r>
    </w:p>
    <w:p w14:paraId="0210101E">
      <w:pPr>
        <w:spacing w:line="360" w:lineRule="auto"/>
        <w:ind w:firstLine="360" w:firstLineChars="150"/>
        <w:rPr>
          <w:rFonts w:hint="eastAsia" w:ascii="宋体" w:hAnsi="宋体"/>
          <w:color w:val="auto"/>
          <w:szCs w:val="24"/>
          <w:lang w:eastAsia="zh-CN"/>
        </w:rPr>
      </w:pPr>
      <w:r>
        <w:rPr>
          <w:rFonts w:hint="eastAsia" w:ascii="宋体" w:hAnsi="宋体"/>
          <w:color w:val="auto"/>
          <w:szCs w:val="24"/>
        </w:rPr>
        <w:t>电子邮箱：</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HYPERLINK "mailto:chenjie@cwcc.net.cn、geshishi@cwcc.net.cn、lihongfei@cwcc.net.cn" </w:instrText>
      </w:r>
      <w:r>
        <w:rPr>
          <w:rFonts w:hint="eastAsia" w:ascii="宋体" w:hAnsi="宋体" w:eastAsia="宋体" w:cs="宋体"/>
          <w:color w:val="auto"/>
          <w:sz w:val="21"/>
          <w:szCs w:val="21"/>
          <w:highlight w:val="none"/>
        </w:rPr>
        <w:fldChar w:fldCharType="separate"/>
      </w:r>
      <w:r>
        <w:rPr>
          <w:rStyle w:val="8"/>
          <w:rFonts w:hint="eastAsia" w:ascii="宋体" w:hAnsi="宋体" w:eastAsia="宋体" w:cs="宋体"/>
          <w:color w:val="auto"/>
          <w:sz w:val="21"/>
          <w:szCs w:val="21"/>
          <w:highlight w:val="none"/>
        </w:rPr>
        <w:t>chenjie@cwcc.net.cn、geshishi@cwcc.net.cn</w:t>
      </w:r>
      <w:r>
        <w:rPr>
          <w:rStyle w:val="8"/>
          <w:rFonts w:hint="eastAsia" w:ascii="宋体" w:hAnsi="宋体" w:eastAsia="宋体" w:cs="宋体"/>
          <w:color w:val="auto"/>
          <w:sz w:val="21"/>
          <w:szCs w:val="21"/>
          <w:highlight w:val="none"/>
          <w:lang w:eastAsia="zh-CN"/>
        </w:rPr>
        <w:t>、</w:t>
      </w:r>
      <w:r>
        <w:rPr>
          <w:rStyle w:val="8"/>
          <w:rFonts w:hint="eastAsia" w:ascii="宋体" w:hAnsi="宋体" w:eastAsia="宋体" w:cs="宋体"/>
          <w:color w:val="auto"/>
          <w:sz w:val="21"/>
          <w:szCs w:val="21"/>
          <w:highlight w:val="none"/>
          <w:lang w:val="en-US" w:eastAsia="zh-CN"/>
        </w:rPr>
        <w:t>lihongfei</w:t>
      </w:r>
      <w:r>
        <w:rPr>
          <w:rStyle w:val="8"/>
          <w:rFonts w:hint="eastAsia" w:ascii="宋体" w:hAnsi="宋体" w:eastAsia="宋体" w:cs="宋体"/>
          <w:color w:val="auto"/>
          <w:sz w:val="21"/>
          <w:szCs w:val="21"/>
          <w:highlight w:val="none"/>
        </w:rPr>
        <w:t>@cwcc.net.c</w:t>
      </w:r>
      <w:r>
        <w:rPr>
          <w:rStyle w:val="8"/>
          <w:rFonts w:hint="eastAsia" w:ascii="宋体" w:hAnsi="宋体"/>
          <w:color w:val="auto"/>
          <w:szCs w:val="24"/>
          <w:lang w:eastAsia="zh-CN"/>
        </w:rPr>
        <w:t>n</w:t>
      </w:r>
      <w:r>
        <w:rPr>
          <w:rFonts w:hint="eastAsia" w:ascii="宋体" w:hAnsi="宋体" w:eastAsia="宋体" w:cs="宋体"/>
          <w:color w:val="auto"/>
          <w:sz w:val="21"/>
          <w:szCs w:val="21"/>
          <w:highlight w:val="none"/>
        </w:rPr>
        <w:fldChar w:fldCharType="end"/>
      </w:r>
    </w:p>
    <w:p w14:paraId="5CCFF67E">
      <w:pPr>
        <w:pStyle w:val="4"/>
        <w:rPr>
          <w:rFonts w:hint="eastAsia"/>
          <w:color w:val="auto"/>
          <w:lang w:eastAsia="zh-CN"/>
        </w:rPr>
      </w:pPr>
    </w:p>
    <w:p w14:paraId="2F7883BF">
      <w:pPr>
        <w:spacing w:line="360" w:lineRule="auto"/>
        <w:ind w:firstLine="361" w:firstLineChars="150"/>
        <w:rPr>
          <w:rFonts w:hint="eastAsia" w:ascii="宋体" w:hAnsi="宋体" w:eastAsia="宋体" w:cs="宋体"/>
          <w:b/>
          <w:bCs/>
          <w:color w:val="auto"/>
          <w:szCs w:val="24"/>
          <w:lang w:eastAsia="zh-CN"/>
        </w:rPr>
      </w:pPr>
      <w:r>
        <w:rPr>
          <w:rFonts w:hint="eastAsia" w:ascii="宋体" w:hAnsi="宋体" w:cs="宋体"/>
          <w:b/>
          <w:bCs/>
          <w:color w:val="auto"/>
          <w:szCs w:val="24"/>
        </w:rPr>
        <w:t>招标人：</w:t>
      </w:r>
      <w:r>
        <w:rPr>
          <w:rFonts w:hint="eastAsia" w:ascii="宋体" w:hAnsi="宋体" w:cs="宋体"/>
          <w:b/>
          <w:bCs/>
          <w:color w:val="auto"/>
          <w:szCs w:val="24"/>
          <w:lang w:eastAsia="zh-CN"/>
        </w:rPr>
        <w:t>交通银行股份有限公司上海市分行</w:t>
      </w:r>
    </w:p>
    <w:p w14:paraId="3CE32757">
      <w:pPr>
        <w:spacing w:line="360" w:lineRule="auto"/>
        <w:ind w:firstLine="360" w:firstLineChars="150"/>
        <w:rPr>
          <w:rFonts w:hint="eastAsia" w:ascii="宋体" w:hAnsi="宋体" w:eastAsia="宋体"/>
          <w:color w:val="auto"/>
          <w:szCs w:val="24"/>
          <w:lang w:eastAsia="zh-CN"/>
        </w:rPr>
      </w:pPr>
      <w:r>
        <w:rPr>
          <w:rFonts w:hint="eastAsia" w:ascii="宋体" w:hAnsi="宋体"/>
          <w:color w:val="auto"/>
          <w:szCs w:val="24"/>
        </w:rPr>
        <w:t>地</w:t>
      </w:r>
      <w:r>
        <w:rPr>
          <w:rFonts w:hint="eastAsia" w:ascii="宋体" w:hAnsi="宋体"/>
          <w:color w:val="auto"/>
          <w:szCs w:val="24"/>
          <w:lang w:val="en-US" w:eastAsia="zh-CN"/>
        </w:rPr>
        <w:t xml:space="preserve">    </w:t>
      </w:r>
      <w:r>
        <w:rPr>
          <w:rFonts w:hint="eastAsia" w:ascii="宋体" w:hAnsi="宋体"/>
          <w:color w:val="auto"/>
          <w:szCs w:val="24"/>
        </w:rPr>
        <w:t>址：</w:t>
      </w:r>
      <w:r>
        <w:rPr>
          <w:rFonts w:hint="eastAsia" w:ascii="宋体" w:hAnsi="宋体"/>
          <w:color w:val="auto"/>
          <w:szCs w:val="24"/>
          <w:lang w:eastAsia="zh-CN"/>
        </w:rPr>
        <w:t>上海市黄浦区中山南路99号</w:t>
      </w:r>
    </w:p>
    <w:p w14:paraId="7EFD0EA2">
      <w:pPr>
        <w:spacing w:line="360" w:lineRule="auto"/>
        <w:ind w:firstLine="360" w:firstLineChars="150"/>
        <w:rPr>
          <w:rFonts w:hint="eastAsia" w:ascii="宋体" w:hAnsi="宋体"/>
          <w:color w:val="auto"/>
          <w:szCs w:val="24"/>
          <w:lang w:eastAsia="zh-CN"/>
        </w:rPr>
      </w:pPr>
      <w:r>
        <w:rPr>
          <w:rFonts w:hint="eastAsia" w:ascii="宋体" w:hAnsi="宋体"/>
          <w:color w:val="auto"/>
          <w:szCs w:val="24"/>
        </w:rPr>
        <w:t>联</w:t>
      </w:r>
      <w:r>
        <w:rPr>
          <w:rFonts w:hint="eastAsia" w:ascii="宋体" w:hAnsi="宋体"/>
          <w:color w:val="auto"/>
          <w:szCs w:val="24"/>
          <w:lang w:val="en-US" w:eastAsia="zh-CN"/>
        </w:rPr>
        <w:t xml:space="preserve"> </w:t>
      </w:r>
      <w:r>
        <w:rPr>
          <w:rFonts w:hint="eastAsia" w:ascii="宋体" w:hAnsi="宋体"/>
          <w:color w:val="auto"/>
          <w:szCs w:val="24"/>
        </w:rPr>
        <w:t>系</w:t>
      </w:r>
      <w:r>
        <w:rPr>
          <w:rFonts w:hint="eastAsia" w:ascii="宋体" w:hAnsi="宋体"/>
          <w:color w:val="auto"/>
          <w:szCs w:val="24"/>
          <w:lang w:val="en-US" w:eastAsia="zh-CN"/>
        </w:rPr>
        <w:t xml:space="preserve"> </w:t>
      </w:r>
      <w:r>
        <w:rPr>
          <w:rFonts w:hint="eastAsia" w:ascii="宋体" w:hAnsi="宋体"/>
          <w:color w:val="auto"/>
          <w:szCs w:val="24"/>
        </w:rPr>
        <w:t>人：</w:t>
      </w:r>
      <w:r>
        <w:rPr>
          <w:rFonts w:hint="eastAsia" w:ascii="宋体" w:hAnsi="宋体"/>
          <w:color w:val="auto"/>
          <w:szCs w:val="24"/>
          <w:lang w:val="en-US" w:eastAsia="zh-CN"/>
        </w:rPr>
        <w:t>郭老师</w:t>
      </w:r>
    </w:p>
    <w:p w14:paraId="606414DD">
      <w:pPr>
        <w:spacing w:line="360" w:lineRule="auto"/>
        <w:ind w:firstLine="360" w:firstLineChars="150"/>
        <w:rPr>
          <w:rFonts w:hint="eastAsia" w:ascii="宋体" w:hAnsi="宋体"/>
          <w:color w:val="auto"/>
          <w:szCs w:val="24"/>
          <w:lang w:val="en-US" w:eastAsia="zh-CN"/>
        </w:rPr>
      </w:pPr>
      <w:r>
        <w:rPr>
          <w:rFonts w:hint="eastAsia" w:ascii="宋体" w:hAnsi="宋体"/>
          <w:color w:val="auto"/>
          <w:szCs w:val="24"/>
        </w:rPr>
        <w:t>联系电话：</w:t>
      </w:r>
      <w:r>
        <w:rPr>
          <w:rFonts w:hint="eastAsia" w:ascii="宋体" w:hAnsi="宋体"/>
          <w:color w:val="auto"/>
          <w:szCs w:val="24"/>
          <w:lang w:eastAsia="zh-CN"/>
        </w:rPr>
        <w:t>021-33203472</w:t>
      </w:r>
    </w:p>
    <w:p w14:paraId="768364A1">
      <w:pPr>
        <w:pStyle w:val="3"/>
        <w:ind w:firstLine="0"/>
        <w:rPr>
          <w:rFonts w:hint="eastAsia" w:ascii="宋体" w:hAnsi="宋体"/>
          <w:color w:val="auto"/>
          <w:szCs w:val="24"/>
          <w:lang w:val="en-US" w:eastAsia="zh-CN"/>
        </w:rPr>
      </w:pPr>
    </w:p>
    <w:p w14:paraId="0DD25505">
      <w:pPr>
        <w:spacing w:line="360" w:lineRule="auto"/>
        <w:ind w:firstLine="480" w:firstLineChars="200"/>
        <w:rPr>
          <w:rFonts w:hint="eastAsia" w:ascii="宋体" w:hAnsi="宋体"/>
          <w:color w:val="auto"/>
          <w:szCs w:val="24"/>
        </w:rPr>
      </w:pPr>
    </w:p>
    <w:p w14:paraId="1624E8E8">
      <w:pPr>
        <w:spacing w:line="360" w:lineRule="auto"/>
        <w:ind w:firstLine="562" w:firstLineChars="200"/>
        <w:rPr>
          <w:rFonts w:hint="eastAsia" w:ascii="宋体" w:hAnsi="宋体"/>
          <w:color w:val="auto"/>
          <w:szCs w:val="24"/>
        </w:rPr>
      </w:pPr>
      <w:r>
        <w:rPr>
          <w:rFonts w:hint="eastAsia" w:ascii="宋体" w:hAnsi="宋体"/>
          <w:b/>
          <w:i/>
          <w:iCs/>
          <w:color w:val="auto"/>
          <w:spacing w:val="20"/>
          <w:u w:val="single"/>
        </w:rPr>
        <w:t>交通银行整合集团综合化优势，为企业及个人客户提供优质专业的薪酬代发、智慧记账、数字人民币应用服务。鼓励供应商在交通银行开办代发工资业务、智慧记账业务、开通交通银行数字人民币钱包。</w:t>
      </w:r>
    </w:p>
    <w:p w14:paraId="2BD35207">
      <w:pPr>
        <w:spacing w:line="360" w:lineRule="auto"/>
        <w:ind w:firstLine="562" w:firstLineChars="200"/>
        <w:rPr>
          <w:rFonts w:hint="eastAsia" w:ascii="宋体" w:hAnsi="宋体"/>
          <w:b/>
          <w:i/>
          <w:iCs/>
          <w:color w:val="auto"/>
          <w:spacing w:val="20"/>
          <w:u w:val="single"/>
        </w:rPr>
      </w:pPr>
      <w:r>
        <w:rPr>
          <w:rFonts w:hint="eastAsia" w:ascii="宋体" w:hAnsi="宋体"/>
          <w:b/>
          <w:i/>
          <w:iCs/>
          <w:color w:val="auto"/>
          <w:spacing w:val="20"/>
          <w:u w:val="single"/>
        </w:rPr>
        <w:t>交通银行可根据供应商个性化、差异化需求，通过网银、银企直联、柜面、交薪通平台等多元化渠道提供发薪服务，通过智慧记账实现应收账款与回款资金智能核销并可为销售人员提供回款资金入账短信通知服务。收款账户为交通银行对公账户的可开通数字人民币对公钱包，收款账户为个人账户的可开通数字人民币个人一类钱包。</w:t>
      </w:r>
    </w:p>
    <w:p w14:paraId="66B4ED8B">
      <w:pPr>
        <w:pStyle w:val="3"/>
        <w:rPr>
          <w:rFonts w:hint="eastAsia" w:ascii="宋体" w:hAnsi="宋体"/>
          <w:color w:val="auto"/>
          <w:szCs w:val="24"/>
          <w:lang w:val="en-US" w:eastAsia="zh-CN"/>
        </w:rPr>
      </w:pPr>
      <w:r>
        <w:rPr>
          <w:rFonts w:hint="eastAsia" w:ascii="宋体" w:hAnsi="宋体"/>
          <w:b/>
          <w:i/>
          <w:iCs/>
          <w:color w:val="auto"/>
          <w:spacing w:val="20"/>
          <w:u w:val="single"/>
        </w:rPr>
        <w:t>上述业务可咨询95559，供应商在交通银行开通账户或数字人民币钱包后，可自行在交通银行供应商门户网站中添加结算账户信息。</w:t>
      </w:r>
    </w:p>
    <w:p w14:paraId="1273355C"/>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lbertus Medium">
    <w:altName w:val="Segoe Print"/>
    <w:panose1 w:val="020B0604020202020204"/>
    <w:charset w:val="00"/>
    <w:family w:val="swiss"/>
    <w:pitch w:val="default"/>
    <w:sig w:usb0="00000000" w:usb1="00000000" w:usb2="00000000" w:usb3="00000000" w:csb0="00000093"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singleLevel"/>
    <w:tmpl w:val="CF092B84"/>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27B0E"/>
    <w:rsid w:val="439253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toc 2"/>
    <w:basedOn w:val="1"/>
    <w:next w:val="1"/>
    <w:qFormat/>
    <w:uiPriority w:val="0"/>
    <w:pPr>
      <w:tabs>
        <w:tab w:val="left" w:pos="1050"/>
        <w:tab w:val="right" w:leader="dot" w:pos="9020"/>
      </w:tabs>
      <w:spacing w:line="300" w:lineRule="auto"/>
      <w:ind w:left="420" w:leftChars="200"/>
    </w:pPr>
    <w:rPr>
      <w:sz w:val="21"/>
    </w:rPr>
  </w:style>
  <w:style w:type="paragraph" w:styleId="3">
    <w:name w:val="Normal Indent"/>
    <w:basedOn w:val="1"/>
    <w:qFormat/>
    <w:uiPriority w:val="0"/>
    <w:pPr>
      <w:ind w:firstLine="420"/>
    </w:pPr>
  </w:style>
  <w:style w:type="paragraph" w:styleId="4">
    <w:name w:val="Body Text"/>
    <w:basedOn w:val="1"/>
    <w:next w:val="5"/>
    <w:qFormat/>
    <w:uiPriority w:val="99"/>
    <w:pPr>
      <w:spacing w:line="360" w:lineRule="auto"/>
    </w:pPr>
  </w:style>
  <w:style w:type="paragraph" w:customStyle="1" w:styleId="5">
    <w:name w:val="目录 11"/>
    <w:next w:val="1"/>
    <w:qFormat/>
    <w:uiPriority w:val="0"/>
    <w:pPr>
      <w:wordWrap w:val="0"/>
      <w:jc w:val="both"/>
    </w:pPr>
    <w:rPr>
      <w:rFonts w:ascii="Times New Roman" w:hAnsi="Times New Roman" w:eastAsia="宋体" w:cs="Times New Roman"/>
      <w:sz w:val="21"/>
      <w:szCs w:val="22"/>
      <w:lang w:val="en-US" w:eastAsia="zh-CN" w:bidi="ar-SA"/>
    </w:rPr>
  </w:style>
  <w:style w:type="character" w:styleId="8">
    <w:name w:val="Hyperlink"/>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2120</Words>
  <Characters>2374</Characters>
  <Lines>0</Lines>
  <Paragraphs>0</Paragraphs>
  <TotalTime>0</TotalTime>
  <ScaleCrop>false</ScaleCrop>
  <LinksUpToDate>false</LinksUpToDate>
  <CharactersWithSpaces>2394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2025-12-10T10:59:00Z</dcterms:created>
  <dc:creator>61039</dc:creator>
  <cp:lastModifiedBy>CJ</cp:lastModifiedBy>
  <dcterms:modified xsi:type="dcterms:W3CDTF">2025-12-10T11:09:29Z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eyJoZGlkIjoiOTIxOGQwYTZhY2NjNDYyZTViMGI3YWM2OGI0YzczOTQiLCJ1c2VySWQiOiIxMzA1NDE2MDA1In0=</vt:lpwstr>
  </property>
  <property fmtid="{D5CDD505-2E9C-101B-9397-08002B2CF9AE}" pid="4" name="ICV">
    <vt:lpwstr>C3CEA8CC0DDD4A69BC02EF711AA949A0_12</vt:lpwstr>
  </property>
</Properties>
</file>