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彩虹小标宋" w:hAnsi="宋体" w:eastAsia="彩虹小标宋" w:cs="Times New Roman"/>
          <w:bCs/>
          <w:snapToGrid w:val="0"/>
          <w:kern w:val="0"/>
          <w:sz w:val="36"/>
          <w:szCs w:val="36"/>
        </w:rPr>
      </w:pPr>
      <w:r>
        <w:rPr>
          <w:rFonts w:hint="eastAsia" w:ascii="彩虹小标宋" w:hAnsi="宋体" w:eastAsia="彩虹小标宋" w:cs="Times New Roman"/>
          <w:bCs/>
          <w:snapToGrid w:val="0"/>
          <w:kern w:val="0"/>
          <w:sz w:val="36"/>
          <w:szCs w:val="36"/>
          <w:highlight w:val="yellow"/>
        </w:rPr>
        <w:t>公安</w:t>
      </w:r>
      <w:r>
        <w:rPr>
          <w:rFonts w:ascii="彩虹小标宋" w:hAnsi="宋体" w:eastAsia="彩虹小标宋" w:cs="Times New Roman"/>
          <w:bCs/>
          <w:snapToGrid w:val="0"/>
          <w:kern w:val="0"/>
          <w:sz w:val="36"/>
          <w:szCs w:val="36"/>
          <w:highlight w:val="yellow"/>
        </w:rPr>
        <w:t>110联网报警</w:t>
      </w:r>
      <w:r>
        <w:rPr>
          <w:rFonts w:hint="eastAsia" w:ascii="彩虹小标宋" w:hAnsi="宋体" w:eastAsia="彩虹小标宋" w:cs="Times New Roman"/>
          <w:bCs/>
          <w:snapToGrid w:val="0"/>
          <w:kern w:val="0"/>
          <w:sz w:val="36"/>
          <w:szCs w:val="36"/>
          <w:highlight w:val="yellow"/>
        </w:rPr>
        <w:t>、武装押运守库服务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exact"/>
        <w:rPr>
          <w:rStyle w:val="5"/>
          <w:rFonts w:ascii="彩虹粗仿宋" w:hAnsi="微软雅黑" w:eastAsia="彩虹粗仿宋"/>
          <w:sz w:val="32"/>
          <w:szCs w:val="32"/>
          <w:highlight w:val="none"/>
        </w:rPr>
      </w:pPr>
      <w:r>
        <w:rPr>
          <w:rStyle w:val="5"/>
          <w:rFonts w:hint="eastAsia" w:ascii="彩虹粗仿宋" w:hAnsi="微软雅黑" w:eastAsia="彩虹粗仿宋"/>
          <w:sz w:val="32"/>
          <w:szCs w:val="32"/>
        </w:rPr>
        <w:t xml:space="preserve">   （一</w:t>
      </w:r>
      <w:r>
        <w:rPr>
          <w:rStyle w:val="5"/>
          <w:rFonts w:hint="eastAsia" w:ascii="彩虹粗仿宋" w:hAnsi="微软雅黑" w:eastAsia="彩虹粗仿宋"/>
          <w:sz w:val="32"/>
          <w:szCs w:val="32"/>
          <w:highlight w:val="none"/>
        </w:rPr>
        <w:t>）具有独立法人资格，有效的营业执照，</w:t>
      </w:r>
      <w:r>
        <w:rPr>
          <w:rFonts w:hint="eastAsia" w:ascii="彩虹粗仿宋" w:eastAsia="彩虹粗仿宋"/>
          <w:sz w:val="32"/>
          <w:highlight w:val="none"/>
        </w:rPr>
        <w:t>以及公安机关颁发的具有武装守护、押运的保安服务许可证</w:t>
      </w:r>
      <w:r>
        <w:rPr>
          <w:rStyle w:val="5"/>
          <w:rFonts w:hint="eastAsia" w:ascii="彩虹粗仿宋" w:hAnsi="微软雅黑" w:eastAsia="彩虹粗仿宋"/>
          <w:sz w:val="32"/>
          <w:szCs w:val="32"/>
          <w:highlight w:val="none"/>
        </w:rPr>
        <w:t>。</w:t>
      </w:r>
    </w:p>
    <w:p>
      <w:pPr>
        <w:adjustRightInd w:val="0"/>
        <w:snapToGrid w:val="0"/>
        <w:spacing w:line="560" w:lineRule="exact"/>
        <w:rPr>
          <w:rStyle w:val="5"/>
          <w:rFonts w:ascii="彩虹粗仿宋" w:hAnsi="微软雅黑" w:eastAsia="彩虹粗仿宋"/>
          <w:sz w:val="32"/>
          <w:szCs w:val="32"/>
          <w:highlight w:val="none"/>
        </w:rPr>
      </w:pPr>
      <w:r>
        <w:rPr>
          <w:rStyle w:val="5"/>
          <w:rFonts w:hint="eastAsia" w:ascii="彩虹粗仿宋" w:hAnsi="微软雅黑" w:eastAsia="彩虹粗仿宋"/>
          <w:sz w:val="32"/>
          <w:szCs w:val="32"/>
          <w:highlight w:val="none"/>
        </w:rPr>
        <w:t xml:space="preserve">   （二）正常经营，财务状况良好，提供近三年（</w:t>
      </w:r>
      <w:r>
        <w:rPr>
          <w:rStyle w:val="5"/>
          <w:rFonts w:ascii="彩虹粗仿宋" w:hAnsi="微软雅黑" w:eastAsia="彩虹粗仿宋"/>
          <w:sz w:val="32"/>
          <w:szCs w:val="32"/>
          <w:highlight w:val="none"/>
        </w:rPr>
        <w:t>2</w:t>
      </w:r>
      <w:r>
        <w:rPr>
          <w:rStyle w:val="5"/>
          <w:rFonts w:hint="eastAsia" w:ascii="彩虹粗仿宋" w:hAnsi="微软雅黑" w:eastAsia="彩虹粗仿宋"/>
          <w:sz w:val="32"/>
          <w:szCs w:val="32"/>
          <w:highlight w:val="none"/>
          <w:lang w:val="en-US" w:eastAsia="zh-CN"/>
        </w:rPr>
        <w:t>0</w:t>
      </w:r>
      <w:r>
        <w:rPr>
          <w:rStyle w:val="5"/>
          <w:rFonts w:ascii="彩虹粗仿宋" w:hAnsi="微软雅黑" w:eastAsia="彩虹粗仿宋"/>
          <w:sz w:val="32"/>
          <w:szCs w:val="32"/>
          <w:highlight w:val="none"/>
        </w:rPr>
        <w:t>2</w:t>
      </w:r>
      <w:r>
        <w:rPr>
          <w:rStyle w:val="5"/>
          <w:rFonts w:hint="eastAsia" w:ascii="彩虹粗仿宋" w:hAnsi="微软雅黑" w:eastAsia="彩虹粗仿宋"/>
          <w:sz w:val="32"/>
          <w:szCs w:val="32"/>
          <w:highlight w:val="none"/>
          <w:lang w:val="en-US" w:eastAsia="zh-CN"/>
        </w:rPr>
        <w:t>0</w:t>
      </w:r>
      <w:r>
        <w:rPr>
          <w:rStyle w:val="5"/>
          <w:rFonts w:ascii="彩虹粗仿宋" w:hAnsi="微软雅黑" w:eastAsia="彩虹粗仿宋"/>
          <w:sz w:val="32"/>
          <w:szCs w:val="32"/>
          <w:highlight w:val="none"/>
        </w:rPr>
        <w:t>年-202</w:t>
      </w:r>
      <w:r>
        <w:rPr>
          <w:rStyle w:val="5"/>
          <w:rFonts w:hint="eastAsia" w:ascii="彩虹粗仿宋" w:hAnsi="微软雅黑" w:eastAsia="彩虹粗仿宋"/>
          <w:sz w:val="32"/>
          <w:szCs w:val="32"/>
          <w:highlight w:val="none"/>
          <w:lang w:val="en-US" w:eastAsia="zh-CN"/>
        </w:rPr>
        <w:t>2</w:t>
      </w:r>
      <w:r>
        <w:rPr>
          <w:rStyle w:val="5"/>
          <w:rFonts w:ascii="彩虹粗仿宋" w:hAnsi="微软雅黑" w:eastAsia="彩虹粗仿宋"/>
          <w:sz w:val="32"/>
          <w:szCs w:val="32"/>
          <w:highlight w:val="none"/>
        </w:rPr>
        <w:t>年）的经审计的财务报告或财务报表</w:t>
      </w:r>
      <w:r>
        <w:rPr>
          <w:rStyle w:val="5"/>
          <w:rFonts w:hint="eastAsia" w:ascii="彩虹粗仿宋" w:hAnsi="微软雅黑" w:eastAsia="彩虹粗仿宋"/>
          <w:sz w:val="32"/>
          <w:szCs w:val="32"/>
          <w:highlight w:val="none"/>
        </w:rPr>
        <w:t>（新成立企业从成立之日起算，若企业成立不足一年，须提供基本户银行出具的资信证明）。</w:t>
      </w:r>
    </w:p>
    <w:p>
      <w:pPr>
        <w:adjustRightInd w:val="0"/>
        <w:snapToGrid w:val="0"/>
        <w:spacing w:line="560" w:lineRule="exact"/>
        <w:ind w:firstLine="640" w:firstLineChars="200"/>
        <w:rPr>
          <w:rStyle w:val="5"/>
          <w:rFonts w:ascii="彩虹粗仿宋" w:hAnsi="微软雅黑" w:eastAsia="彩虹粗仿宋"/>
          <w:sz w:val="32"/>
          <w:szCs w:val="32"/>
        </w:rPr>
      </w:pPr>
      <w:r>
        <w:rPr>
          <w:rStyle w:val="5"/>
          <w:rFonts w:hint="eastAsia" w:ascii="彩虹粗仿宋" w:hAnsi="微软雅黑" w:eastAsia="彩虹粗仿宋"/>
          <w:sz w:val="32"/>
          <w:szCs w:val="32"/>
          <w:highlight w:val="none"/>
        </w:rPr>
        <w:t>（三）供应商当前未被“信用中国”网站列入重大税收违法失信主体（https://www.creditchina.gov.cn/xinyongfuwu/zhongdashuishouweifaanj</w:t>
      </w:r>
      <w:r>
        <w:rPr>
          <w:rStyle w:val="5"/>
          <w:rFonts w:hint="eastAsia" w:ascii="彩虹粗仿宋" w:hAnsi="微软雅黑" w:eastAsia="彩虹粗仿宋"/>
          <w:sz w:val="32"/>
          <w:szCs w:val="32"/>
        </w:rPr>
        <w:t>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rPr>
          <w:rStyle w:val="5"/>
          <w:rFonts w:ascii="彩虹粗仿宋" w:hAnsi="微软雅黑" w:eastAsia="彩虹粗仿宋"/>
          <w:sz w:val="32"/>
          <w:szCs w:val="32"/>
          <w:highlight w:val="none"/>
        </w:rPr>
      </w:pPr>
      <w:r>
        <w:rPr>
          <w:rStyle w:val="5"/>
          <w:rFonts w:hint="eastAsia" w:ascii="彩虹粗仿宋" w:hAnsi="微软雅黑" w:eastAsia="彩虹粗仿宋"/>
          <w:sz w:val="32"/>
          <w:szCs w:val="32"/>
        </w:rPr>
        <w:t xml:space="preserve">   （四</w:t>
      </w:r>
      <w:r>
        <w:rPr>
          <w:rStyle w:val="5"/>
          <w:rFonts w:hint="eastAsia" w:ascii="彩虹粗仿宋" w:hAnsi="微软雅黑" w:eastAsia="彩虹粗仿宋"/>
          <w:sz w:val="32"/>
          <w:szCs w:val="32"/>
          <w:highlight w:val="none"/>
        </w:rPr>
        <w:t>）202</w:t>
      </w:r>
      <w:r>
        <w:rPr>
          <w:rStyle w:val="5"/>
          <w:rFonts w:hint="eastAsia" w:ascii="彩虹粗仿宋" w:hAnsi="微软雅黑" w:eastAsia="彩虹粗仿宋"/>
          <w:sz w:val="32"/>
          <w:szCs w:val="32"/>
          <w:highlight w:val="none"/>
          <w:lang w:val="en-US" w:eastAsia="zh-CN"/>
        </w:rPr>
        <w:t>1</w:t>
      </w:r>
      <w:r>
        <w:rPr>
          <w:rStyle w:val="5"/>
          <w:rFonts w:hint="eastAsia" w:ascii="彩虹粗仿宋" w:hAnsi="微软雅黑" w:eastAsia="彩虹粗仿宋"/>
          <w:sz w:val="32"/>
          <w:szCs w:val="32"/>
          <w:highlight w:val="none"/>
        </w:rPr>
        <w:t>年1月1日以来具有</w:t>
      </w:r>
      <w:bookmarkStart w:id="0" w:name="_GoBack"/>
      <w:r>
        <w:rPr>
          <w:rStyle w:val="5"/>
          <w:rFonts w:ascii="彩虹粗仿宋" w:hAnsi="微软雅黑" w:eastAsia="彩虹粗仿宋"/>
          <w:sz w:val="32"/>
          <w:szCs w:val="32"/>
          <w:highlight w:val="none"/>
        </w:rPr>
        <w:t>110报警</w:t>
      </w:r>
      <w:r>
        <w:rPr>
          <w:rStyle w:val="5"/>
          <w:rFonts w:hint="eastAsia" w:ascii="彩虹粗仿宋" w:hAnsi="微软雅黑" w:eastAsia="彩虹粗仿宋"/>
          <w:sz w:val="32"/>
          <w:szCs w:val="32"/>
          <w:highlight w:val="none"/>
        </w:rPr>
        <w:t>、</w:t>
      </w:r>
      <w:r>
        <w:rPr>
          <w:rStyle w:val="5"/>
          <w:rFonts w:ascii="彩虹粗仿宋" w:hAnsi="微软雅黑" w:eastAsia="彩虹粗仿宋"/>
          <w:sz w:val="32"/>
          <w:szCs w:val="32"/>
          <w:highlight w:val="none"/>
        </w:rPr>
        <w:t>武装押运同类项目经验</w:t>
      </w:r>
      <w:bookmarkEnd w:id="0"/>
      <w:r>
        <w:rPr>
          <w:rStyle w:val="5"/>
          <w:rFonts w:ascii="彩虹粗仿宋" w:hAnsi="微软雅黑" w:eastAsia="彩虹粗仿宋"/>
          <w:sz w:val="32"/>
          <w:szCs w:val="32"/>
          <w:highlight w:val="none"/>
        </w:rPr>
        <w:t>（提供合同）。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highlight w:val="none"/>
        </w:rPr>
        <w:t>（五）本项</w:t>
      </w:r>
      <w:r>
        <w:rPr>
          <w:rFonts w:hint="eastAsia" w:ascii="彩虹粗仿宋" w:eastAsia="彩虹粗仿宋"/>
          <w:sz w:val="32"/>
        </w:rPr>
        <w:t>目不允许联合体投标，不允许分包或转包。</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监控报警专线服务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C130301</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C2101</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武装守护服务（守押）</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焦作市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按照合同约定报警设备巡检维修维护及时，确保守护目标的安全。</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彩虹粗仿宋" w:eastAsia="彩虹粗仿宋" w:cs="彩虹粗仿宋"/>
          <w:sz w:val="32"/>
          <w:szCs w:val="32"/>
        </w:rPr>
        <w:t>2.</w:t>
      </w:r>
      <w:r>
        <w:rPr>
          <w:rFonts w:hint="eastAsia" w:ascii="彩虹粗仿宋" w:hAnsi="微软雅黑" w:eastAsia="彩虹粗仿宋" w:cs="宋体"/>
          <w:kern w:val="0"/>
          <w:sz w:val="32"/>
          <w:szCs w:val="32"/>
        </w:rPr>
        <w:t xml:space="preserve"> 本次集中采购项目为焦作分行32个营业网点、</w:t>
      </w:r>
      <w:r>
        <w:rPr>
          <w:rFonts w:hint="eastAsia" w:ascii="彩虹粗仿宋" w:hAnsi="微软雅黑" w:eastAsia="彩虹粗仿宋" w:cs="宋体"/>
          <w:kern w:val="0"/>
          <w:sz w:val="32"/>
          <w:szCs w:val="32"/>
          <w:highlight w:val="yellow"/>
          <w:lang w:val="en-US" w:eastAsia="zh-CN"/>
        </w:rPr>
        <w:t>28</w:t>
      </w:r>
      <w:r>
        <w:rPr>
          <w:rFonts w:hint="eastAsia" w:ascii="彩虹粗仿宋" w:hAnsi="微软雅黑" w:eastAsia="彩虹粗仿宋" w:cs="宋体"/>
          <w:kern w:val="0"/>
          <w:sz w:val="32"/>
          <w:szCs w:val="32"/>
        </w:rPr>
        <w:t>个离行式自助银行的武装押运、1座金库武装守护服务</w:t>
      </w:r>
      <w:r>
        <w:rPr>
          <w:rFonts w:hint="eastAsia" w:ascii="彩虹粗仿宋" w:hAnsi="Calibri" w:eastAsia="彩虹粗仿宋" w:cs="宋体"/>
          <w:kern w:val="0"/>
          <w:sz w:val="32"/>
          <w:szCs w:val="32"/>
        </w:rPr>
        <w:t>。</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宋体" w:eastAsia="彩虹粗仿宋" w:cs="Courier New"/>
          <w:sz w:val="32"/>
          <w:szCs w:val="32"/>
        </w:rPr>
        <w:t>注：业务点（是指营业场所、自助设备、上门服务点、金库）的早、晚营业尾款箱（包）接送；业务点营业期间提缴现金；业务点配送外币、实物黄金;离行式自助（设备）银行收、送现金;我行客户上门收、送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（一）符合《保安服务管理条例》的要求，有当地公安部门认可的110报警入网许可服务，开展110联网报警服务3年以上，在当地服务于大多数金融机构；</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彩虹粗仿宋" w:eastAsia="彩虹粗仿宋" w:cs="彩虹粗仿宋"/>
          <w:kern w:val="0"/>
          <w:sz w:val="32"/>
          <w:szCs w:val="32"/>
        </w:rPr>
        <w:t>（二）</w:t>
      </w:r>
      <w:r>
        <w:rPr>
          <w:rFonts w:hint="eastAsia" w:ascii="彩虹粗仿宋" w:hAnsi="微软雅黑" w:eastAsia="彩虹粗仿宋" w:cs="宋体"/>
          <w:kern w:val="0"/>
          <w:sz w:val="32"/>
          <w:szCs w:val="32"/>
        </w:rPr>
        <w:t>服务人员经过专业培训，符合武装守护要求，持证上岗；具体数量： 11台制式押运车组，每车组不低于5人（含2名押运人员、2名款箱员和1名司机）；金库守护保持2名武装人员24小时在岗；</w:t>
      </w:r>
      <w:r>
        <w:rPr>
          <w:rFonts w:ascii="彩虹粗仿宋" w:hAnsi="微软雅黑" w:eastAsia="彩虹粗仿宋" w:cs="宋体"/>
          <w:kern w:val="0"/>
          <w:sz w:val="32"/>
          <w:szCs w:val="32"/>
        </w:rPr>
        <w:t xml:space="preserve"> </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（三）供应商有专门联系人，服务人员经过专业培训；</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（五）供应商承诺为我行服务人员提供营运期间的支持保障及应急工作；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（六）具备一定的专业技能，能正确处理服务中出现的各种情况并进行有效处置。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宋体" w:eastAsia="彩虹粗仿宋" w:cs="Courier New"/>
          <w:sz w:val="32"/>
          <w:szCs w:val="32"/>
        </w:rPr>
        <w:t>供应商配备必要的制式押运车辆、枪械和钞币运送人员。</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r>
        <w:rPr>
          <w:rFonts w:hint="eastAsia" w:ascii="彩虹粗仿宋" w:hAnsi="宋体" w:eastAsia="彩虹粗仿宋" w:cs="Courier New"/>
          <w:sz w:val="32"/>
          <w:szCs w:val="32"/>
        </w:rPr>
        <w:t>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8.供应商派驻的服务人员未经允许，不得进入我方营业柜台等场所，不得以任何手段窃取、泄漏我方商业机密，不得干涉我方的正常经营。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9.专用运钞车内应按规定安装报警、电视监控、通讯器材、配备必要消防器材。</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宋体" w:eastAsia="彩虹粗仿宋" w:cs="Courier New"/>
          <w:sz w:val="32"/>
          <w:szCs w:val="32"/>
        </w:rPr>
        <w:t>10.</w:t>
      </w:r>
      <w:r>
        <w:rPr>
          <w:rFonts w:hint="eastAsia" w:ascii="彩虹粗仿宋" w:hAnsi="宋体" w:eastAsia="彩虹粗仿宋" w:cs="Times New Roman"/>
          <w:snapToGrid w:val="0"/>
          <w:kern w:val="0"/>
          <w:sz w:val="32"/>
          <w:szCs w:val="32"/>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（4）钞币运送和守护业务应按规程操作。</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（5）定期对外包服务进行检查，每季度至少开展一次检查，每季度召开一次联席会，对检查发现问题及时通报供应商，限期整改和落实，每年度结束后形成年度评估报告。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（6）服务监督管理实行“对事不对人”，供应商负责服务人员的招聘、管理、考核、薪酬发放等工作，我行负责监督检查外包公司服务的数量、质量、应急处置。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公司按照报警联网设备合同的约定对我行各</w:t>
      </w:r>
      <w:r>
        <w:rPr>
          <w:rFonts w:hint="eastAsia" w:ascii="彩虹粗仿宋" w:hAnsi="彩虹粗仿宋" w:eastAsia="彩虹粗仿宋" w:cs="彩虹粗仿宋"/>
          <w:color w:val="000000" w:themeColor="text1"/>
          <w:sz w:val="32"/>
          <w:szCs w:val="32"/>
          <w14:textFill>
            <w14:solidFill>
              <w14:schemeClr w14:val="tx1"/>
            </w14:solidFill>
          </w14:textFill>
        </w:rPr>
        <w:t>地区辖内报警服务点（含网点、自助、金库、档案库房等）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六）押运人员执勤的工作时间与网点营业时间保持一致，接受我行的安全业务检查，每人每周工作时间符合国家法定工作时间。押运费用由我行与保安公司按照合同约定进行支付。押运的物品包括现金、重要凭证、有价证券以及黄金、贵金属等。</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（七）金库守护服务设置</w:t>
      </w:r>
      <w:r>
        <w:rPr>
          <w:rFonts w:hint="eastAsia" w:ascii="彩虹粗仿宋" w:hAnsi="宋体" w:eastAsia="彩虹粗仿宋" w:cs="Times New Roman"/>
          <w:snapToGrid w:val="0"/>
          <w:kern w:val="0"/>
          <w:sz w:val="32"/>
          <w:szCs w:val="32"/>
          <w:lang w:val="en-US" w:eastAsia="zh-CN"/>
        </w:rPr>
        <w:t>8</w:t>
      </w:r>
      <w:r>
        <w:rPr>
          <w:rFonts w:hint="eastAsia" w:ascii="彩虹粗仿宋" w:hAnsi="宋体" w:eastAsia="彩虹粗仿宋" w:cs="Times New Roman"/>
          <w:snapToGrid w:val="0"/>
          <w:kern w:val="0"/>
          <w:sz w:val="32"/>
          <w:szCs w:val="32"/>
        </w:rPr>
        <w:t>个岗，24小时值守。</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adjustRightInd w:val="0"/>
        <w:snapToGrid w:val="0"/>
        <w:spacing w:line="560" w:lineRule="exact"/>
        <w:ind w:firstLine="640" w:firstLineChars="200"/>
        <w:rPr>
          <w:rFonts w:ascii="彩虹粗仿宋" w:hAnsi="宋体" w:eastAsia="彩虹粗仿宋" w:cs="Times New Roman"/>
          <w:sz w:val="32"/>
          <w:szCs w:val="32"/>
        </w:rPr>
      </w:pPr>
      <w:r>
        <w:rPr>
          <w:rFonts w:hint="eastAsia" w:ascii="彩虹粗仿宋" w:hAnsi="宋体" w:eastAsia="彩虹粗仿宋" w:cs="Times New Roman"/>
          <w:sz w:val="32"/>
          <w:szCs w:val="32"/>
        </w:rPr>
        <w:t>（一）共需求11台押运车组</w:t>
      </w:r>
      <w:r>
        <w:rPr>
          <w:rFonts w:hint="eastAsia" w:ascii="彩虹粗仿宋" w:hAnsi="Calibri" w:eastAsia="彩虹粗仿宋" w:cs="Times New Roman"/>
          <w:sz w:val="32"/>
          <w:szCs w:val="32"/>
        </w:rPr>
        <w:t>负责焦作分行押运事宜</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w:t>
      </w:r>
      <w:r>
        <w:rPr>
          <w:rFonts w:hint="eastAsia" w:ascii="彩虹粗仿宋" w:hAnsi="宋体" w:eastAsia="彩虹粗仿宋" w:cs="Times New Roman"/>
          <w:snapToGrid w:val="0"/>
          <w:kern w:val="0"/>
          <w:sz w:val="32"/>
          <w:szCs w:val="32"/>
          <w:lang w:eastAsia="zh-CN"/>
        </w:rPr>
        <w:t>二</w:t>
      </w:r>
      <w:r>
        <w:rPr>
          <w:rFonts w:hint="eastAsia" w:ascii="彩虹粗仿宋" w:hAnsi="宋体" w:eastAsia="彩虹粗仿宋" w:cs="Times New Roman"/>
          <w:snapToGrid w:val="0"/>
          <w:kern w:val="0"/>
          <w:sz w:val="32"/>
          <w:szCs w:val="32"/>
        </w:rPr>
        <w:t>）金库守护服务设置</w:t>
      </w:r>
      <w:r>
        <w:rPr>
          <w:rFonts w:hint="eastAsia" w:ascii="彩虹粗仿宋" w:hAnsi="宋体" w:eastAsia="彩虹粗仿宋" w:cs="Times New Roman"/>
          <w:snapToGrid w:val="0"/>
          <w:kern w:val="0"/>
          <w:sz w:val="32"/>
          <w:szCs w:val="32"/>
          <w:lang w:val="en-US" w:eastAsia="zh-CN"/>
        </w:rPr>
        <w:t>8</w:t>
      </w:r>
      <w:r>
        <w:rPr>
          <w:rFonts w:hint="eastAsia" w:ascii="彩虹粗仿宋" w:hAnsi="宋体" w:eastAsia="彩虹粗仿宋" w:cs="Times New Roman"/>
          <w:snapToGrid w:val="0"/>
          <w:kern w:val="0"/>
          <w:sz w:val="32"/>
          <w:szCs w:val="32"/>
        </w:rPr>
        <w:t>个岗，24小时值守。</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ascii="彩虹粗仿宋" w:hAnsi="微软雅黑" w:eastAsia="彩虹粗仿宋" w:cs="宋体"/>
          <w:kern w:val="0"/>
          <w:sz w:val="32"/>
          <w:szCs w:val="32"/>
        </w:rPr>
        <w:t>根据每月考核结果</w:t>
      </w:r>
      <w:r>
        <w:rPr>
          <w:rFonts w:hint="eastAsia" w:ascii="彩虹粗仿宋" w:hAnsi="微软雅黑" w:eastAsia="彩虹粗仿宋" w:cs="宋体"/>
          <w:kern w:val="0"/>
          <w:sz w:val="32"/>
          <w:szCs w:val="32"/>
        </w:rPr>
        <w:t>为“合格”根据</w:t>
      </w:r>
      <w:r>
        <w:rPr>
          <w:rFonts w:ascii="彩虹粗仿宋" w:hAnsi="微软雅黑" w:eastAsia="彩虹粗仿宋" w:cs="宋体"/>
          <w:kern w:val="0"/>
          <w:sz w:val="32"/>
          <w:szCs w:val="32"/>
        </w:rPr>
        <w:t>出具的增值税专用发票</w:t>
      </w:r>
      <w:r>
        <w:rPr>
          <w:rFonts w:hint="eastAsia" w:ascii="彩虹粗仿宋" w:hAnsi="微软雅黑" w:eastAsia="彩虹粗仿宋" w:cs="宋体"/>
          <w:kern w:val="0"/>
          <w:sz w:val="32"/>
          <w:szCs w:val="32"/>
        </w:rPr>
        <w:t>付款，考核结果为“不合格”扣除考核款项后付款。</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武装押运守库服务完成后，提供符合我行账务处理要求的增值税专用发票，经使用单位确认，无遗留问题，根据服务情况和考核结果，将上月度服务费用转入供应商指定银行账户，如遇增加或减少服务数量,按实际情况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1.110联网报警：按照每点每月报含税单价和总价,每点每月预算不超270元，超过预算为无效报价。</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 押运守库：按单个车组报含税单价和一年期含税总价，超过预算为无效报价，单个车组年费用不超过43.21万元，年度费用不超过475.4万元，守库人员</w:t>
      </w:r>
      <w:r>
        <w:rPr>
          <w:rFonts w:hint="eastAsia" w:ascii="彩虹粗仿宋" w:hAnsi="宋体" w:eastAsia="彩虹粗仿宋" w:cs="Times New Roman"/>
          <w:snapToGrid w:val="0"/>
          <w:kern w:val="0"/>
          <w:sz w:val="32"/>
          <w:szCs w:val="32"/>
          <w:lang w:eastAsia="zh-CN"/>
        </w:rPr>
        <w:t>每岗每月服务费不超过</w:t>
      </w:r>
      <w:r>
        <w:rPr>
          <w:rFonts w:hint="eastAsia" w:ascii="彩虹粗仿宋" w:hAnsi="宋体" w:eastAsia="彩虹粗仿宋" w:cs="Times New Roman"/>
          <w:snapToGrid w:val="0"/>
          <w:kern w:val="0"/>
          <w:sz w:val="32"/>
          <w:szCs w:val="32"/>
          <w:lang w:val="en-US" w:eastAsia="zh-CN"/>
        </w:rPr>
        <w:t>3645.8元，</w:t>
      </w:r>
      <w:r>
        <w:rPr>
          <w:rFonts w:hint="eastAsia" w:ascii="彩虹粗仿宋" w:hAnsi="宋体" w:eastAsia="彩虹粗仿宋" w:cs="Times New Roman"/>
          <w:snapToGrid w:val="0"/>
          <w:kern w:val="0"/>
          <w:sz w:val="32"/>
          <w:szCs w:val="32"/>
        </w:rPr>
        <w:t>年度费用不超过35万元</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widowControl/>
        <w:ind w:firstLine="640" w:firstLineChars="200"/>
        <w:jc w:val="left"/>
        <w:rPr>
          <w:rFonts w:ascii="彩虹小标宋" w:hAnsi="彩虹小标宋" w:eastAsia="彩虹小标宋" w:cs="彩虹小标宋"/>
          <w:sz w:val="44"/>
          <w:szCs w:val="44"/>
          <w:highlight w:val="yellow"/>
        </w:rPr>
      </w:pPr>
      <w:r>
        <w:rPr>
          <w:rFonts w:hint="eastAsia" w:ascii="彩虹粗仿宋" w:hAnsi="宋体" w:eastAsia="彩虹粗仿宋" w:cs="Times New Roman"/>
          <w:snapToGrid w:val="0"/>
          <w:kern w:val="0"/>
          <w:sz w:val="32"/>
          <w:szCs w:val="32"/>
        </w:rPr>
        <w:t>未经采购方允许，供应商不得将本项目采购内容及项目以任何方式进行转包。</w:t>
      </w:r>
      <w:r>
        <w:rPr>
          <w:rFonts w:ascii="彩虹小标宋" w:hAnsi="彩虹小标宋" w:eastAsia="彩虹小标宋" w:cs="彩虹小标宋"/>
          <w:sz w:val="44"/>
          <w:szCs w:val="44"/>
          <w:highlight w:val="yellow"/>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05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2024-05-23T01:50:37Z</dcterms:created>
  <dc:creator>haccb</dc:creator>
  <cp:lastModifiedBy>haccb</cp:lastModifiedBy>
  <dcterms:modified xsi:type="dcterms:W3CDTF">2024-05-23T01:52:55Z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BDC70A25620C4493AD3211E4E75E6075_12</vt:lpwstr>
  </property>
</Properties>
</file>