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FFDFC">
      <w:pPr>
        <w:tabs>
          <w:tab w:val="right" w:leader="dot" w:pos="8296"/>
        </w:tabs>
        <w:spacing w:line="360" w:lineRule="auto"/>
        <w:jc w:val="center"/>
        <w:outlineLvl w:val="0"/>
        <w:rPr>
          <w:rFonts w:hint="eastAsia" w:ascii="仿宋" w:hAnsi="仿宋" w:eastAsia="仿宋" w:cs="仿宋"/>
          <w:b/>
          <w:color w:val="auto"/>
          <w:kern w:val="44"/>
          <w:sz w:val="32"/>
          <w:szCs w:val="24"/>
          <w:highlight w:val="none"/>
          <w:lang w:eastAsia="zh-CN"/>
        </w:rPr>
      </w:pPr>
      <w:bookmarkStart w:id="141" w:name="_GoBack"/>
      <w:r>
        <w:rPr>
          <w:rFonts w:hint="eastAsia" w:ascii="仿宋" w:hAnsi="仿宋" w:eastAsia="仿宋" w:cs="仿宋"/>
          <w:b/>
          <w:color w:val="auto"/>
          <w:kern w:val="44"/>
          <w:sz w:val="32"/>
          <w:szCs w:val="24"/>
          <w:highlight w:val="none"/>
          <w:lang w:eastAsia="zh-CN"/>
        </w:rPr>
        <w:t>交通银行四川省分行现金清分、自助设备装填现金业务外包项目</w:t>
      </w:r>
    </w:p>
    <w:p w14:paraId="144E6531">
      <w:pPr>
        <w:tabs>
          <w:tab w:val="right" w:leader="dot" w:pos="8296"/>
        </w:tabs>
        <w:spacing w:line="360" w:lineRule="auto"/>
        <w:jc w:val="center"/>
        <w:outlineLvl w:val="0"/>
        <w:rPr>
          <w:rFonts w:hint="eastAsia" w:ascii="仿宋" w:hAnsi="仿宋" w:eastAsia="仿宋" w:cs="仿宋"/>
          <w:b/>
          <w:color w:val="auto"/>
          <w:kern w:val="44"/>
          <w:sz w:val="28"/>
          <w:szCs w:val="22"/>
          <w:highlight w:val="none"/>
        </w:rPr>
      </w:pPr>
      <w:r>
        <w:rPr>
          <w:rFonts w:hint="eastAsia" w:ascii="仿宋" w:hAnsi="仿宋" w:eastAsia="仿宋" w:cs="仿宋"/>
          <w:b/>
          <w:color w:val="auto"/>
          <w:kern w:val="44"/>
          <w:sz w:val="32"/>
          <w:szCs w:val="24"/>
          <w:highlight w:val="none"/>
        </w:rPr>
        <w:t>招标公告</w:t>
      </w:r>
      <w:bookmarkEnd w:id="141"/>
    </w:p>
    <w:p w14:paraId="5118C6C4">
      <w:pPr>
        <w:pStyle w:val="2"/>
        <w:pageBreakBefore w:val="0"/>
        <w:kinsoku/>
        <w:overflowPunct/>
        <w:topLinePunct w:val="0"/>
        <w:autoSpaceDE/>
        <w:autoSpaceDN/>
        <w:bidi w:val="0"/>
        <w:spacing w:line="440" w:lineRule="exact"/>
        <w:rPr>
          <w:rFonts w:hint="eastAsia" w:ascii="仿宋" w:hAnsi="仿宋" w:cs="仿宋"/>
          <w:bCs/>
          <w:color w:val="auto"/>
          <w:szCs w:val="24"/>
          <w:highlight w:val="none"/>
        </w:rPr>
      </w:pPr>
      <w:bookmarkStart w:id="0" w:name="_Toc24950"/>
      <w:bookmarkStart w:id="1" w:name="_Toc10131"/>
      <w:bookmarkStart w:id="2" w:name="_Toc25200"/>
      <w:bookmarkStart w:id="3" w:name="_Toc32765"/>
      <w:bookmarkStart w:id="4" w:name="_Toc12630"/>
      <w:bookmarkStart w:id="5" w:name="_Toc14306"/>
      <w:bookmarkStart w:id="6" w:name="_Toc25876"/>
      <w:bookmarkStart w:id="7" w:name="_Toc21997"/>
      <w:bookmarkStart w:id="8" w:name="_Toc26871"/>
      <w:bookmarkStart w:id="9" w:name="_Toc30031"/>
      <w:bookmarkStart w:id="10" w:name="_Toc5100"/>
      <w:bookmarkStart w:id="11" w:name="_Toc6411"/>
      <w:bookmarkStart w:id="12" w:name="_Toc18130"/>
      <w:bookmarkStart w:id="13" w:name="_Toc10019"/>
      <w:bookmarkStart w:id="14" w:name="_Toc14493"/>
      <w:bookmarkStart w:id="15" w:name="_Toc24235"/>
      <w:bookmarkStart w:id="16" w:name="_Toc29080"/>
      <w:bookmarkStart w:id="17" w:name="_Toc20284"/>
      <w:bookmarkStart w:id="18" w:name="_Toc19382"/>
      <w:r>
        <w:rPr>
          <w:rFonts w:hint="eastAsia" w:ascii="仿宋" w:hAnsi="仿宋" w:cs="仿宋"/>
          <w:bCs/>
          <w:color w:val="auto"/>
          <w:szCs w:val="24"/>
          <w:highlight w:val="none"/>
        </w:rPr>
        <w:t>一、</w:t>
      </w:r>
      <w:bookmarkEnd w:id="0"/>
      <w:bookmarkEnd w:id="1"/>
      <w:bookmarkEnd w:id="2"/>
      <w:r>
        <w:rPr>
          <w:rFonts w:hint="eastAsia" w:ascii="仿宋" w:hAnsi="仿宋" w:cs="仿宋"/>
          <w:bCs/>
          <w:color w:val="auto"/>
          <w:szCs w:val="24"/>
          <w:highlight w:val="none"/>
        </w:rPr>
        <w:t>招标条件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</w:p>
    <w:p w14:paraId="62C18519">
      <w:pPr>
        <w:pageBreakBefore w:val="0"/>
        <w:kinsoku/>
        <w:wordWrap w:val="0"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bCs/>
          <w:color w:val="auto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本招标项目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eastAsia="zh-CN"/>
        </w:rPr>
        <w:t>交通银行四川省分行现金清分、自助设备装填现金业务外包项目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（招标编号：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03-08-04A-2025-D-F-E29742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；交通银行编号：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CGXM51199925110002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）已由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>交通银行股份有限公司四川省分行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（以下简称“招标人”）批准并落实资金，现委托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>公诚管理咨询有限公司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（以下简称“招标代理机构”）进行公开招标，有意向且具有提供标的物能力的潜在投标人（以下简称“投标人”）可前来投标。</w:t>
      </w:r>
    </w:p>
    <w:p w14:paraId="0B7B0EF6">
      <w:pPr>
        <w:pStyle w:val="2"/>
        <w:pageBreakBefore w:val="0"/>
        <w:kinsoku/>
        <w:overflowPunct/>
        <w:topLinePunct w:val="0"/>
        <w:autoSpaceDE/>
        <w:autoSpaceDN/>
        <w:bidi w:val="0"/>
        <w:spacing w:line="440" w:lineRule="exact"/>
        <w:rPr>
          <w:rFonts w:hint="eastAsia" w:ascii="仿宋" w:hAnsi="仿宋" w:cs="仿宋"/>
          <w:bCs/>
          <w:color w:val="auto"/>
          <w:szCs w:val="24"/>
          <w:highlight w:val="none"/>
        </w:rPr>
      </w:pPr>
      <w:bookmarkStart w:id="19" w:name="_Toc946"/>
      <w:bookmarkStart w:id="20" w:name="_Toc31126"/>
      <w:bookmarkStart w:id="21" w:name="_Toc32294"/>
      <w:bookmarkStart w:id="22" w:name="_Toc23073"/>
      <w:bookmarkStart w:id="23" w:name="_Toc8764"/>
      <w:bookmarkStart w:id="24" w:name="_Toc1418"/>
      <w:bookmarkStart w:id="25" w:name="_Toc1990"/>
      <w:bookmarkStart w:id="26" w:name="_Toc12611"/>
      <w:bookmarkStart w:id="27" w:name="_Toc24757"/>
      <w:bookmarkStart w:id="28" w:name="_Toc19886"/>
      <w:bookmarkStart w:id="29" w:name="_Toc29028"/>
      <w:bookmarkStart w:id="30" w:name="_Toc22010"/>
      <w:bookmarkStart w:id="31" w:name="_Toc31696"/>
      <w:bookmarkStart w:id="32" w:name="_Toc31570"/>
      <w:bookmarkStart w:id="33" w:name="_Toc2911"/>
      <w:bookmarkStart w:id="34" w:name="_Toc20228"/>
      <w:r>
        <w:rPr>
          <w:rFonts w:hint="eastAsia" w:ascii="仿宋" w:hAnsi="仿宋" w:cs="仿宋"/>
          <w:bCs/>
          <w:color w:val="auto"/>
          <w:szCs w:val="24"/>
          <w:highlight w:val="none"/>
        </w:rPr>
        <w:t>二、项目概况与招标</w:t>
      </w:r>
      <w:bookmarkEnd w:id="19"/>
      <w:bookmarkEnd w:id="20"/>
      <w:bookmarkEnd w:id="21"/>
      <w:r>
        <w:rPr>
          <w:rFonts w:hint="eastAsia" w:ascii="仿宋" w:hAnsi="仿宋" w:cs="仿宋"/>
          <w:bCs/>
          <w:color w:val="auto"/>
          <w:szCs w:val="24"/>
          <w:highlight w:val="none"/>
        </w:rPr>
        <w:t>范围</w:t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14:paraId="0F2D1EF2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bookmarkStart w:id="35" w:name="_Toc14903"/>
      <w:bookmarkStart w:id="36" w:name="_Toc389"/>
      <w:bookmarkStart w:id="37" w:name="_Toc1857"/>
      <w:bookmarkStart w:id="38" w:name="_Toc31816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2.1项目名称：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交通银行四川省分行现金清分、自助设备装填现金业务外包项目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029F31CD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2.2招标范围：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本项目拟通过公开招标方式确定1家供应商，对交通银行四川省分行本部基层营业机构、上门收款、自助设备等渠道收入的现金集中后台进行统一的清分整点。对每天的人民币、外币现金进行清分处理，包括面额和套别区分、真假币鉴别、数量统计、按照人民银行颁布的钞票流通标准进行质量分类；自助设备进行现金的装填；开启及关闭自助设备钞箱；自助设备钞箱装袋；核对自助设备钞箱数量等外包服务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，具体内容详见招标文件第五章。</w:t>
      </w:r>
    </w:p>
    <w:p w14:paraId="02E7470B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2.3标段划分：本项目不划分标段。</w:t>
      </w:r>
    </w:p>
    <w:p w14:paraId="62DB476E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2.4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采购有效期及合同期限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3年。</w:t>
      </w:r>
    </w:p>
    <w:p w14:paraId="7AF359A8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2.5合同期限及续签安排：连续合同期限3年（含首次及续签），符合续签条件下，合同一年一签。</w:t>
      </w:r>
    </w:p>
    <w:p w14:paraId="700F1C5E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2.6服务地点：交通银行股份有限公司四川省分行现金清分中心。</w:t>
      </w:r>
    </w:p>
    <w:p w14:paraId="141013BA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中标人数量：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2401E51A">
      <w:pPr>
        <w:pStyle w:val="2"/>
        <w:pageBreakBefore w:val="0"/>
        <w:kinsoku/>
        <w:overflowPunct/>
        <w:topLinePunct w:val="0"/>
        <w:autoSpaceDE/>
        <w:autoSpaceDN/>
        <w:bidi w:val="0"/>
        <w:spacing w:line="440" w:lineRule="exact"/>
        <w:rPr>
          <w:rFonts w:hint="eastAsia" w:ascii="仿宋" w:hAnsi="仿宋" w:cs="仿宋"/>
          <w:color w:val="auto"/>
          <w:szCs w:val="24"/>
          <w:highlight w:val="none"/>
        </w:rPr>
      </w:pPr>
      <w:bookmarkStart w:id="39" w:name="_Toc5307"/>
      <w:bookmarkStart w:id="40" w:name="_Toc29767"/>
      <w:bookmarkStart w:id="41" w:name="_Toc14103"/>
      <w:bookmarkStart w:id="42" w:name="_Toc13977"/>
      <w:bookmarkStart w:id="43" w:name="_Toc29358"/>
      <w:bookmarkStart w:id="44" w:name="_Toc15601"/>
      <w:bookmarkStart w:id="45" w:name="_Toc22258"/>
      <w:bookmarkStart w:id="46" w:name="_Toc26743"/>
      <w:bookmarkStart w:id="47" w:name="_Toc31773"/>
      <w:bookmarkStart w:id="48" w:name="_Toc26954"/>
      <w:bookmarkStart w:id="49" w:name="_Toc25752"/>
      <w:bookmarkStart w:id="50" w:name="_Toc5159"/>
      <w:r>
        <w:rPr>
          <w:rFonts w:hint="eastAsia" w:ascii="仿宋" w:hAnsi="仿宋" w:cs="仿宋"/>
          <w:color w:val="auto"/>
          <w:szCs w:val="24"/>
          <w:highlight w:val="none"/>
        </w:rPr>
        <w:t>三、投标人资格要求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</w:p>
    <w:p w14:paraId="1972A520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440" w:lineRule="exact"/>
        <w:ind w:left="0" w:leftChars="0"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3.1具有独立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承担民事责任的能力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；</w:t>
      </w:r>
    </w:p>
    <w:p w14:paraId="79DD7653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3.2具有良好的商业信誉和健全的财务会计制度；</w:t>
      </w:r>
    </w:p>
    <w:p w14:paraId="4FB55171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3.3具有履行合同所必需的设备和专业技术能力；</w:t>
      </w:r>
    </w:p>
    <w:p w14:paraId="5E010621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3.4参加采购活动前3年内，在经营活动中没有重大违法记录。近3年内未因违约或违法行为被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招标人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取消投标资格，且没有被清理退出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招标人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合作单位信息库的记录；</w:t>
      </w:r>
    </w:p>
    <w:p w14:paraId="4A50EBEF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符合法律、行政法规规定的其他条件；</w:t>
      </w:r>
    </w:p>
    <w:p w14:paraId="4A9EF69B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3.6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能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开具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增值税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专用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发票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；</w:t>
      </w:r>
    </w:p>
    <w:p w14:paraId="5A7B25F1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有下列情形之一，不得同时参加本项目投标：</w:t>
      </w:r>
    </w:p>
    <w:p w14:paraId="0CDF251D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（1）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法定代表人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/单位负责人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为同一人；</w:t>
      </w:r>
    </w:p>
    <w:p w14:paraId="03B4BBB3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（2）母公司与其全资子公司；</w:t>
      </w:r>
    </w:p>
    <w:p w14:paraId="31D7BB73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（3）母公司与其控股公司（直接或间接持股不低于30%）；</w:t>
      </w:r>
    </w:p>
    <w:p w14:paraId="44E2859C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（4）被同一法人直接或间接持股不低于30%的两个及两个以上法人；</w:t>
      </w:r>
    </w:p>
    <w:p w14:paraId="47F55B04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（5）具有投资参股关系的关联企业；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（注：提供股东名单）</w:t>
      </w:r>
    </w:p>
    <w:p w14:paraId="509D5680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（6）相互任职或工作的；</w:t>
      </w:r>
    </w:p>
    <w:p w14:paraId="588DE7E2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近三年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及其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法定代表人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无行贿记录；</w:t>
      </w:r>
    </w:p>
    <w:p w14:paraId="319622DB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近三年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及其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法定代表人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未被人民法院列入“失信被执行人名单”；</w:t>
      </w:r>
    </w:p>
    <w:p w14:paraId="54A09753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投标人未被“信用中国”网站（www.creditchina.gov.cn）列入“重大税收违法失信主体”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及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经营（活动）异常名录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；</w:t>
      </w:r>
    </w:p>
    <w:p w14:paraId="3A1933B6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投标人未被“中国政府采购网”网站（www.ccgp.gov.cn）列入“政府采购严重违法失信行为记录名单”；</w:t>
      </w:r>
    </w:p>
    <w:p w14:paraId="64B34305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jc w:val="left"/>
        <w:rPr>
          <w:rFonts w:hint="default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3.12投标人须在法律和财务上独立、合法运作并独立于招标人和招标代理机构；</w:t>
      </w:r>
    </w:p>
    <w:p w14:paraId="77C82940">
      <w:pPr>
        <w:pageBreakBefore w:val="0"/>
        <w:widowControl/>
        <w:kinsoku/>
        <w:overflowPunct/>
        <w:topLinePunct w:val="0"/>
        <w:autoSpaceDE/>
        <w:autoSpaceDN/>
        <w:bidi w:val="0"/>
        <w:spacing w:line="440" w:lineRule="exact"/>
        <w:ind w:left="539" w:leftChars="228" w:hanging="60" w:hangingChars="25"/>
        <w:jc w:val="left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3.13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</w:rPr>
        <w:t>本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次招标不接受联合体投标。</w:t>
      </w:r>
    </w:p>
    <w:p w14:paraId="02CBB0AF">
      <w:pPr>
        <w:pStyle w:val="2"/>
        <w:pageBreakBefore w:val="0"/>
        <w:kinsoku/>
        <w:overflowPunct/>
        <w:topLinePunct w:val="0"/>
        <w:autoSpaceDE/>
        <w:autoSpaceDN/>
        <w:bidi w:val="0"/>
        <w:spacing w:line="440" w:lineRule="exact"/>
        <w:rPr>
          <w:rFonts w:hint="eastAsia" w:ascii="仿宋" w:hAnsi="仿宋" w:cs="仿宋"/>
          <w:bCs/>
          <w:color w:val="auto"/>
          <w:szCs w:val="24"/>
          <w:highlight w:val="none"/>
        </w:rPr>
      </w:pPr>
      <w:bookmarkStart w:id="51" w:name="_Toc4261"/>
      <w:bookmarkStart w:id="52" w:name="_Toc3928"/>
      <w:bookmarkStart w:id="53" w:name="_Toc30273"/>
      <w:bookmarkStart w:id="54" w:name="_Toc28135"/>
      <w:bookmarkStart w:id="55" w:name="_Toc19050"/>
      <w:bookmarkStart w:id="56" w:name="_Toc2696"/>
      <w:bookmarkStart w:id="57" w:name="_Toc23099"/>
      <w:bookmarkStart w:id="58" w:name="_Toc7574"/>
      <w:bookmarkStart w:id="59" w:name="_Toc21349"/>
      <w:bookmarkStart w:id="60" w:name="_Toc16662"/>
      <w:bookmarkStart w:id="61" w:name="_Toc4371"/>
      <w:bookmarkStart w:id="62" w:name="_Toc26232"/>
      <w:bookmarkStart w:id="63" w:name="_Toc4141"/>
      <w:bookmarkStart w:id="64" w:name="_Toc8518"/>
      <w:bookmarkStart w:id="65" w:name="_Toc12263"/>
      <w:bookmarkStart w:id="66" w:name="_Toc21596"/>
      <w:r>
        <w:rPr>
          <w:rFonts w:hint="eastAsia" w:ascii="仿宋" w:hAnsi="仿宋" w:cs="仿宋"/>
          <w:bCs/>
          <w:color w:val="auto"/>
          <w:szCs w:val="24"/>
          <w:highlight w:val="none"/>
        </w:rPr>
        <w:t>四、资格审查方法</w:t>
      </w:r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14:paraId="3F5E6645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本项目采用资格后审的方式，资格审查标准和内容见招标文件第三章“评标办法”。凡未通过资格后审的投标人，其投标将被否决。</w:t>
      </w:r>
    </w:p>
    <w:p w14:paraId="5DE27873">
      <w:pPr>
        <w:pStyle w:val="2"/>
        <w:pageBreakBefore w:val="0"/>
        <w:kinsoku/>
        <w:overflowPunct/>
        <w:topLinePunct w:val="0"/>
        <w:autoSpaceDE/>
        <w:autoSpaceDN/>
        <w:bidi w:val="0"/>
        <w:spacing w:line="440" w:lineRule="exact"/>
        <w:rPr>
          <w:rFonts w:hint="eastAsia" w:ascii="仿宋" w:hAnsi="仿宋" w:cs="仿宋"/>
          <w:color w:val="auto"/>
          <w:szCs w:val="24"/>
          <w:highlight w:val="none"/>
        </w:rPr>
      </w:pPr>
      <w:bookmarkStart w:id="67" w:name="_Toc30529"/>
      <w:bookmarkStart w:id="68" w:name="_Toc19912"/>
      <w:bookmarkStart w:id="69" w:name="_Toc2305"/>
      <w:bookmarkStart w:id="70" w:name="_Toc4817"/>
      <w:bookmarkStart w:id="71" w:name="_Toc19492"/>
      <w:bookmarkStart w:id="72" w:name="_Toc26315"/>
      <w:bookmarkStart w:id="73" w:name="_Toc23762"/>
      <w:bookmarkStart w:id="74" w:name="_Toc11927"/>
      <w:bookmarkStart w:id="75" w:name="_Toc26378"/>
      <w:bookmarkStart w:id="76" w:name="_Toc17322"/>
      <w:bookmarkStart w:id="77" w:name="_Toc21984"/>
      <w:bookmarkStart w:id="78" w:name="_Toc11455"/>
      <w:bookmarkStart w:id="79" w:name="_Toc16666"/>
      <w:bookmarkStart w:id="80" w:name="_Toc4656"/>
      <w:bookmarkStart w:id="81" w:name="_Toc21640"/>
      <w:bookmarkStart w:id="82" w:name="_Toc13086"/>
      <w:r>
        <w:rPr>
          <w:rFonts w:hint="eastAsia" w:ascii="仿宋" w:hAnsi="仿宋" w:cs="仿宋"/>
          <w:color w:val="auto"/>
          <w:szCs w:val="24"/>
          <w:highlight w:val="none"/>
        </w:rPr>
        <w:t>五、招标文件的获取</w:t>
      </w:r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</w:p>
    <w:p w14:paraId="63AF1D4C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5.1招标文件的获取时间：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202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highlight w:val="none"/>
        </w:rPr>
        <w:t>日09时00分至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202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highlight w:val="none"/>
          <w:lang w:val="en-US" w:eastAsia="zh-CN"/>
        </w:rPr>
        <w:t>17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highlight w:val="none"/>
        </w:rPr>
        <w:t>日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17时30分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（北京时间）。</w:t>
      </w:r>
    </w:p>
    <w:p w14:paraId="6CE023DD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5.2凡有意参与本项目投标的投标人应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按以下流程获取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招标文件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：</w:t>
      </w:r>
    </w:p>
    <w:p w14:paraId="3834F1D8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5.2.1注册交通银行智采平台供应商门户网站</w:t>
      </w:r>
    </w:p>
    <w:p w14:paraId="208D34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baseline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</w:rPr>
        <w:t>投标人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应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</w:rPr>
        <w:t>在交通银行智采平台供应商门户网站（https://bocom-gys.bankcomm.com）完成注册（注册时填报的企业基本资料/基本信息中“服务分行”必须包含“四川省分行”，已经注册登记的企业，如基本信息中“服务分行”未包含“四川省分行”，应申请修改企业基本信息，在“服务分行”中增加“四川省分行”），详情请登录门户网站查阅《供应商门户操作手册》。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投标人完成注册后须登录平台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在平台主页点击“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</w:rPr>
        <w:t>基本资料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”对页面进行截图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（基本资料中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“服务分行”必须包含“四川省分行”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）。</w:t>
      </w:r>
    </w:p>
    <w:p w14:paraId="5D4E407C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5.2.2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获取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招标文件</w:t>
      </w:r>
    </w:p>
    <w:p w14:paraId="6CE15E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投标人完成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</w:rPr>
        <w:t>交通银行智采平台供应商门户网站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注册后，须通过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“诚E招电子采购交易平台”（网址：https://www.chengezhao.com）完成本项目招标文件的获取，操作流程如下：</w:t>
      </w:r>
    </w:p>
    <w:p w14:paraId="23725C28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（1）注册：输入网址，点击【新用户注册】（注册步骤详见门户网站：【投标人操作指南】-【注册指引】）。登陆账号后点击【常用文件】，下载《投标人&amp;供应商操作手册》。</w:t>
      </w:r>
    </w:p>
    <w:p w14:paraId="4C9E7FFA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（2）招标文件的获取与下载：注册成功后登录平台，点击【商机发现】，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搜索项目名称，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根据平台提示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将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交通银行智采平台供应商门户网站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中的“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基本资料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”页面截图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上传，上传提交后待招标代理机构审核通过后即可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自行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完成招标文件费用支付并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下载招标文件。</w:t>
      </w:r>
    </w:p>
    <w:p w14:paraId="1623AC7F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（3）疑问反馈：具体操作若有疑问，可致电客服热线：020-89524219。服务时间8:30-17:30（工作日）。</w:t>
      </w:r>
    </w:p>
    <w:p w14:paraId="212FD6E8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5.2.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招标文件费用及支付方式</w:t>
      </w:r>
    </w:p>
    <w:p w14:paraId="303105C8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（1）招标文件费用：人民币300元/份，售后不退。</w:t>
      </w:r>
    </w:p>
    <w:p w14:paraId="15493949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（2）支付方式（三选一）：①网上支付（微信扫码）、②电汇（须上传汇款凭证）、③钱包支付（点击“钱包管理”，充值后即可支付）。支付完成后请及时下载招标文件。</w:t>
      </w:r>
    </w:p>
    <w:p w14:paraId="1169403F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（3）支付完成后可在平台直接下载标书费电子发票。</w:t>
      </w:r>
    </w:p>
    <w:p w14:paraId="112C9049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5.3投标人如不按上述要求获取招标文件的，招标人将不接收该投标人所递交的投标文件。</w:t>
      </w:r>
    </w:p>
    <w:p w14:paraId="02961685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5.4免责声明：“诚E招电子采购交易平台”（网址：https://www.chengezhao.com）为本项目获取招标文件的唯一渠道，其他渠道的获取及支付均属无效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。</w:t>
      </w:r>
    </w:p>
    <w:p w14:paraId="1B00D7B3">
      <w:pPr>
        <w:pStyle w:val="2"/>
        <w:pageBreakBefore w:val="0"/>
        <w:kinsoku/>
        <w:overflowPunct/>
        <w:topLinePunct w:val="0"/>
        <w:autoSpaceDE/>
        <w:autoSpaceDN/>
        <w:bidi w:val="0"/>
        <w:spacing w:line="440" w:lineRule="exact"/>
        <w:rPr>
          <w:rFonts w:hint="eastAsia" w:ascii="仿宋" w:hAnsi="仿宋" w:cs="仿宋"/>
          <w:color w:val="auto"/>
          <w:szCs w:val="24"/>
          <w:highlight w:val="none"/>
        </w:rPr>
      </w:pPr>
      <w:bookmarkStart w:id="83" w:name="_Toc20440"/>
      <w:bookmarkStart w:id="84" w:name="_Toc151"/>
      <w:bookmarkStart w:id="85" w:name="_Toc20365"/>
      <w:bookmarkStart w:id="86" w:name="_Toc9876"/>
      <w:bookmarkStart w:id="87" w:name="_Toc29926"/>
      <w:bookmarkStart w:id="88" w:name="_Toc11499"/>
      <w:bookmarkStart w:id="89" w:name="_Toc23259"/>
      <w:bookmarkStart w:id="90" w:name="_Toc25692"/>
      <w:bookmarkStart w:id="91" w:name="_Toc8526"/>
      <w:bookmarkStart w:id="92" w:name="_Toc11741"/>
      <w:bookmarkStart w:id="93" w:name="_Toc29038"/>
      <w:bookmarkStart w:id="94" w:name="_Toc16598"/>
      <w:bookmarkStart w:id="95" w:name="_Toc25377"/>
      <w:bookmarkStart w:id="96" w:name="_Toc12236"/>
      <w:bookmarkStart w:id="97" w:name="_Toc6595"/>
      <w:bookmarkStart w:id="98" w:name="_Toc21138"/>
      <w:r>
        <w:rPr>
          <w:rFonts w:hint="eastAsia" w:ascii="仿宋" w:hAnsi="仿宋" w:cs="仿宋"/>
          <w:color w:val="auto"/>
          <w:szCs w:val="24"/>
          <w:highlight w:val="none"/>
        </w:rPr>
        <w:t>六、投标文件的递交</w:t>
      </w:r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</w:p>
    <w:p w14:paraId="3DC52BC7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6.1投标文件递交截止时间：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202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highlight w:val="none"/>
          <w:lang w:val="en-US" w:eastAsia="zh-CN"/>
        </w:rPr>
        <w:t>03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highlight w:val="none"/>
        </w:rPr>
        <w:t>日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10时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0分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（北京时间）。</w:t>
      </w:r>
    </w:p>
    <w:p w14:paraId="4061DFF7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6.2递交地点及方式：四川省成都市武侯区二环路南四段51号莱蒙都会1栋16楼</w:t>
      </w:r>
      <w:r>
        <w:rPr>
          <w:rFonts w:hint="default" w:ascii="仿宋" w:hAnsi="仿宋" w:eastAsia="仿宋" w:cs="仿宋"/>
          <w:color w:val="auto"/>
          <w:sz w:val="24"/>
          <w:szCs w:val="24"/>
          <w:highlight w:val="none"/>
        </w:rPr>
        <w:t>公诚管理咨询有限公司四川招标中心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1601</w:t>
      </w:r>
      <w:r>
        <w:rPr>
          <w:rFonts w:hint="default" w:ascii="仿宋" w:hAnsi="仿宋" w:eastAsia="仿宋" w:cs="仿宋"/>
          <w:color w:val="auto"/>
          <w:sz w:val="24"/>
          <w:szCs w:val="24"/>
          <w:highlight w:val="none"/>
        </w:rPr>
        <w:t>开标室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纸质文件递交。</w:t>
      </w:r>
    </w:p>
    <w:p w14:paraId="0486A57E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6.3逾期送达的或者未送达指定地点的投标文件，招标人不予受理。</w:t>
      </w:r>
    </w:p>
    <w:p w14:paraId="476EDC7E">
      <w:pPr>
        <w:pStyle w:val="2"/>
        <w:pageBreakBefore w:val="0"/>
        <w:kinsoku/>
        <w:overflowPunct/>
        <w:topLinePunct w:val="0"/>
        <w:autoSpaceDE/>
        <w:autoSpaceDN/>
        <w:bidi w:val="0"/>
        <w:spacing w:line="440" w:lineRule="exact"/>
        <w:rPr>
          <w:rFonts w:hint="eastAsia" w:ascii="仿宋" w:hAnsi="仿宋" w:cs="仿宋"/>
          <w:color w:val="auto"/>
          <w:szCs w:val="24"/>
          <w:highlight w:val="none"/>
        </w:rPr>
      </w:pPr>
      <w:bookmarkStart w:id="99" w:name="_Toc7190"/>
      <w:bookmarkStart w:id="100" w:name="_Toc3783"/>
      <w:bookmarkStart w:id="101" w:name="_Toc17409"/>
      <w:bookmarkStart w:id="102" w:name="_Toc10005"/>
      <w:bookmarkStart w:id="103" w:name="_Toc9172"/>
      <w:bookmarkStart w:id="104" w:name="_Toc21219"/>
      <w:bookmarkStart w:id="105" w:name="_Toc6325"/>
      <w:bookmarkStart w:id="106" w:name="_Toc14090"/>
      <w:bookmarkStart w:id="107" w:name="_Toc12449"/>
      <w:bookmarkStart w:id="108" w:name="_Toc21309"/>
      <w:bookmarkStart w:id="109" w:name="_Toc2378"/>
      <w:bookmarkStart w:id="110" w:name="_Toc16436"/>
      <w:bookmarkStart w:id="111" w:name="_Toc31133"/>
      <w:bookmarkStart w:id="112" w:name="_Toc20539"/>
      <w:bookmarkStart w:id="113" w:name="_Toc26780"/>
      <w:bookmarkStart w:id="114" w:name="_Toc5454"/>
      <w:r>
        <w:rPr>
          <w:rFonts w:hint="eastAsia" w:ascii="仿宋" w:hAnsi="仿宋" w:cs="仿宋"/>
          <w:color w:val="auto"/>
          <w:szCs w:val="24"/>
          <w:highlight w:val="none"/>
        </w:rPr>
        <w:t>七、开标时间及地点</w:t>
      </w:r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</w:p>
    <w:p w14:paraId="35D422A0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7.1开标时间：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202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highlight w:val="none"/>
          <w:lang w:val="en-US" w:eastAsia="zh-CN"/>
        </w:rPr>
        <w:t>03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highlight w:val="none"/>
        </w:rPr>
        <w:t>日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10时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0分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（北京时间）。</w:t>
      </w:r>
    </w:p>
    <w:p w14:paraId="6F4947B0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7.2开标地点：四川省成都市武侯区二环路南四段51号莱蒙都会1栋16楼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公诚管理咨询有限公司四川招标中心1601开标室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04B0BFCE">
      <w:pPr>
        <w:pStyle w:val="2"/>
        <w:pageBreakBefore w:val="0"/>
        <w:kinsoku/>
        <w:overflowPunct/>
        <w:topLinePunct w:val="0"/>
        <w:autoSpaceDE/>
        <w:autoSpaceDN/>
        <w:bidi w:val="0"/>
        <w:spacing w:line="440" w:lineRule="exact"/>
        <w:rPr>
          <w:rFonts w:hint="eastAsia" w:ascii="仿宋" w:hAnsi="仿宋" w:cs="仿宋"/>
          <w:color w:val="auto"/>
          <w:szCs w:val="24"/>
          <w:highlight w:val="none"/>
        </w:rPr>
      </w:pPr>
      <w:bookmarkStart w:id="115" w:name="_Toc12709"/>
      <w:bookmarkStart w:id="116" w:name="_Toc30816"/>
      <w:bookmarkStart w:id="117" w:name="_Toc28599"/>
      <w:bookmarkStart w:id="118" w:name="_Toc17249"/>
      <w:bookmarkStart w:id="119" w:name="_Toc26186"/>
      <w:bookmarkStart w:id="120" w:name="_Toc25032"/>
      <w:bookmarkStart w:id="121" w:name="_Toc17787"/>
      <w:bookmarkStart w:id="122" w:name="_Toc6832"/>
      <w:bookmarkStart w:id="123" w:name="_Toc29638"/>
      <w:r>
        <w:rPr>
          <w:rFonts w:hint="eastAsia" w:ascii="仿宋" w:hAnsi="仿宋" w:cs="仿宋"/>
          <w:color w:val="auto"/>
          <w:szCs w:val="24"/>
          <w:highlight w:val="none"/>
        </w:rPr>
        <w:t>八、发布公告的媒介</w:t>
      </w:r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</w:p>
    <w:p w14:paraId="240FB723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本次招标公告在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>中国招标投标公共服务平台（http://cebpubservice.com）、交通银行智采平台供应商门户（https:bocom-gys.bankcomm.com）、中国金融集中采购网（http://www.cfcpn.com）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上同步发布。</w:t>
      </w:r>
    </w:p>
    <w:p w14:paraId="7D054797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除上述媒介之外招标人/招标代理机构不会在其他任何网站、论坛等媒体上发布该项目公告，对于非法转载、篡改招标信息内容的组织或个人，招标人/招标代理机构保留追究其法律责任的权利。</w:t>
      </w:r>
    </w:p>
    <w:p w14:paraId="31FEA796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textAlignment w:val="baseline"/>
        <w:outlineLvl w:val="1"/>
        <w:rPr>
          <w:rFonts w:hint="eastAsia" w:ascii="仿宋" w:hAnsi="仿宋" w:eastAsia="仿宋" w:cs="仿宋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124" w:name="_Toc7046"/>
      <w:bookmarkStart w:id="125" w:name="_Toc28089"/>
      <w:bookmarkStart w:id="126" w:name="_Toc15356"/>
      <w:bookmarkStart w:id="127" w:name="_Toc7219"/>
      <w:bookmarkStart w:id="128" w:name="_Toc24589"/>
      <w:bookmarkStart w:id="129" w:name="_Toc11479"/>
      <w:bookmarkStart w:id="130" w:name="_Toc15588"/>
      <w:bookmarkStart w:id="131" w:name="_Toc4568"/>
      <w:bookmarkStart w:id="132" w:name="_Toc24633"/>
      <w:bookmarkStart w:id="133" w:name="_Toc7758"/>
      <w:bookmarkStart w:id="134" w:name="_Toc22093"/>
      <w:bookmarkStart w:id="135" w:name="_Toc17711"/>
      <w:bookmarkStart w:id="136" w:name="_Toc21087"/>
      <w:bookmarkStart w:id="137" w:name="_Toc20415"/>
      <w:bookmarkStart w:id="138" w:name="_Toc16735"/>
      <w:bookmarkStart w:id="139" w:name="_Toc1753"/>
      <w:bookmarkStart w:id="140" w:name="_Toc9437"/>
      <w:r>
        <w:rPr>
          <w:rFonts w:hint="eastAsia" w:ascii="仿宋" w:hAnsi="仿宋" w:eastAsia="仿宋" w:cs="仿宋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九、联系方式</w:t>
      </w:r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</w:p>
    <w:p w14:paraId="741734F1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2" w:firstLineChars="200"/>
        <w:textAlignment w:val="baseline"/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招标人：交通银行股份有限公司四川省分行</w:t>
      </w:r>
    </w:p>
    <w:p w14:paraId="4E79877E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bCs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4"/>
          <w:highlight w:val="none"/>
        </w:rPr>
        <w:t>地址：四川省成都市西玉龙街211号交银大厦</w:t>
      </w:r>
    </w:p>
    <w:p w14:paraId="2B7D6E72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bCs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4"/>
          <w:highlight w:val="none"/>
        </w:rPr>
        <w:t>联系人：</w:t>
      </w:r>
      <w:r>
        <w:rPr>
          <w:rFonts w:hint="eastAsia" w:ascii="仿宋" w:hAnsi="仿宋" w:eastAsia="仿宋" w:cs="仿宋"/>
          <w:bCs/>
          <w:color w:val="auto"/>
          <w:sz w:val="24"/>
          <w:highlight w:val="none"/>
          <w:lang w:val="en-US" w:eastAsia="zh-CN"/>
        </w:rPr>
        <w:t>王</w:t>
      </w:r>
      <w:r>
        <w:rPr>
          <w:rFonts w:hint="eastAsia" w:ascii="仿宋" w:hAnsi="仿宋" w:eastAsia="仿宋" w:cs="仿宋"/>
          <w:bCs/>
          <w:color w:val="auto"/>
          <w:sz w:val="24"/>
          <w:highlight w:val="none"/>
        </w:rPr>
        <w:t>老师</w:t>
      </w:r>
    </w:p>
    <w:p w14:paraId="67FD7D10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b/>
          <w:bCs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4"/>
          <w:highlight w:val="none"/>
        </w:rPr>
        <w:t>联系电话：028-86525122</w:t>
      </w:r>
    </w:p>
    <w:p w14:paraId="54EEE638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2" w:firstLineChars="200"/>
        <w:textAlignment w:val="baseline"/>
        <w:rPr>
          <w:rFonts w:hint="eastAsia" w:ascii="仿宋" w:hAnsi="仿宋" w:eastAsia="仿宋" w:cs="仿宋"/>
          <w:b/>
          <w:bCs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</w:rPr>
        <w:t>招标代理机构：公诚管理咨询有限公司</w:t>
      </w:r>
    </w:p>
    <w:p w14:paraId="14622F1E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地址：四川省成都市武侯区二环路南四段51号莱蒙都会1栋16楼</w:t>
      </w:r>
    </w:p>
    <w:p w14:paraId="0337F196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  <w:t>项目负责人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：唐靖</w:t>
      </w:r>
    </w:p>
    <w:p w14:paraId="243427B1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default" w:ascii="仿宋" w:hAnsi="仿宋" w:eastAsia="仿宋" w:cs="仿宋"/>
          <w:color w:val="auto"/>
          <w:sz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  <w:t>团队成员：祝影、刘瑞东、熊艳</w:t>
      </w:r>
    </w:p>
    <w:p w14:paraId="644DA85F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联系电话：15208326112</w:t>
      </w:r>
    </w:p>
    <w:p w14:paraId="464CD1ED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电子邮件：1101143417@qq.com</w:t>
      </w:r>
    </w:p>
    <w:p w14:paraId="38B14FE2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textAlignment w:val="baseline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开户名称：公诚管理咨询有限公司</w:t>
      </w:r>
    </w:p>
    <w:p w14:paraId="379E93A2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jc w:val="left"/>
        <w:textAlignment w:val="baseline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开户银行：中信银行广州花园支行</w:t>
      </w:r>
    </w:p>
    <w:p w14:paraId="5EFB9EA4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480" w:firstLineChars="200"/>
        <w:jc w:val="left"/>
        <w:textAlignment w:val="baseline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银行账号：</w:t>
      </w:r>
      <w:r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  <w:t>3110910037672529742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（注：该账号为本项目专用账号，请投标人在付款时仔细核对账号是否正确）</w:t>
      </w:r>
    </w:p>
    <w:p w14:paraId="3F40AD42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ind w:firstLine="540"/>
        <w:jc w:val="right"/>
        <w:rPr>
          <w:rFonts w:hint="eastAsia" w:ascii="仿宋" w:hAnsi="仿宋" w:eastAsia="仿宋" w:cs="仿宋"/>
          <w:b/>
          <w:bCs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招标人：交通银行股份有限公司四川省分行</w:t>
      </w:r>
    </w:p>
    <w:p w14:paraId="597C46B1">
      <w:pPr>
        <w:pageBreakBefore w:val="0"/>
        <w:kinsoku/>
        <w:overflowPunct/>
        <w:topLinePunct w:val="0"/>
        <w:autoSpaceDE/>
        <w:autoSpaceDN/>
        <w:bidi w:val="0"/>
        <w:spacing w:line="440" w:lineRule="exact"/>
        <w:jc w:val="right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招标代理机构：公诚管理咨询有限公司</w:t>
      </w:r>
    </w:p>
    <w:p w14:paraId="02E4E1EE">
      <w:pPr>
        <w:jc w:val="right"/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202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日</w:t>
      </w:r>
    </w:p>
    <w:sectPr>
      <w:headerReference r:id="rId5" w:type="default"/>
      <w:footerReference r:id="rId6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7A7D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D77321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D77321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</w:pPr>
      <w:r>
        <w:separator/>
      </w:r>
    </w:p>
  </w:footnote>
  <w:footnote w:type="continuationSeparator" w:id="1">
    <w:p>
      <w:pPr>
        <w:spacing w:line="312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40C7E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67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jc w:val="left"/>
      <w:outlineLvl w:val="1"/>
    </w:pPr>
    <w:rPr>
      <w:rFonts w:ascii="宋体" w:hAnsi="宋体" w:eastAsia="仿宋"/>
      <w:b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2025-11-07T07:58:41Z</dcterms:created>
  <dc:creator>11011</dc:creator>
  <cp:lastModifiedBy>公诚咨询-唐靖</cp:lastModifiedBy>
  <dcterms:modified xsi:type="dcterms:W3CDTF">2025-11-07T07:59:36Z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eyJoZGlkIjoiM2Y1NmZkYTg1ZDdhNTc2OTNmZGE0ZDY1ZDQxZWIyOTEiLCJ1c2VySWQiOiIyNTU0Mzk0NTUifQ==</vt:lpwstr>
  </property>
  <property fmtid="{D5CDD505-2E9C-101B-9397-08002B2CF9AE}" pid="4" name="ICV">
    <vt:lpwstr>6FF9B5C21F4F4B5CBC078F4BB327A263_12</vt:lpwstr>
  </property>
</Properties>
</file>