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ind w:firstLine="720" w:firstLineChars="200"/>
        <w:jc w:val="center"/>
        <w:outlineLvl w:val="0"/>
        <w:rPr>
          <w:rFonts w:ascii="彩虹小标宋" w:hAnsi="宋体" w:eastAsia="彩虹小标宋" w:cs="Times New Roman"/>
          <w:bCs/>
          <w:snapToGrid w:val="0"/>
          <w:kern w:val="0"/>
          <w:sz w:val="36"/>
          <w:szCs w:val="36"/>
          <w:highlight w:val="yellow"/>
        </w:rPr>
      </w:pPr>
      <w:r>
        <w:rPr>
          <w:rFonts w:hint="eastAsia" w:ascii="彩虹小标宋" w:hAnsi="宋体" w:eastAsia="彩虹小标宋" w:cs="Times New Roman"/>
          <w:bCs/>
          <w:snapToGrid w:val="0"/>
          <w:kern w:val="0"/>
          <w:sz w:val="36"/>
          <w:szCs w:val="36"/>
          <w:highlight w:val="yellow"/>
        </w:rPr>
        <w:t>新乡分行封丘县</w:t>
      </w:r>
      <w:r>
        <w:rPr>
          <w:rFonts w:ascii="彩虹小标宋" w:hAnsi="宋体" w:eastAsia="彩虹小标宋" w:cs="Times New Roman"/>
          <w:bCs/>
          <w:snapToGrid w:val="0"/>
          <w:kern w:val="0"/>
          <w:sz w:val="36"/>
          <w:szCs w:val="36"/>
          <w:highlight w:val="yellow"/>
        </w:rPr>
        <w:t>110联网报警服务采购需求</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一、对候选供应商的要求</w:t>
      </w:r>
    </w:p>
    <w:p>
      <w:pPr>
        <w:spacing w:line="520" w:lineRule="exact"/>
        <w:ind w:firstLine="640" w:firstLineChars="200"/>
        <w:rPr>
          <w:rFonts w:ascii="彩虹粗仿宋" w:eastAsia="彩虹粗仿宋"/>
          <w:sz w:val="32"/>
          <w:szCs w:val="32"/>
        </w:rPr>
      </w:pPr>
      <w:r>
        <w:rPr>
          <w:rFonts w:hint="eastAsia" w:ascii="彩虹粗仿宋" w:eastAsia="彩虹粗仿宋"/>
          <w:sz w:val="32"/>
          <w:szCs w:val="32"/>
        </w:rPr>
        <w:t>（一）具有独立法人资格，有效的营业执照。</w:t>
      </w:r>
    </w:p>
    <w:p>
      <w:pPr>
        <w:spacing w:line="520" w:lineRule="exact"/>
        <w:ind w:firstLine="640" w:firstLineChars="200"/>
        <w:rPr>
          <w:rFonts w:ascii="彩虹粗仿宋" w:eastAsia="彩虹粗仿宋"/>
          <w:sz w:val="32"/>
          <w:szCs w:val="32"/>
        </w:rPr>
      </w:pPr>
      <w:r>
        <w:rPr>
          <w:rFonts w:hint="eastAsia" w:ascii="彩虹粗仿宋" w:eastAsia="彩虹粗仿宋"/>
          <w:sz w:val="32"/>
          <w:szCs w:val="32"/>
        </w:rPr>
        <w:t>（二）正常经营，财务状况良好，提供近三年（</w:t>
      </w:r>
      <w:r>
        <w:rPr>
          <w:rFonts w:hint="eastAsia" w:ascii="彩虹粗仿宋" w:eastAsia="彩虹粗仿宋"/>
          <w:sz w:val="32"/>
          <w:szCs w:val="32"/>
          <w:lang w:eastAsia="zh-CN"/>
        </w:rPr>
        <w:t>2020年-2022年</w:t>
      </w:r>
      <w:r>
        <w:rPr>
          <w:rFonts w:hint="eastAsia" w:ascii="彩虹粗仿宋" w:eastAsia="彩虹粗仿宋"/>
          <w:sz w:val="32"/>
          <w:szCs w:val="32"/>
        </w:rPr>
        <w:t>）的经审计的财务报告或财务报表（新成立企业从成立日计算）</w:t>
      </w:r>
    </w:p>
    <w:p>
      <w:pPr>
        <w:spacing w:line="520" w:lineRule="exact"/>
        <w:ind w:firstLine="640" w:firstLineChars="200"/>
        <w:rPr>
          <w:rFonts w:ascii="彩虹粗仿宋" w:eastAsia="彩虹粗仿宋"/>
          <w:sz w:val="32"/>
          <w:szCs w:val="32"/>
        </w:rPr>
      </w:pPr>
      <w:r>
        <w:rPr>
          <w:rFonts w:hint="eastAsia" w:ascii="彩虹粗仿宋" w:eastAsia="彩虹粗仿宋"/>
          <w:sz w:val="32"/>
          <w:szCs w:val="32"/>
        </w:rPr>
        <w:t>（三）</w:t>
      </w:r>
      <w:r>
        <w:rPr>
          <w:rStyle w:val="4"/>
          <w:rFonts w:hint="eastAsia" w:ascii="彩虹粗仿宋" w:hAnsi="微软雅黑" w:eastAsia="彩虹粗仿宋"/>
          <w:sz w:val="32"/>
          <w:szCs w:val="32"/>
        </w:rPr>
        <w:t>2021年1月1日以来</w:t>
      </w:r>
      <w:r>
        <w:rPr>
          <w:rFonts w:hint="eastAsia" w:ascii="彩虹粗仿宋" w:eastAsia="彩虹粗仿宋"/>
          <w:sz w:val="32"/>
          <w:szCs w:val="32"/>
        </w:rPr>
        <w:t>具有110报警同类项目经验。</w:t>
      </w:r>
    </w:p>
    <w:p>
      <w:pPr>
        <w:adjustRightInd w:val="0"/>
        <w:snapToGrid w:val="0"/>
        <w:spacing w:line="560" w:lineRule="atLeast"/>
        <w:ind w:firstLine="640" w:firstLineChars="200"/>
        <w:rPr>
          <w:rFonts w:ascii="彩虹粗仿宋" w:eastAsia="彩虹粗仿宋"/>
          <w:sz w:val="32"/>
        </w:rPr>
      </w:pPr>
      <w:r>
        <w:rPr>
          <w:rFonts w:hint="eastAsia" w:ascii="彩虹粗仿宋" w:eastAsia="彩虹粗仿宋"/>
          <w:sz w:val="32"/>
        </w:rPr>
        <w:t>（四）供应商当前未被“信用中国”网站列入重大税收违法失信主体（https://www.creditchina.gov.cn/xinyongfuwu/zhongdashuishouweifaanjian/）；未被“中国执行信息公开网”列入失信被执行人名单（http://zxgk.court.gov.cn/shixin/）；未被“中国政府采购网”列入政府采购严重违法失信行为记录名单（http://www.ccgp.gov.cn/search/cr/）；未被“国家企业信用信息公示系统”网站列入严重违法失信名单（黑名单）http://www.gsxt.gov.cn/index.html）（投标人出具网页截图）；</w:t>
      </w:r>
    </w:p>
    <w:p>
      <w:pPr>
        <w:adjustRightInd w:val="0"/>
        <w:snapToGrid w:val="0"/>
        <w:spacing w:line="560" w:lineRule="exact"/>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二、服务基本内容</w:t>
      </w:r>
    </w:p>
    <w:p>
      <w:pPr>
        <w:adjustRightInd w:val="0"/>
        <w:snapToGrid w:val="0"/>
        <w:spacing w:line="560" w:lineRule="exact"/>
        <w:ind w:firstLine="640" w:firstLineChars="200"/>
        <w:rPr>
          <w:rFonts w:ascii="彩虹粗仿宋" w:hAnsi="彩虹粗仿宋" w:eastAsia="彩虹粗仿宋" w:cs="彩虹粗仿宋"/>
          <w:sz w:val="32"/>
          <w:szCs w:val="32"/>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新乡分行封丘支行所辖营业网点、离行式自助银行（自助设备）等重点部位联网报警设施、设备及相关配件的安装、更换、调试、维修、巡检及迁移，对联网报警设备进行报警测试、监控、警情处置等服务项目，</w:t>
      </w:r>
      <w:r>
        <w:rPr>
          <w:rFonts w:hint="eastAsia" w:ascii="彩虹粗仿宋" w:hAnsi="彩虹粗仿宋" w:eastAsia="彩虹粗仿宋" w:cs="彩虹粗仿宋"/>
          <w:sz w:val="32"/>
          <w:szCs w:val="32"/>
        </w:rPr>
        <w:t>按照合同约定报警设备巡检维修维护及时，确保守护目标的安全。</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三、服务团队要求</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（一）符合《保安服务管理条例》的要求，有当地公安部门认可的110报警入网许可服务，开展110联网报警服务3年以上，在当地服务于大多数金融机构；</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（二）供应商有专门联系人，服务人员经过专业培训；</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（三）供应商公司服务人员按照我行的要求完成每次的工作任务，遵章守纪，合规履职；</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（四）供应商承诺为我行服务人员提供营运期间的支持保障及应急工作；</w:t>
      </w:r>
    </w:p>
    <w:p>
      <w:pPr>
        <w:adjustRightInd w:val="0"/>
        <w:snapToGrid w:val="0"/>
        <w:spacing w:line="600" w:lineRule="exact"/>
        <w:ind w:firstLine="640" w:firstLineChars="200"/>
        <w:jc w:val="left"/>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（五）与我行合作期限不低于一年；</w:t>
      </w:r>
    </w:p>
    <w:p>
      <w:pPr>
        <w:adjustRightInd w:val="0"/>
        <w:snapToGrid w:val="0"/>
        <w:spacing w:line="560" w:lineRule="exact"/>
        <w:ind w:firstLine="640" w:firstLineChars="200"/>
        <w:rPr>
          <w:rFonts w:ascii="彩虹粗仿宋" w:hAnsi="彩虹粗仿宋" w:eastAsia="彩虹粗仿宋" w:cs="彩虹粗仿宋"/>
          <w:kern w:val="0"/>
          <w:sz w:val="32"/>
          <w:szCs w:val="32"/>
        </w:rPr>
      </w:pPr>
      <w:r>
        <w:rPr>
          <w:rFonts w:hint="eastAsia" w:ascii="彩虹粗仿宋" w:hAnsi="彩虹粗仿宋" w:eastAsia="彩虹粗仿宋" w:cs="彩虹粗仿宋"/>
          <w:kern w:val="0"/>
          <w:sz w:val="32"/>
          <w:szCs w:val="32"/>
        </w:rPr>
        <w:t>（六）具备一定的专业技能，能正确处理服务中出现的各种情况并进行有效处置。</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四、服务质量要求</w:t>
      </w:r>
    </w:p>
    <w:p>
      <w:pPr>
        <w:adjustRightInd w:val="0"/>
        <w:snapToGrid w:val="0"/>
        <w:spacing w:line="600" w:lineRule="exact"/>
        <w:ind w:firstLine="640" w:firstLineChars="200"/>
        <w:jc w:val="left"/>
        <w:outlineLvl w:val="1"/>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（一）计划安排要求</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项目推进按照前期工作安排，按照我行采购流程进行，积极与采购部门对接，安排专人配合采购部门对采购事项所涉及到的内容、费用、问题及时解决，早日圆满完成本次采购项目。</w:t>
      </w:r>
    </w:p>
    <w:p>
      <w:pPr>
        <w:adjustRightInd w:val="0"/>
        <w:snapToGrid w:val="0"/>
        <w:spacing w:line="600" w:lineRule="exact"/>
        <w:ind w:firstLine="640" w:firstLineChars="200"/>
        <w:jc w:val="left"/>
        <w:outlineLvl w:val="1"/>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（二）服务质量标准</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1、供应商承诺按照协议约定的服务内容向我行提供合格的服务，接受我行对其工作的指导和监督。</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2、按照我行的服务需求，配备和提供服务人员。不得泄漏因服务而取得的任何我行的业务信息。</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3、供应商负责制定与受托业务相关的内控制度、操作规程、人员考核等办法，并报我行备案；供应商不得将其在协议约定项下任一事项转让或分包给第三方。</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供应商负责与服务人员签订符合《劳动法》的正式合同，负责劳动用工以及涉及劳动关系管理的所有事宜。供应商应承诺服务人员的基本保障性工资不低于所在工作地区最低工资标准，按照国家规定缴纳社会保险等。</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5、供应商应确保与公安局“110”报警服务平台的信息畅通，达到公安部门服务的要求。做好所辖110报警设备日常的故障排查工作，确保技术人员配备，保障设备良好运行。</w:t>
      </w:r>
    </w:p>
    <w:p>
      <w:pPr>
        <w:adjustRightInd w:val="0"/>
        <w:snapToGrid w:val="0"/>
        <w:spacing w:line="600" w:lineRule="exact"/>
        <w:ind w:firstLine="640" w:firstLineChars="200"/>
        <w:jc w:val="left"/>
        <w:outlineLvl w:val="1"/>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（三）风险控制要求</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按照总行《关于防范业务外包用工风险的通知》（建人〔2014〕235号）的文件要求，禁止供应商以我行名义进行用工管理或开展生产经营活动，服务人员应与供应商公司依法订立劳动合同，防范服务类业务用工风险。</w:t>
      </w:r>
    </w:p>
    <w:p>
      <w:pPr>
        <w:adjustRightInd w:val="0"/>
        <w:snapToGrid w:val="0"/>
        <w:spacing w:line="600" w:lineRule="exact"/>
        <w:ind w:firstLine="640" w:firstLineChars="200"/>
        <w:jc w:val="left"/>
        <w:outlineLvl w:val="2"/>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1、日常管理、监督和检查。</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在110报警联网维护服务过程中均涉及服务人员的使用和管理，我行具体负责服务人员的业务培训和规范操作，指导、监督服务人员按章办事，一是110报警服务人员在执勤中，维护我行的设备正常运行，发现问题及时报告处理；二是利用物联网平台系统，监督检查服务的同时，及时接收处理巡护人员的反馈的情况，防范事（案）件的发生。</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（2）按照我行的要求，双方约定每季度召开一次联席会，至少开展一次供应商公司服务检查，并形成检查报告，对检查中发现的问题及时通报服务公司，限期整改和落实，每年度结束后形成年度评估报告。</w:t>
      </w:r>
    </w:p>
    <w:p>
      <w:pPr>
        <w:adjustRightInd w:val="0"/>
        <w:snapToGrid w:val="0"/>
        <w:spacing w:line="600" w:lineRule="exact"/>
        <w:ind w:firstLine="640" w:firstLineChars="200"/>
        <w:jc w:val="left"/>
        <w:outlineLvl w:val="2"/>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2、明确责任，防范风险</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（1）双方按照约定明确双方责任，建立健全安全责任制，完善双方沟通协作机制。提供110报警联网维护服务的</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公司应根据不同工作性质，明确人员岗位职责，规范流程，不断提升服务人员的业务素质和技能，为我行提供更加安全的110报警服务。</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（2）我行负责监督检查</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公司提供服务的数量、质量和应急处置。</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公司通过工作合同、规章对服务人员的行为做出约束，并与服务人员一一签订《保密协议》，防范客户信息泄露的风险，严格防范操作风险、声誉风险及其它风险。</w:t>
      </w:r>
    </w:p>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（四）保密要求</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1、服务人员只能掌握了解工作需要的相关信息，不得将我行信息资料以任何方式透露给其他任何机构或个人。</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2、服务人员不得利用工作之便窃取、收买或者非法提供他人申请信息资料进行各种非法活动。</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3、由于</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公司及公司服务人员原因导致我行及客户信息泄漏的，按照双方合同约定追究相关责任。</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公司应严守在履行协议约定中以口头、书面或其他任何方式知悉的我行的商业秘密、技术秘密和其他商业及业务信息，不得泄露。无论协议约定是否无效、变更或终止，本保密条款持续有效。</w:t>
      </w:r>
    </w:p>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（五）应急预案要求</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公司应制定相关应急预案，演练预案场景、预案分工、预案演练、预案评估，并明确应急处置流程。</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2、因服务人员原因造成我行及客户信息泄露、客户投诉等风险，</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公司应立即向我行报告，同时启动应急预案，沟通协商解决办法，防止事态扩大。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3、由于</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公司原因（如：服务中断）引起突发事件的，我行应立即启动相应应急预案，妥善处置问题，积极争取恢复生产。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4、造成我行经济损失的，应按照相关法律法规、合同约定进行索赔。造成我行声誉损失的，应要求</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公司积极配合我行采取措施消除影响、恢复声誉。涉嫌违法犯罪的，应及时向公安机关报案。</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6、在处理事（案）件过程中要时刻向我行报告进展情况，待风险解除后，形成书面报告报送我行，我行综合评估后确定是否继续开展此服务事项。</w:t>
      </w:r>
    </w:p>
    <w:p>
      <w:pPr>
        <w:spacing w:line="600" w:lineRule="exact"/>
        <w:ind w:firstLine="640" w:firstLineChars="200"/>
        <w:jc w:val="left"/>
        <w:outlineLvl w:val="1"/>
        <w:rPr>
          <w:rFonts w:ascii="彩虹粗仿宋" w:hAnsi="彩虹粗仿宋" w:eastAsia="彩虹粗仿宋" w:cs="彩虹粗仿宋"/>
          <w:sz w:val="32"/>
          <w:szCs w:val="32"/>
        </w:rPr>
      </w:pPr>
      <w:r>
        <w:rPr>
          <w:rFonts w:hint="eastAsia" w:ascii="彩虹粗仿宋" w:hAnsi="彩虹粗仿宋" w:eastAsia="彩虹粗仿宋" w:cs="彩虹粗仿宋"/>
          <w:snapToGrid w:val="0"/>
          <w:kern w:val="0"/>
          <w:sz w:val="32"/>
          <w:szCs w:val="32"/>
        </w:rPr>
        <w:t>（六）</w:t>
      </w:r>
      <w:r>
        <w:rPr>
          <w:rFonts w:hint="eastAsia" w:ascii="彩虹粗仿宋" w:hAnsi="彩虹粗仿宋" w:eastAsia="彩虹粗仿宋" w:cs="彩虹粗仿宋"/>
          <w:sz w:val="32"/>
          <w:szCs w:val="32"/>
        </w:rPr>
        <w:t>消保条款要求</w:t>
      </w:r>
    </w:p>
    <w:p>
      <w:pPr>
        <w:spacing w:line="600" w:lineRule="exact"/>
        <w:ind w:firstLine="640" w:firstLineChars="200"/>
        <w:jc w:val="left"/>
        <w:outlineLvl w:val="2"/>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1.个人信息保护条款</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（1）明确双方职责、保密义务及个人信息保护条款措施、个人信息发生泄露的违约责任；约定合作机构的保密义务不因服务的终止而终止；</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（2）合作机构不得在未获得客户同意的前提下将获得的个人信息进一步提供给其他第三方；</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（3）合作机构向个人信息主体征得收集个人信息的明确同意授权；</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（4）在双方合作关系终止时，应确保其不再存储我行相关个人信息。</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（5）我行从合作机构获取个人信息时，应确保中介机构和第三方机构的数据来源合法合规、真实有效，对外提供数据不违反法律法规要求，并已获得信息主体本人的明确同意授权；</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6）合作机构承诺其所提供的数据信息已获得相关授权，信息收集合法，且对外提供信息已经被收集者同意；对所提供的外部数据信息的采集、加工、整合、提供过程符合国家相关法律法规规章的规定，具有合法使用权，并有权向我行提供。</w:t>
      </w:r>
    </w:p>
    <w:p>
      <w:pPr>
        <w:spacing w:line="600" w:lineRule="exact"/>
        <w:ind w:firstLine="640" w:firstLineChars="200"/>
        <w:jc w:val="left"/>
        <w:outlineLvl w:val="2"/>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2.信息披露条款</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对于我行与合作机构共同提供产品服务的，应向客户充分披露我行与合作机构信息、合作产品的信息、合作各方权利义务，按照适当性原则充分揭示合作业务风险，避免客户产生品牌混同。</w:t>
      </w:r>
    </w:p>
    <w:p>
      <w:pPr>
        <w:spacing w:line="600" w:lineRule="exact"/>
        <w:ind w:firstLine="640" w:firstLineChars="200"/>
        <w:jc w:val="left"/>
        <w:outlineLvl w:val="2"/>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 xml:space="preserve">3.消费者投诉条款 </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合作机构应严格落实消费投诉处理工作责任，建立内部沟通协调、信息共享、协同处理的投诉处理工作机制，落实首问负责制，在消费投诉发生的第一时问及时处理、妥善解决，依法合规开展消费投诉处理工作，避免事态扩大产生负面影响。</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（2）对涉及理赔给付的合作机构，应明确其承担的投诉处理义务和责任。</w:t>
      </w:r>
    </w:p>
    <w:p>
      <w:pPr>
        <w:spacing w:line="600" w:lineRule="exact"/>
        <w:ind w:firstLine="640" w:firstLineChars="200"/>
        <w:jc w:val="left"/>
        <w:outlineLvl w:val="2"/>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 xml:space="preserve">4.其他行为监督 </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我行有权根据监管要求和形势发展变化，不断完善合作机构消费者权益保护监督内容，加强对中介机构和第三方机构涉及我行消费者的其他方面监督，督促中介机构和第三方机构经营行为合法合规，避免发生侵犯消费者权益事件。</w:t>
      </w:r>
    </w:p>
    <w:p>
      <w:pPr>
        <w:spacing w:line="600" w:lineRule="exact"/>
        <w:ind w:firstLine="640" w:firstLineChars="200"/>
        <w:jc w:val="left"/>
        <w:outlineLvl w:val="2"/>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5.黑名单退出机制</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对有下列情形之一的，应取消准入资格；已经准入的，应予以退出。</w:t>
      </w:r>
    </w:p>
    <w:p>
      <w:pPr>
        <w:spacing w:line="600" w:lineRule="exact"/>
        <w:ind w:left="210" w:leftChars="100"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（1）存在消费者权益侵权行为，引发较大舆情或重大投诉在社会上造成严重不良影响的；</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（2）存在消费者权益侵权行为，受到监管处罚，给我行造成严重不良影响的；</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（3）存在消费者权益侵权行为，受到公安立案或法院判决，给我行造成严重不良影响的；</w:t>
      </w:r>
    </w:p>
    <w:p>
      <w:pPr>
        <w:spacing w:line="600" w:lineRule="exact"/>
        <w:ind w:firstLine="640" w:firstLineChars="200"/>
        <w:jc w:val="left"/>
        <w:rPr>
          <w:rFonts w:ascii="彩虹粗仿宋" w:hAnsi="彩虹粗仿宋" w:eastAsia="彩虹粗仿宋" w:cs="彩虹粗仿宋"/>
          <w:sz w:val="32"/>
          <w:szCs w:val="32"/>
        </w:rPr>
      </w:pPr>
      <w:r>
        <w:rPr>
          <w:rFonts w:hint="eastAsia" w:ascii="彩虹粗仿宋" w:hAnsi="彩虹粗仿宋" w:eastAsia="彩虹粗仿宋" w:cs="彩虹粗仿宋"/>
          <w:sz w:val="32"/>
          <w:szCs w:val="32"/>
        </w:rPr>
        <w:t>（4）违反法律法规和监管机构规定的其他严重情形。</w:t>
      </w:r>
    </w:p>
    <w:p>
      <w:pPr>
        <w:adjustRightInd w:val="0"/>
        <w:snapToGrid w:val="0"/>
        <w:spacing w:line="600" w:lineRule="exact"/>
        <w:ind w:firstLine="640" w:firstLineChars="200"/>
        <w:jc w:val="left"/>
        <w:outlineLvl w:val="2"/>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kern w:val="0"/>
          <w:sz w:val="32"/>
          <w:szCs w:val="32"/>
        </w:rPr>
        <w:t>6.</w:t>
      </w: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争端的解决</w:t>
      </w:r>
    </w:p>
    <w:p>
      <w:pPr>
        <w:adjustRightInd w:val="0"/>
        <w:snapToGrid w:val="0"/>
        <w:spacing w:line="600" w:lineRule="exact"/>
        <w:ind w:firstLine="640" w:firstLineChars="200"/>
        <w:jc w:val="left"/>
        <w:rPr>
          <w:rFonts w:ascii="彩虹粗仿宋" w:hAnsi="彩虹粗仿宋" w:eastAsia="彩虹粗仿宋" w:cs="彩虹粗仿宋"/>
          <w:snapToGrid w:val="0"/>
          <w:color w:val="000000" w:themeColor="text1"/>
          <w:kern w:val="0"/>
          <w:sz w:val="32"/>
          <w:szCs w:val="32"/>
          <w14:textFill>
            <w14:solidFill>
              <w14:schemeClr w14:val="tx1"/>
            </w14:solidFill>
          </w14:textFill>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合同协议有效期内若发生争议，应本着友好协商的态度加以妥善解决。协商不成的，向所在地人民法院起诉。诉讼期间，合同不涉及争议的条款，双方仍需继续履行。</w:t>
      </w:r>
    </w:p>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（七）验收方法和标准</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1、按照有关规定，每月</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 xml:space="preserve">公司110报警服务进行综合评价，按“合格”、“基本合格”、“不合格”进行测评考核。 </w:t>
      </w:r>
    </w:p>
    <w:p>
      <w:pPr>
        <w:adjustRightInd w:val="0"/>
        <w:snapToGrid w:val="0"/>
        <w:spacing w:line="560" w:lineRule="exact"/>
        <w:ind w:firstLine="640" w:firstLineChars="200"/>
        <w:rPr>
          <w:rFonts w:ascii="彩虹粗仿宋" w:hAnsi="宋体" w:eastAsia="彩虹粗仿宋" w:cs="Times New Roman"/>
          <w:snapToGrid w:val="0"/>
          <w:color w:val="FF0000"/>
          <w:kern w:val="0"/>
          <w:sz w:val="32"/>
          <w:szCs w:val="32"/>
        </w:rPr>
      </w:pPr>
      <w:r>
        <w:rPr>
          <w:rFonts w:hint="eastAsia" w:ascii="彩虹粗仿宋" w:hAnsi="彩虹粗仿宋" w:eastAsia="彩虹粗仿宋" w:cs="彩虹粗仿宋"/>
          <w:snapToGrid w:val="0"/>
          <w:kern w:val="0"/>
          <w:sz w:val="32"/>
          <w:szCs w:val="32"/>
        </w:rPr>
        <w:t>2、每月由我行使用单位按“合格”、“基本合格”、“不合格”进行测评考核，根据我行提供的测评情况对</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进行综合评价，合格岗位占服务总岗位90%（含）以上为总体合格、80%（含）以上90%以下为基本合格、80%以下为不合格，按总体合格、基本合格、不合格三个档次支付服务费用。总体合格档次支付全额服务费用，基本合格、不合格档次对</w:t>
      </w: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公司进行约谈，按照合同约定扣减相应费用。</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五、服务供应安排</w:t>
      </w:r>
    </w:p>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（一）报警监控</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kern w:val="0"/>
          <w:sz w:val="32"/>
          <w:szCs w:val="32"/>
        </w:rPr>
        <w:t>供应商</w:t>
      </w:r>
      <w:r>
        <w:rPr>
          <w:rFonts w:hint="eastAsia" w:ascii="彩虹粗仿宋" w:hAnsi="彩虹粗仿宋" w:eastAsia="彩虹粗仿宋" w:cs="彩虹粗仿宋"/>
          <w:snapToGrid w:val="0"/>
          <w:kern w:val="0"/>
          <w:sz w:val="32"/>
          <w:szCs w:val="32"/>
        </w:rPr>
        <w:t>公司按照报警联网设备合同的约定对我行各</w:t>
      </w:r>
      <w:r>
        <w:rPr>
          <w:rFonts w:hint="eastAsia" w:ascii="彩虹粗仿宋" w:hAnsi="彩虹粗仿宋" w:eastAsia="彩虹粗仿宋" w:cs="彩虹粗仿宋"/>
          <w:color w:val="000000" w:themeColor="text1"/>
          <w:sz w:val="32"/>
          <w:szCs w:val="32"/>
          <w14:textFill>
            <w14:solidFill>
              <w14:schemeClr w14:val="tx1"/>
            </w14:solidFill>
          </w14:textFill>
        </w:rPr>
        <w:t>地区辖内报警服务点（含网点、自助、金库、档案库房等）</w:t>
      </w:r>
      <w:r>
        <w:rPr>
          <w:rFonts w:hint="eastAsia" w:ascii="彩虹粗仿宋" w:hAnsi="彩虹粗仿宋" w:eastAsia="彩虹粗仿宋" w:cs="彩虹粗仿宋"/>
          <w:snapToGrid w:val="0"/>
          <w:kern w:val="0"/>
          <w:sz w:val="32"/>
          <w:szCs w:val="32"/>
        </w:rPr>
        <w:t>进行撤布防的监控。</w:t>
      </w:r>
    </w:p>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（二）设备巡检</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全年为我行网点的联网报警系统每季度进行1次全面的检修。</w:t>
      </w:r>
    </w:p>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（三）设备日常维修维护</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做好营业场所和办公楼等重点部位110联网线路设备和报警系统的的日常维护。</w:t>
      </w:r>
    </w:p>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（四）人员培训</w:t>
      </w:r>
    </w:p>
    <w:p>
      <w:pPr>
        <w:adjustRightInd w:val="0"/>
        <w:snapToGrid w:val="0"/>
        <w:spacing w:line="600" w:lineRule="exact"/>
        <w:ind w:firstLine="640" w:firstLineChars="200"/>
        <w:jc w:val="left"/>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每年对我行人员每季度提供1次安保设施设备维护使用培训。</w:t>
      </w:r>
    </w:p>
    <w:p>
      <w:pPr>
        <w:adjustRightInd w:val="0"/>
        <w:snapToGrid w:val="0"/>
        <w:spacing w:line="600" w:lineRule="exact"/>
        <w:ind w:firstLine="640" w:firstLineChars="200"/>
        <w:jc w:val="left"/>
        <w:outlineLvl w:val="1"/>
        <w:rPr>
          <w:rFonts w:ascii="彩虹粗仿宋" w:hAnsi="彩虹粗仿宋" w:eastAsia="彩虹粗仿宋" w:cs="彩虹粗仿宋"/>
          <w:snapToGrid w:val="0"/>
          <w:kern w:val="0"/>
          <w:sz w:val="32"/>
          <w:szCs w:val="32"/>
        </w:rPr>
      </w:pPr>
      <w:r>
        <w:rPr>
          <w:rFonts w:hint="eastAsia" w:ascii="彩虹粗仿宋" w:hAnsi="彩虹粗仿宋" w:eastAsia="彩虹粗仿宋" w:cs="彩虹粗仿宋"/>
          <w:snapToGrid w:val="0"/>
          <w:kern w:val="0"/>
          <w:sz w:val="32"/>
          <w:szCs w:val="32"/>
        </w:rPr>
        <w:t>（五）警情处置</w:t>
      </w:r>
    </w:p>
    <w:p>
      <w:pPr>
        <w:adjustRightInd w:val="0"/>
        <w:snapToGrid w:val="0"/>
        <w:spacing w:line="560" w:lineRule="exact"/>
        <w:ind w:firstLine="640" w:firstLineChars="200"/>
        <w:rPr>
          <w:rFonts w:ascii="彩虹粗仿宋" w:hAnsi="宋体" w:eastAsia="彩虹粗仿宋" w:cs="Times New Roman"/>
          <w:snapToGrid w:val="0"/>
          <w:color w:val="FF0000"/>
          <w:kern w:val="0"/>
          <w:sz w:val="32"/>
          <w:szCs w:val="32"/>
        </w:rPr>
      </w:pPr>
      <w:r>
        <w:rPr>
          <w:rFonts w:hint="eastAsia" w:ascii="彩虹粗仿宋" w:hAnsi="彩虹粗仿宋" w:eastAsia="彩虹粗仿宋" w:cs="彩虹粗仿宋"/>
          <w:snapToGrid w:val="0"/>
          <w:kern w:val="0"/>
          <w:sz w:val="32"/>
          <w:szCs w:val="32"/>
        </w:rPr>
        <w:t>供应商与“110”指挥中心24小时共同接收紧急报警信号，及时通知反馈处理。</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六、服务数量要求</w:t>
      </w:r>
    </w:p>
    <w:tbl>
      <w:tblPr>
        <w:tblStyle w:val="2"/>
        <w:tblW w:w="4998" w:type="pct"/>
        <w:tblInd w:w="0" w:type="dxa"/>
        <w:tblLayout w:type="autofit"/>
        <w:tblCellMar>
          <w:top w:w="0" w:type="dxa"/>
          <w:left w:w="108" w:type="dxa"/>
          <w:bottom w:w="0" w:type="dxa"/>
          <w:right w:w="108" w:type="dxa"/>
        </w:tblCellMar>
      </w:tblPr>
      <w:tblGrid>
        <w:gridCol w:w="583"/>
        <w:gridCol w:w="1135"/>
        <w:gridCol w:w="2730"/>
        <w:gridCol w:w="1280"/>
        <w:gridCol w:w="2791"/>
      </w:tblGrid>
      <w:tr>
        <w:tblPrEx>
          <w:tblCellMar>
            <w:top w:w="0" w:type="dxa"/>
            <w:left w:w="108" w:type="dxa"/>
            <w:bottom w:w="0" w:type="dxa"/>
            <w:right w:w="108" w:type="dxa"/>
          </w:tblCellMar>
        </w:tblPrEx>
        <w:trPr>
          <w:trHeight w:val="540" w:hRule="atLeast"/>
        </w:trPr>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序号</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二级行</w:t>
            </w:r>
          </w:p>
        </w:tc>
        <w:tc>
          <w:tcPr>
            <w:tcW w:w="16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服务区域</w:t>
            </w:r>
          </w:p>
        </w:tc>
        <w:tc>
          <w:tcPr>
            <w:tcW w:w="7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点位数量</w:t>
            </w:r>
          </w:p>
        </w:tc>
        <w:tc>
          <w:tcPr>
            <w:tcW w:w="16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lang w:bidi="ar"/>
              </w:rPr>
              <w:t>备注</w:t>
            </w:r>
          </w:p>
        </w:tc>
      </w:tr>
      <w:tr>
        <w:tblPrEx>
          <w:tblCellMar>
            <w:top w:w="0" w:type="dxa"/>
            <w:left w:w="108" w:type="dxa"/>
            <w:bottom w:w="0" w:type="dxa"/>
            <w:right w:w="108" w:type="dxa"/>
          </w:tblCellMar>
        </w:tblPrEx>
        <w:trPr>
          <w:trHeight w:val="440" w:hRule="atLeast"/>
        </w:trPr>
        <w:tc>
          <w:tcPr>
            <w:tcW w:w="34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1</w:t>
            </w:r>
          </w:p>
        </w:tc>
        <w:tc>
          <w:tcPr>
            <w:tcW w:w="666"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新乡分行</w:t>
            </w:r>
          </w:p>
        </w:tc>
        <w:tc>
          <w:tcPr>
            <w:tcW w:w="160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bidi="ar"/>
              </w:rPr>
              <w:t>对新乡分行封丘支行辖区内报警设备（含网点、自助等）提供监控、处置、维护等服务</w:t>
            </w:r>
          </w:p>
        </w:tc>
        <w:tc>
          <w:tcPr>
            <w:tcW w:w="75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lang w:bidi="ar"/>
              </w:rPr>
              <w:t>3</w:t>
            </w:r>
          </w:p>
        </w:tc>
        <w:tc>
          <w:tcPr>
            <w:tcW w:w="163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eastAsia="宋体" w:cs="宋体"/>
                <w:color w:val="000000"/>
                <w:sz w:val="22"/>
              </w:rPr>
            </w:pPr>
          </w:p>
        </w:tc>
      </w:tr>
    </w:tbl>
    <w:p>
      <w:pPr>
        <w:adjustRightInd w:val="0"/>
        <w:snapToGrid w:val="0"/>
        <w:spacing w:line="560" w:lineRule="exact"/>
        <w:ind w:firstLine="640" w:firstLineChars="200"/>
        <w:rPr>
          <w:rFonts w:ascii="彩虹粗仿宋" w:hAnsi="宋体" w:eastAsia="彩虹粗仿宋" w:cs="Times New Roman"/>
          <w:snapToGrid w:val="0"/>
          <w:color w:val="FF0000"/>
          <w:kern w:val="0"/>
          <w:sz w:val="32"/>
          <w:szCs w:val="32"/>
        </w:rPr>
      </w:pP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七、款项支付要求</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按月据实结算费用，供应商在完成我行辖内各重点部位110报警任务完成后，提供符合我行账务处理要求的增值税专用发票，经使用单位确认，无遗留问题，根据服务情况和考核结果，将上月度110报警服务费用转入供应商指定银行账户，如遇增加或减少维护数量,按实际每处单价进行调增或调减。</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八、报价要求</w:t>
      </w:r>
    </w:p>
    <w:p>
      <w:pPr>
        <w:adjustRightInd w:val="0"/>
        <w:snapToGrid w:val="0"/>
        <w:spacing w:line="560" w:lineRule="exact"/>
        <w:ind w:firstLine="633" w:firstLineChars="198"/>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本次采购项目为新乡分行封丘支行110联网报警服务，按照各地市二级分（支）行所辖内110报警服务网点数量，按“元/点/月”报含税单价和含税总价，超过预算为无效报价。</w:t>
      </w:r>
    </w:p>
    <w:p>
      <w:pPr>
        <w:adjustRightInd w:val="0"/>
        <w:snapToGrid w:val="0"/>
        <w:spacing w:line="560" w:lineRule="exact"/>
        <w:ind w:firstLine="640" w:firstLineChars="2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新乡分行封丘支行110联网报警服务采购预算情况如下：</w:t>
      </w:r>
    </w:p>
    <w:tbl>
      <w:tblPr>
        <w:tblStyle w:val="2"/>
        <w:tblW w:w="0" w:type="auto"/>
        <w:tblInd w:w="0" w:type="dxa"/>
        <w:tblLayout w:type="autofit"/>
        <w:tblCellMar>
          <w:top w:w="0" w:type="dxa"/>
          <w:left w:w="0" w:type="dxa"/>
          <w:bottom w:w="0" w:type="dxa"/>
          <w:right w:w="0" w:type="dxa"/>
        </w:tblCellMar>
      </w:tblPr>
      <w:tblGrid>
        <w:gridCol w:w="530"/>
        <w:gridCol w:w="2543"/>
        <w:gridCol w:w="1670"/>
        <w:gridCol w:w="1795"/>
        <w:gridCol w:w="1795"/>
      </w:tblGrid>
      <w:tr>
        <w:trPr>
          <w:trHeight w:val="31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等线" w:hAnsi="等线" w:eastAsia="等线" w:cs="等线"/>
                <w:b/>
                <w:bCs/>
                <w:color w:val="000000"/>
                <w:sz w:val="28"/>
                <w:szCs w:val="28"/>
              </w:rPr>
            </w:pPr>
            <w:r>
              <w:rPr>
                <w:rFonts w:hint="eastAsia" w:ascii="等线" w:hAnsi="等线" w:eastAsia="等线" w:cs="等线"/>
                <w:b/>
                <w:bCs/>
                <w:color w:val="000000"/>
                <w:kern w:val="0"/>
                <w:sz w:val="28"/>
                <w:szCs w:val="28"/>
                <w:lang w:bidi="ar"/>
              </w:rPr>
              <w:t>序号</w:t>
            </w:r>
          </w:p>
        </w:tc>
        <w:tc>
          <w:tcPr>
            <w:tcW w:w="25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彩虹粗仿宋" w:hAnsi="彩虹粗仿宋" w:eastAsia="彩虹粗仿宋" w:cs="彩虹粗仿宋"/>
                <w:b/>
                <w:bCs/>
                <w:color w:val="000000"/>
                <w:sz w:val="28"/>
                <w:szCs w:val="28"/>
              </w:rPr>
            </w:pPr>
            <w:r>
              <w:rPr>
                <w:rFonts w:hint="eastAsia" w:ascii="彩虹粗仿宋" w:hAnsi="彩虹粗仿宋" w:eastAsia="彩虹粗仿宋" w:cs="彩虹粗仿宋"/>
                <w:b/>
                <w:bCs/>
                <w:color w:val="000000"/>
                <w:kern w:val="0"/>
                <w:sz w:val="28"/>
                <w:szCs w:val="28"/>
                <w:lang w:bidi="ar"/>
              </w:rPr>
              <w:t>项目名称</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彩虹粗仿宋" w:hAnsi="彩虹粗仿宋" w:eastAsia="彩虹粗仿宋" w:cs="彩虹粗仿宋"/>
                <w:b/>
                <w:bCs/>
                <w:color w:val="000000"/>
                <w:sz w:val="28"/>
                <w:szCs w:val="28"/>
              </w:rPr>
            </w:pPr>
            <w:r>
              <w:rPr>
                <w:rFonts w:hint="eastAsia" w:ascii="彩虹粗仿宋" w:hAnsi="彩虹粗仿宋" w:eastAsia="彩虹粗仿宋" w:cs="彩虹粗仿宋"/>
                <w:b/>
                <w:bCs/>
                <w:color w:val="000000"/>
                <w:kern w:val="0"/>
                <w:sz w:val="28"/>
                <w:szCs w:val="28"/>
                <w:lang w:bidi="ar"/>
              </w:rPr>
              <w:t>单价（月/点）</w:t>
            </w:r>
          </w:p>
        </w:tc>
        <w:tc>
          <w:tcPr>
            <w:tcW w:w="17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彩虹粗仿宋" w:hAnsi="彩虹粗仿宋" w:eastAsia="彩虹粗仿宋" w:cs="彩虹粗仿宋"/>
                <w:b/>
                <w:bCs/>
                <w:color w:val="000000"/>
                <w:sz w:val="28"/>
                <w:szCs w:val="28"/>
              </w:rPr>
            </w:pPr>
            <w:r>
              <w:rPr>
                <w:rFonts w:hint="eastAsia" w:ascii="彩虹粗仿宋" w:hAnsi="彩虹粗仿宋" w:eastAsia="彩虹粗仿宋" w:cs="彩虹粗仿宋"/>
                <w:b/>
                <w:bCs/>
                <w:color w:val="000000"/>
                <w:sz w:val="28"/>
                <w:szCs w:val="28"/>
              </w:rPr>
              <w:t>数量</w:t>
            </w:r>
          </w:p>
        </w:tc>
        <w:tc>
          <w:tcPr>
            <w:tcW w:w="17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彩虹粗仿宋" w:hAnsi="彩虹粗仿宋" w:eastAsia="彩虹粗仿宋" w:cs="彩虹粗仿宋"/>
                <w:b/>
                <w:bCs/>
                <w:color w:val="000000"/>
                <w:sz w:val="28"/>
                <w:szCs w:val="28"/>
              </w:rPr>
            </w:pPr>
            <w:r>
              <w:rPr>
                <w:rFonts w:hint="eastAsia" w:ascii="彩虹粗仿宋" w:hAnsi="彩虹粗仿宋" w:eastAsia="彩虹粗仿宋" w:cs="彩虹粗仿宋"/>
                <w:b/>
                <w:bCs/>
                <w:color w:val="000000"/>
                <w:sz w:val="28"/>
                <w:szCs w:val="28"/>
              </w:rPr>
              <w:t>合计（元）</w:t>
            </w:r>
          </w:p>
        </w:tc>
      </w:tr>
      <w:tr>
        <w:tblPrEx>
          <w:tblCellMar>
            <w:top w:w="0" w:type="dxa"/>
            <w:left w:w="0" w:type="dxa"/>
            <w:bottom w:w="0" w:type="dxa"/>
            <w:right w:w="0" w:type="dxa"/>
          </w:tblCellMar>
        </w:tblPrEx>
        <w:trPr>
          <w:trHeight w:val="315" w:hRule="atLeast"/>
        </w:trPr>
        <w:tc>
          <w:tcPr>
            <w:tcW w:w="5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等线" w:hAnsi="等线" w:eastAsia="等线" w:cs="等线"/>
                <w:color w:val="000000"/>
                <w:sz w:val="24"/>
                <w:szCs w:val="24"/>
              </w:rPr>
            </w:pPr>
            <w:r>
              <w:rPr>
                <w:rFonts w:hint="eastAsia" w:ascii="彩虹粗仿宋" w:hAnsi="彩虹粗仿宋" w:eastAsia="彩虹粗仿宋" w:cs="彩虹粗仿宋"/>
                <w:color w:val="000000"/>
                <w:kern w:val="0"/>
                <w:sz w:val="20"/>
                <w:szCs w:val="20"/>
                <w:lang w:bidi="ar"/>
              </w:rPr>
              <w:t>1</w:t>
            </w:r>
          </w:p>
        </w:tc>
        <w:tc>
          <w:tcPr>
            <w:tcW w:w="25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彩虹粗仿宋" w:hAnsi="彩虹粗仿宋" w:eastAsia="彩虹粗仿宋" w:cs="彩虹粗仿宋"/>
                <w:color w:val="000000"/>
                <w:sz w:val="24"/>
                <w:szCs w:val="24"/>
              </w:rPr>
            </w:pPr>
            <w:r>
              <w:rPr>
                <w:rFonts w:hint="eastAsia" w:ascii="彩虹粗仿宋" w:hAnsi="彩虹粗仿宋" w:eastAsia="彩虹粗仿宋" w:cs="彩虹粗仿宋"/>
                <w:color w:val="000000"/>
                <w:kern w:val="0"/>
                <w:sz w:val="20"/>
                <w:szCs w:val="20"/>
                <w:lang w:bidi="ar"/>
              </w:rPr>
              <w:t>新乡分行封丘支行110联网报警</w:t>
            </w:r>
          </w:p>
        </w:tc>
        <w:tc>
          <w:tcPr>
            <w:tcW w:w="16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彩虹粗仿宋" w:hAnsi="彩虹粗仿宋" w:eastAsia="彩虹粗仿宋" w:cs="彩虹粗仿宋"/>
                <w:color w:val="000000"/>
                <w:sz w:val="24"/>
                <w:szCs w:val="24"/>
              </w:rPr>
            </w:pPr>
            <w:r>
              <w:rPr>
                <w:rFonts w:hint="eastAsia" w:ascii="彩虹粗仿宋" w:hAnsi="彩虹粗仿宋" w:eastAsia="彩虹粗仿宋" w:cs="彩虹粗仿宋"/>
                <w:color w:val="000000"/>
                <w:kern w:val="0"/>
                <w:sz w:val="20"/>
                <w:szCs w:val="20"/>
                <w:lang w:bidi="ar"/>
              </w:rPr>
              <w:t xml:space="preserve">150.00 </w:t>
            </w:r>
          </w:p>
        </w:tc>
        <w:tc>
          <w:tcPr>
            <w:tcW w:w="17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彩虹粗仿宋" w:hAnsi="彩虹粗仿宋" w:eastAsia="彩虹粗仿宋" w:cs="彩虹粗仿宋"/>
                <w:color w:val="000000"/>
                <w:sz w:val="24"/>
                <w:szCs w:val="24"/>
              </w:rPr>
            </w:pPr>
            <w:r>
              <w:rPr>
                <w:rFonts w:hint="eastAsia" w:ascii="彩虹粗仿宋" w:hAnsi="彩虹粗仿宋" w:eastAsia="彩虹粗仿宋" w:cs="彩虹粗仿宋"/>
                <w:color w:val="000000"/>
                <w:kern w:val="0"/>
                <w:sz w:val="18"/>
                <w:szCs w:val="18"/>
                <w:lang w:bidi="ar"/>
              </w:rPr>
              <w:t>3</w:t>
            </w:r>
          </w:p>
        </w:tc>
        <w:tc>
          <w:tcPr>
            <w:tcW w:w="179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彩虹粗仿宋" w:hAnsi="彩虹粗仿宋" w:eastAsia="彩虹粗仿宋" w:cs="彩虹粗仿宋"/>
                <w:color w:val="000000"/>
                <w:kern w:val="0"/>
                <w:sz w:val="18"/>
                <w:szCs w:val="18"/>
                <w:lang w:bidi="ar"/>
              </w:rPr>
            </w:pPr>
            <w:r>
              <w:rPr>
                <w:rFonts w:hint="eastAsia" w:ascii="彩虹粗仿宋" w:hAnsi="彩虹粗仿宋" w:eastAsia="彩虹粗仿宋" w:cs="彩虹粗仿宋"/>
                <w:color w:val="000000"/>
                <w:kern w:val="0"/>
                <w:sz w:val="18"/>
                <w:szCs w:val="18"/>
                <w:lang w:bidi="ar"/>
              </w:rPr>
              <w:t>5400</w:t>
            </w:r>
          </w:p>
        </w:tc>
      </w:tr>
    </w:tbl>
    <w:p>
      <w:pPr>
        <w:adjustRightInd w:val="0"/>
        <w:snapToGrid w:val="0"/>
        <w:spacing w:line="560" w:lineRule="exact"/>
        <w:ind w:firstLine="640" w:firstLineChars="200"/>
        <w:rPr>
          <w:rFonts w:ascii="彩虹黑体" w:hAnsi="宋体" w:eastAsia="彩虹黑体" w:cs="Times New Roman"/>
          <w:snapToGrid w:val="0"/>
          <w:kern w:val="0"/>
          <w:sz w:val="32"/>
          <w:szCs w:val="32"/>
        </w:rPr>
      </w:pP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九、其他要求</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小标宋">
    <w:panose1 w:val="03000509000000000000"/>
    <w:charset w:val="86"/>
    <w:family w:val="auto"/>
    <w:pitch w:val="default"/>
    <w:sig w:usb0="00000001" w:usb1="080E0000" w:usb2="00000000" w:usb3="00000000" w:csb0="00040000" w:csb1="00000000"/>
  </w:font>
  <w:font w:name="彩虹黑体">
    <w:panose1 w:val="03000509000000000000"/>
    <w:charset w:val="86"/>
    <w:family w:val="script"/>
    <w:pitch w:val="default"/>
    <w:sig w:usb0="00000001" w:usb1="080E0000" w:usb2="00000000" w:usb3="00000000" w:csb0="00040000" w:csb1="00000000"/>
  </w:font>
  <w:font w:name="彩虹粗仿宋">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C682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im-content1"/>
    <w:basedOn w:val="3"/>
    <w:qFormat/>
    <w:uiPriority w:val="0"/>
    <w:rPr>
      <w:color w:val="00000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2024-05-23T00:56:01Z</dcterms:created>
  <dc:creator>haccb</dc:creator>
  <cp:lastModifiedBy>haccb</cp:lastModifiedBy>
  <dcterms:modified xsi:type="dcterms:W3CDTF">2024-05-23T00:56:27Z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6981FEBEF2D14C6B8820CA8FE3A44D77_12</vt:lpwstr>
  </property>
</Properties>
</file>