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jc w:val="center"/>
        <w:rPr>
          <w:rFonts w:ascii="彩虹小标宋" w:hAnsi="宋体" w:eastAsia="彩虹小标宋" w:cs="Times New Roman"/>
          <w:bCs/>
          <w:snapToGrid w:val="0"/>
          <w:color w:val="auto"/>
          <w:kern w:val="0"/>
          <w:sz w:val="36"/>
          <w:szCs w:val="36"/>
        </w:rPr>
      </w:pPr>
      <w:r>
        <w:rPr>
          <w:rFonts w:hint="eastAsia" w:ascii="彩虹小标宋" w:hAnsi="宋体" w:eastAsia="彩虹小标宋" w:cs="Times New Roman"/>
          <w:bCs/>
          <w:snapToGrid w:val="0"/>
          <w:color w:val="auto"/>
          <w:kern w:val="0"/>
          <w:sz w:val="36"/>
          <w:szCs w:val="36"/>
          <w:highlight w:val="yellow"/>
        </w:rPr>
        <w:t>公安</w:t>
      </w:r>
      <w:r>
        <w:rPr>
          <w:rFonts w:ascii="彩虹小标宋" w:hAnsi="宋体" w:eastAsia="彩虹小标宋" w:cs="Times New Roman"/>
          <w:bCs/>
          <w:snapToGrid w:val="0"/>
          <w:color w:val="auto"/>
          <w:kern w:val="0"/>
          <w:sz w:val="36"/>
          <w:szCs w:val="36"/>
          <w:highlight w:val="yellow"/>
        </w:rPr>
        <w:t>110联网报警服务</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一、对候选供应商的要求</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（一）具有独立法人资格，有效的营业执照。</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（二）正常经营，财务状况良好，提供近三年（</w:t>
      </w:r>
      <w:r>
        <w:rPr>
          <w:rStyle w:val="5"/>
          <w:rFonts w:ascii="彩虹粗仿宋" w:hAnsi="微软雅黑" w:eastAsia="彩虹粗仿宋"/>
          <w:color w:val="auto"/>
          <w:sz w:val="32"/>
          <w:szCs w:val="32"/>
        </w:rPr>
        <w:t>202</w:t>
      </w:r>
      <w:r>
        <w:rPr>
          <w:rStyle w:val="5"/>
          <w:rFonts w:hint="eastAsia" w:ascii="彩虹粗仿宋" w:hAnsi="微软雅黑" w:eastAsia="彩虹粗仿宋"/>
          <w:color w:val="auto"/>
          <w:sz w:val="32"/>
          <w:szCs w:val="32"/>
          <w:lang w:val="en-US" w:eastAsia="zh-CN"/>
        </w:rPr>
        <w:t>0</w:t>
      </w:r>
      <w:r>
        <w:rPr>
          <w:rStyle w:val="5"/>
          <w:rFonts w:ascii="彩虹粗仿宋" w:hAnsi="微软雅黑" w:eastAsia="彩虹粗仿宋"/>
          <w:color w:val="auto"/>
          <w:sz w:val="32"/>
          <w:szCs w:val="32"/>
        </w:rPr>
        <w:t>年-202</w:t>
      </w:r>
      <w:r>
        <w:rPr>
          <w:rStyle w:val="5"/>
          <w:rFonts w:hint="eastAsia" w:ascii="彩虹粗仿宋" w:hAnsi="微软雅黑" w:eastAsia="彩虹粗仿宋"/>
          <w:color w:val="auto"/>
          <w:sz w:val="32"/>
          <w:szCs w:val="32"/>
          <w:lang w:val="en-US" w:eastAsia="zh-CN"/>
        </w:rPr>
        <w:t>2</w:t>
      </w:r>
      <w:bookmarkStart w:id="0" w:name="_GoBack"/>
      <w:bookmarkEnd w:id="0"/>
      <w:r>
        <w:rPr>
          <w:rStyle w:val="5"/>
          <w:rFonts w:ascii="彩虹粗仿宋" w:hAnsi="微软雅黑" w:eastAsia="彩虹粗仿宋"/>
          <w:color w:val="auto"/>
          <w:sz w:val="32"/>
          <w:szCs w:val="32"/>
        </w:rPr>
        <w:t>年）的经审计的财务报告或财务报表（新成立企业从成立日计算）</w:t>
      </w:r>
    </w:p>
    <w:p>
      <w:pPr>
        <w:adjustRightInd w:val="0"/>
        <w:snapToGrid w:val="0"/>
        <w:spacing w:line="560" w:lineRule="exact"/>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 xml:space="preserve">   （三）具有固定的办公场所、健全的组织管理机构。</w:t>
      </w:r>
    </w:p>
    <w:p>
      <w:pPr>
        <w:adjustRightInd w:val="0"/>
        <w:snapToGrid w:val="0"/>
        <w:spacing w:line="560" w:lineRule="exact"/>
        <w:ind w:firstLine="420"/>
        <w:rPr>
          <w:rStyle w:val="5"/>
          <w:rFonts w:ascii="彩虹粗仿宋" w:hAnsi="微软雅黑" w:eastAsia="彩虹粗仿宋"/>
          <w:color w:val="auto"/>
          <w:sz w:val="32"/>
          <w:szCs w:val="32"/>
        </w:rPr>
      </w:pPr>
      <w:r>
        <w:rPr>
          <w:rStyle w:val="5"/>
          <w:rFonts w:hint="eastAsia" w:ascii="彩虹粗仿宋" w:hAnsi="微软雅黑" w:eastAsia="彩虹粗仿宋"/>
          <w:color w:val="auto"/>
          <w:sz w:val="32"/>
          <w:szCs w:val="32"/>
        </w:rPr>
        <w:t>（四）2021年1月1日以来具有</w:t>
      </w:r>
      <w:r>
        <w:rPr>
          <w:rStyle w:val="5"/>
          <w:rFonts w:ascii="彩虹粗仿宋" w:hAnsi="微软雅黑" w:eastAsia="彩虹粗仿宋"/>
          <w:color w:val="auto"/>
          <w:sz w:val="32"/>
          <w:szCs w:val="32"/>
        </w:rPr>
        <w:t>110报警同类项目经验（提供合同）。</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二、服务基本内容</w:t>
      </w:r>
    </w:p>
    <w:p>
      <w:pPr>
        <w:adjustRightInd w:val="0"/>
        <w:snapToGrid w:val="0"/>
        <w:spacing w:line="60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（一）商品品类</w:t>
      </w:r>
    </w:p>
    <w:tbl>
      <w:tblPr>
        <w:tblStyle w:val="3"/>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监控报警专线服务</w:t>
            </w:r>
          </w:p>
        </w:tc>
      </w:tr>
    </w:tbl>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（二）服务内容</w:t>
      </w:r>
    </w:p>
    <w:p>
      <w:pPr>
        <w:adjustRightInd w:val="0"/>
        <w:snapToGrid w:val="0"/>
        <w:spacing w:line="560" w:lineRule="exact"/>
        <w:ind w:firstLine="640" w:firstLineChars="200"/>
        <w:rPr>
          <w:rFonts w:ascii="彩虹粗仿宋" w:hAnsi="彩虹粗仿宋" w:eastAsia="彩虹粗仿宋" w:cs="彩虹粗仿宋"/>
          <w:color w:val="auto"/>
          <w:sz w:val="32"/>
          <w:szCs w:val="32"/>
        </w:rPr>
      </w:pPr>
      <w:r>
        <w:rPr>
          <w:rFonts w:hint="eastAsia" w:ascii="彩虹粗仿宋" w:hAnsi="彩虹粗仿宋" w:eastAsia="彩虹粗仿宋" w:cs="彩虹粗仿宋"/>
          <w:snapToGrid w:val="0"/>
          <w:color w:val="auto"/>
          <w:kern w:val="0"/>
          <w:sz w:val="32"/>
          <w:szCs w:val="32"/>
        </w:rPr>
        <w:t>洛阳市所辖重点部位（金库）、营业网点、离行式自助银行（自助设备）、办公楼、档案库、计算机房等99个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color w:val="auto"/>
          <w:sz w:val="32"/>
          <w:szCs w:val="32"/>
        </w:rPr>
        <w:t>对报警设备巡检维修维护及时，确保守护目标的安全。</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color w:val="auto"/>
          <w:kern w:val="0"/>
          <w:sz w:val="32"/>
          <w:szCs w:val="32"/>
        </w:rPr>
      </w:pPr>
      <w:r>
        <w:rPr>
          <w:rFonts w:hint="eastAsia" w:ascii="彩虹粗仿宋" w:hAnsi="彩虹粗仿宋" w:eastAsia="彩虹粗仿宋" w:cs="彩虹粗仿宋"/>
          <w:color w:val="auto"/>
          <w:kern w:val="0"/>
          <w:sz w:val="32"/>
          <w:szCs w:val="32"/>
        </w:rPr>
        <w:t>（一）供应商安排1名团队负责人做日常对接，且具有110联网报警服务经验2年以上；</w:t>
      </w:r>
    </w:p>
    <w:p>
      <w:pPr>
        <w:adjustRightInd w:val="0"/>
        <w:snapToGrid w:val="0"/>
        <w:spacing w:line="600" w:lineRule="exact"/>
        <w:ind w:firstLine="640" w:firstLineChars="200"/>
        <w:jc w:val="left"/>
        <w:rPr>
          <w:rFonts w:ascii="彩虹粗仿宋" w:hAnsi="彩虹粗仿宋" w:eastAsia="彩虹粗仿宋" w:cs="彩虹粗仿宋"/>
          <w:color w:val="auto"/>
          <w:kern w:val="0"/>
          <w:sz w:val="32"/>
          <w:szCs w:val="32"/>
        </w:rPr>
      </w:pPr>
      <w:r>
        <w:rPr>
          <w:rFonts w:hint="eastAsia" w:ascii="彩虹粗仿宋" w:hAnsi="彩虹粗仿宋" w:eastAsia="彩虹粗仿宋" w:cs="彩虹粗仿宋"/>
          <w:color w:val="auto"/>
          <w:kern w:val="0"/>
          <w:sz w:val="32"/>
          <w:szCs w:val="32"/>
        </w:rPr>
        <w:t>（二）团队人员经过专业培训，能正常维修设备故障；</w:t>
      </w:r>
    </w:p>
    <w:p>
      <w:pPr>
        <w:adjustRightInd w:val="0"/>
        <w:snapToGrid w:val="0"/>
        <w:spacing w:line="600" w:lineRule="exact"/>
        <w:ind w:firstLine="640" w:firstLineChars="200"/>
        <w:jc w:val="left"/>
        <w:rPr>
          <w:rFonts w:ascii="彩虹粗仿宋" w:hAnsi="彩虹粗仿宋" w:eastAsia="彩虹粗仿宋" w:cs="彩虹粗仿宋"/>
          <w:color w:val="auto"/>
          <w:kern w:val="0"/>
          <w:sz w:val="32"/>
          <w:szCs w:val="32"/>
        </w:rPr>
      </w:pPr>
      <w:r>
        <w:rPr>
          <w:rFonts w:hint="eastAsia" w:ascii="彩虹粗仿宋" w:hAnsi="彩虹粗仿宋" w:eastAsia="彩虹粗仿宋" w:cs="彩虹粗仿宋"/>
          <w:color w:val="auto"/>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color w:val="auto"/>
          <w:kern w:val="0"/>
          <w:sz w:val="32"/>
          <w:szCs w:val="32"/>
        </w:rPr>
      </w:pPr>
      <w:r>
        <w:rPr>
          <w:rFonts w:hint="eastAsia" w:ascii="彩虹粗仿宋" w:hAnsi="彩虹粗仿宋" w:eastAsia="彩虹粗仿宋" w:cs="彩虹粗仿宋"/>
          <w:color w:val="auto"/>
          <w:kern w:val="0"/>
          <w:sz w:val="32"/>
          <w:szCs w:val="32"/>
        </w:rPr>
        <w:t>（四）服务团队为我行服务人员提供营运期间的支持保障及应急工作；</w:t>
      </w:r>
    </w:p>
    <w:p>
      <w:pPr>
        <w:adjustRightInd w:val="0"/>
        <w:snapToGrid w:val="0"/>
        <w:spacing w:line="560" w:lineRule="exact"/>
        <w:ind w:firstLine="640" w:firstLineChars="200"/>
        <w:rPr>
          <w:rFonts w:ascii="彩虹粗仿宋" w:hAnsi="彩虹粗仿宋" w:eastAsia="彩虹粗仿宋" w:cs="彩虹粗仿宋"/>
          <w:color w:val="auto"/>
          <w:kern w:val="0"/>
          <w:sz w:val="32"/>
          <w:szCs w:val="32"/>
        </w:rPr>
      </w:pPr>
      <w:r>
        <w:rPr>
          <w:rFonts w:hint="eastAsia" w:ascii="彩虹粗仿宋" w:hAnsi="彩虹粗仿宋" w:eastAsia="彩虹粗仿宋" w:cs="彩虹粗仿宋"/>
          <w:color w:val="auto"/>
          <w:kern w:val="0"/>
          <w:sz w:val="32"/>
          <w:szCs w:val="32"/>
        </w:rPr>
        <w:t>（五）团队人员具备一定的专业技能，能正确处理服务中出现的各种情况并进行有效处置。</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四、服务质量要求</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（一）服务质量标准</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（二）风险控制要求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供应商不得以我行名义进行用工管理或开展生产经营活动，服务人员应与供应商公司依法订立劳动合同，防范服务类业务用工风险。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（2）每季度至少开展一次供应商公司服务检查，并形成检查报告，召开联席会对检查中发现的问题进行通报，限期整改和落实，每年度结束后形成年度评估报告。</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（3）建立健全安全责任制，完善沟通协作机制。根据110报警联网维护服务不同工作性质，明确人员岗位职责，规范流程，不断提升服务人员的业务素质和技能，为我行提供更加安全的110报警服务。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（三）保密要求</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2、服务人员须签订保密协议，不得利用工作之便窃取、收买或者非法提供他人申请信息资料进行各种非法活动。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3、由于</w:t>
      </w:r>
      <w:r>
        <w:rPr>
          <w:rFonts w:hint="eastAsia" w:ascii="彩虹粗仿宋" w:hAnsi="彩虹粗仿宋" w:eastAsia="彩虹粗仿宋" w:cs="彩虹粗仿宋"/>
          <w:color w:val="auto"/>
          <w:kern w:val="0"/>
          <w:sz w:val="32"/>
          <w:szCs w:val="32"/>
        </w:rPr>
        <w:t>供应商</w:t>
      </w:r>
      <w:r>
        <w:rPr>
          <w:rFonts w:hint="eastAsia" w:ascii="彩虹粗仿宋" w:hAnsi="彩虹粗仿宋" w:eastAsia="彩虹粗仿宋" w:cs="彩虹粗仿宋"/>
          <w:snapToGrid w:val="0"/>
          <w:color w:val="auto"/>
          <w:kern w:val="0"/>
          <w:sz w:val="32"/>
          <w:szCs w:val="32"/>
        </w:rPr>
        <w:t>公司及公司服务人员原因导致我行及客户信息泄漏的，我行将追究相关法律责任。</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4、</w:t>
      </w:r>
      <w:r>
        <w:rPr>
          <w:rFonts w:hint="eastAsia" w:ascii="彩虹粗仿宋" w:hAnsi="彩虹粗仿宋" w:eastAsia="彩虹粗仿宋" w:cs="彩虹粗仿宋"/>
          <w:color w:val="auto"/>
          <w:kern w:val="0"/>
          <w:sz w:val="32"/>
          <w:szCs w:val="32"/>
        </w:rPr>
        <w:t>供应商</w:t>
      </w:r>
      <w:r>
        <w:rPr>
          <w:rFonts w:hint="eastAsia" w:ascii="彩虹粗仿宋" w:hAnsi="彩虹粗仿宋" w:eastAsia="彩虹粗仿宋" w:cs="彩虹粗仿宋"/>
          <w:snapToGrid w:val="0"/>
          <w:color w:val="auto"/>
          <w:kern w:val="0"/>
          <w:sz w:val="32"/>
          <w:szCs w:val="32"/>
        </w:rPr>
        <w:t>应严守我行的商业秘密、技术秘密和其他商业及业务信息，不得泄露。</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（四）应急预案要求</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1、</w:t>
      </w:r>
      <w:r>
        <w:rPr>
          <w:rFonts w:hint="eastAsia" w:ascii="彩虹粗仿宋" w:hAnsi="彩虹粗仿宋" w:eastAsia="彩虹粗仿宋" w:cs="彩虹粗仿宋"/>
          <w:color w:val="auto"/>
          <w:kern w:val="0"/>
          <w:sz w:val="32"/>
          <w:szCs w:val="32"/>
        </w:rPr>
        <w:t>供应商</w:t>
      </w:r>
      <w:r>
        <w:rPr>
          <w:rFonts w:hint="eastAsia" w:ascii="彩虹粗仿宋" w:hAnsi="彩虹粗仿宋" w:eastAsia="彩虹粗仿宋" w:cs="彩虹粗仿宋"/>
          <w:snapToGrid w:val="0"/>
          <w:color w:val="auto"/>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2、因服务人员原因造成我行及客户信息泄露、客户投诉等风险，</w:t>
      </w:r>
      <w:r>
        <w:rPr>
          <w:rFonts w:hint="eastAsia" w:ascii="彩虹粗仿宋" w:hAnsi="彩虹粗仿宋" w:eastAsia="彩虹粗仿宋" w:cs="彩虹粗仿宋"/>
          <w:color w:val="auto"/>
          <w:kern w:val="0"/>
          <w:sz w:val="32"/>
          <w:szCs w:val="32"/>
        </w:rPr>
        <w:t>供应商</w:t>
      </w:r>
      <w:r>
        <w:rPr>
          <w:rFonts w:hint="eastAsia" w:ascii="彩虹粗仿宋" w:hAnsi="彩虹粗仿宋" w:eastAsia="彩虹粗仿宋" w:cs="彩虹粗仿宋"/>
          <w:snapToGrid w:val="0"/>
          <w:color w:val="auto"/>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3、由于</w:t>
      </w:r>
      <w:r>
        <w:rPr>
          <w:rFonts w:hint="eastAsia" w:ascii="彩虹粗仿宋" w:hAnsi="彩虹粗仿宋" w:eastAsia="彩虹粗仿宋" w:cs="彩虹粗仿宋"/>
          <w:color w:val="auto"/>
          <w:kern w:val="0"/>
          <w:sz w:val="32"/>
          <w:szCs w:val="32"/>
        </w:rPr>
        <w:t>供应商</w:t>
      </w:r>
      <w:r>
        <w:rPr>
          <w:rFonts w:hint="eastAsia" w:ascii="彩虹粗仿宋" w:hAnsi="彩虹粗仿宋" w:eastAsia="彩虹粗仿宋" w:cs="彩虹粗仿宋"/>
          <w:snapToGrid w:val="0"/>
          <w:color w:val="auto"/>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color w:val="auto"/>
          <w:kern w:val="0"/>
          <w:sz w:val="32"/>
          <w:szCs w:val="32"/>
        </w:rPr>
        <w:t>供应商</w:t>
      </w:r>
      <w:r>
        <w:rPr>
          <w:rFonts w:hint="eastAsia" w:ascii="彩虹粗仿宋" w:hAnsi="彩虹粗仿宋" w:eastAsia="彩虹粗仿宋" w:cs="彩虹粗仿宋"/>
          <w:snapToGrid w:val="0"/>
          <w:color w:val="auto"/>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5、在处理事（案）件过程中要时刻向我行报告进展情况，待风险解除后，形成书面报告报送我行，我行综合评估后确定是否继续开展此服务事项。</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snapToGrid w:val="0"/>
          <w:color w:val="auto"/>
          <w:kern w:val="0"/>
          <w:sz w:val="32"/>
          <w:szCs w:val="32"/>
        </w:rPr>
        <w:t>（五）</w:t>
      </w:r>
      <w:r>
        <w:rPr>
          <w:rFonts w:hint="eastAsia" w:ascii="彩虹粗仿宋" w:hAnsi="彩虹粗仿宋" w:eastAsia="彩虹粗仿宋" w:cs="彩虹粗仿宋"/>
          <w:color w:val="auto"/>
          <w:sz w:val="32"/>
          <w:szCs w:val="32"/>
        </w:rPr>
        <w:t>消保条款要求</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1.个人信息保护条款</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2.信息披露条款</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 xml:space="preserve">3.消费者投诉条款 </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（2）对涉及理赔给付的合作机构，应明确其承担的投诉处理义务和责任。</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 xml:space="preserve">4.其他行为监督 </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5.黑名单退出机制</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color w:val="auto"/>
          <w:sz w:val="32"/>
          <w:szCs w:val="32"/>
        </w:rPr>
      </w:pPr>
      <w:r>
        <w:rPr>
          <w:rFonts w:hint="eastAsia" w:ascii="彩虹粗仿宋" w:hAnsi="彩虹粗仿宋" w:eastAsia="彩虹粗仿宋" w:cs="彩虹粗仿宋"/>
          <w:color w:val="auto"/>
          <w:sz w:val="32"/>
          <w:szCs w:val="32"/>
        </w:rPr>
        <w:t>（4）违反法律法规和监管机构规定的其他严重情形。</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6.争端的解决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1.每个点报警主机联网率达到100%,探测设备故障能在24小时内解决按“合格”，总体合格档次支付全额服务费用。</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 xml:space="preserve">2.单点报警主机联网率未达到100%,探测设备故障不能在24小时内解决按“不合格”，扣除该点报警服务费。 </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彩虹粗仿宋" w:eastAsia="彩虹粗仿宋" w:cs="彩虹粗仿宋"/>
          <w:snapToGrid w:val="0"/>
          <w:color w:val="auto"/>
          <w:kern w:val="0"/>
          <w:sz w:val="32"/>
          <w:szCs w:val="32"/>
        </w:rPr>
        <w:t>3.每月由我行使用单位按“合格”、“不合格”对全行报警设备进行测评考核，合格档次支付全额服务费用，不合格档次对</w:t>
      </w:r>
      <w:r>
        <w:rPr>
          <w:rFonts w:hint="eastAsia" w:ascii="彩虹粗仿宋" w:hAnsi="彩虹粗仿宋" w:eastAsia="彩虹粗仿宋" w:cs="彩虹粗仿宋"/>
          <w:color w:val="auto"/>
          <w:kern w:val="0"/>
          <w:sz w:val="32"/>
          <w:szCs w:val="32"/>
        </w:rPr>
        <w:t>供应商</w:t>
      </w:r>
      <w:r>
        <w:rPr>
          <w:rFonts w:hint="eastAsia" w:ascii="彩虹粗仿宋" w:hAnsi="彩虹粗仿宋" w:eastAsia="彩虹粗仿宋" w:cs="彩虹粗仿宋"/>
          <w:snapToGrid w:val="0"/>
          <w:color w:val="auto"/>
          <w:kern w:val="0"/>
          <w:sz w:val="32"/>
          <w:szCs w:val="32"/>
        </w:rPr>
        <w:t>公司进行约谈，按照合同约定扣减相应费用。</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五、服务供应安排</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color w:val="auto"/>
          <w:kern w:val="0"/>
          <w:sz w:val="32"/>
          <w:szCs w:val="32"/>
        </w:rPr>
        <w:t>供应商</w:t>
      </w:r>
      <w:r>
        <w:rPr>
          <w:rFonts w:hint="eastAsia" w:ascii="彩虹粗仿宋" w:hAnsi="彩虹粗仿宋" w:eastAsia="彩虹粗仿宋" w:cs="彩虹粗仿宋"/>
          <w:snapToGrid w:val="0"/>
          <w:color w:val="auto"/>
          <w:kern w:val="0"/>
          <w:sz w:val="32"/>
          <w:szCs w:val="32"/>
        </w:rPr>
        <w:t>公司按照报警联网设备合同的约定对我行</w:t>
      </w:r>
      <w:r>
        <w:rPr>
          <w:rFonts w:hint="eastAsia" w:ascii="彩虹粗仿宋" w:hAnsi="彩虹粗仿宋" w:eastAsia="彩虹粗仿宋" w:cs="彩虹粗仿宋"/>
          <w:color w:val="auto"/>
          <w:sz w:val="32"/>
          <w:szCs w:val="32"/>
        </w:rPr>
        <w:t>辖内报警服务点（含网点、自助、金库、档案库房等）</w:t>
      </w:r>
      <w:r>
        <w:rPr>
          <w:rFonts w:hint="eastAsia" w:ascii="彩虹粗仿宋" w:hAnsi="彩虹粗仿宋" w:eastAsia="彩虹粗仿宋" w:cs="彩虹粗仿宋"/>
          <w:snapToGrid w:val="0"/>
          <w:color w:val="auto"/>
          <w:kern w:val="0"/>
          <w:sz w:val="32"/>
          <w:szCs w:val="32"/>
        </w:rPr>
        <w:t>进行撤布防的监控。</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全年为我行网点的联网报警系统每季度进行1次全面的检修。</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每年对我行人员每季度提供1次安保设施设备维护使用培训。</w:t>
      </w:r>
    </w:p>
    <w:p>
      <w:pPr>
        <w:adjustRightInd w:val="0"/>
        <w:snapToGrid w:val="0"/>
        <w:spacing w:line="600" w:lineRule="exact"/>
        <w:ind w:firstLine="640" w:firstLineChars="200"/>
        <w:jc w:val="left"/>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（五）警情处置</w:t>
      </w:r>
    </w:p>
    <w:p>
      <w:pPr>
        <w:ind w:firstLine="640" w:firstLineChars="200"/>
        <w:rPr>
          <w:rFonts w:ascii="彩虹粗仿宋" w:hAnsi="彩虹粗仿宋" w:eastAsia="彩虹粗仿宋" w:cs="彩虹粗仿宋"/>
          <w:snapToGrid w:val="0"/>
          <w:color w:val="auto"/>
          <w:kern w:val="0"/>
          <w:sz w:val="32"/>
          <w:szCs w:val="32"/>
        </w:rPr>
      </w:pPr>
      <w:r>
        <w:rPr>
          <w:rFonts w:hint="eastAsia" w:ascii="彩虹粗仿宋" w:hAnsi="彩虹粗仿宋" w:eastAsia="彩虹粗仿宋" w:cs="彩虹粗仿宋"/>
          <w:snapToGrid w:val="0"/>
          <w:color w:val="auto"/>
          <w:kern w:val="0"/>
          <w:sz w:val="32"/>
          <w:szCs w:val="32"/>
        </w:rPr>
        <w:t>供应商与“110”指挥中心24小时共同接收紧急报警信号，及时通知反馈处理。</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3"/>
        <w:gridCol w:w="1135"/>
        <w:gridCol w:w="2730"/>
        <w:gridCol w:w="1280"/>
        <w:gridCol w:w="2791"/>
      </w:tblGrid>
      <w:tr>
        <w:tblPrEx>
          <w:tblCellMar>
            <w:top w:w="0" w:type="dxa"/>
            <w:left w:w="108" w:type="dxa"/>
            <w:bottom w:w="0" w:type="dxa"/>
            <w:right w:w="108" w:type="dxa"/>
          </w:tblCellMar>
        </w:tblPrEx>
        <w:trPr>
          <w:trHeight w:val="5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rPr>
            </w:pPr>
            <w:r>
              <w:rPr>
                <w:rFonts w:hint="eastAsia" w:ascii="宋体" w:hAnsi="宋体" w:eastAsia="宋体" w:cs="宋体"/>
                <w:b/>
                <w:bCs/>
                <w:color w:val="auto"/>
                <w:kern w:val="0"/>
                <w:sz w:val="22"/>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rPr>
            </w:pPr>
            <w:r>
              <w:rPr>
                <w:rFonts w:hint="eastAsia" w:ascii="宋体" w:hAnsi="宋体" w:eastAsia="宋体" w:cs="宋体"/>
                <w:b/>
                <w:bCs/>
                <w:color w:val="auto"/>
                <w:kern w:val="0"/>
                <w:sz w:val="22"/>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rPr>
            </w:pPr>
            <w:r>
              <w:rPr>
                <w:rFonts w:hint="eastAsia" w:ascii="宋体" w:hAnsi="宋体" w:eastAsia="宋体" w:cs="宋体"/>
                <w:b/>
                <w:bCs/>
                <w:color w:val="auto"/>
                <w:kern w:val="0"/>
                <w:sz w:val="22"/>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rPr>
            </w:pPr>
            <w:r>
              <w:rPr>
                <w:rFonts w:hint="eastAsia" w:ascii="宋体" w:hAnsi="宋体" w:eastAsia="宋体" w:cs="宋体"/>
                <w:b/>
                <w:bCs/>
                <w:color w:val="auto"/>
                <w:kern w:val="0"/>
                <w:sz w:val="22"/>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rPr>
            </w:pPr>
            <w:r>
              <w:rPr>
                <w:rFonts w:hint="eastAsia" w:ascii="宋体" w:hAnsi="宋体" w:eastAsia="宋体" w:cs="宋体"/>
                <w:b/>
                <w:bCs/>
                <w:color w:val="auto"/>
                <w:kern w:val="0"/>
                <w:sz w:val="22"/>
              </w:rPr>
              <w:t>备注</w:t>
            </w:r>
          </w:p>
        </w:tc>
      </w:tr>
      <w:tr>
        <w:tblPrEx>
          <w:tblCellMar>
            <w:top w:w="0" w:type="dxa"/>
            <w:left w:w="108" w:type="dxa"/>
            <w:bottom w:w="0" w:type="dxa"/>
            <w:right w:w="108" w:type="dxa"/>
          </w:tblCellMar>
        </w:tblPrEx>
        <w:trPr>
          <w:trHeight w:val="150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2"/>
              </w:rPr>
            </w:pPr>
            <w:r>
              <w:rPr>
                <w:rFonts w:hint="eastAsia" w:ascii="宋体" w:hAnsi="宋体" w:eastAsia="宋体" w:cs="宋体"/>
                <w:color w:val="auto"/>
                <w:kern w:val="0"/>
                <w:sz w:val="22"/>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auto"/>
                <w:sz w:val="22"/>
              </w:rPr>
            </w:pPr>
            <w:r>
              <w:rPr>
                <w:rFonts w:hint="eastAsia" w:ascii="宋体" w:hAnsi="宋体" w:eastAsia="宋体" w:cs="宋体"/>
                <w:color w:val="auto"/>
                <w:kern w:val="0"/>
                <w:sz w:val="22"/>
              </w:rPr>
              <w:t>洛阳分行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auto"/>
                <w:sz w:val="22"/>
              </w:rPr>
            </w:pPr>
            <w:r>
              <w:rPr>
                <w:rFonts w:hint="eastAsia" w:ascii="宋体" w:hAnsi="宋体" w:eastAsia="宋体" w:cs="宋体"/>
                <w:color w:val="auto"/>
                <w:kern w:val="0"/>
                <w:sz w:val="22"/>
              </w:rPr>
              <w:t>对洛阳地区网点、自助、金库、档案库房等，提供报警设备维护等服务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auto"/>
                <w:sz w:val="22"/>
              </w:rPr>
            </w:pPr>
            <w:r>
              <w:rPr>
                <w:rFonts w:hint="eastAsia" w:ascii="宋体" w:hAnsi="宋体" w:eastAsia="宋体" w:cs="宋体"/>
                <w:color w:val="auto"/>
                <w:kern w:val="0"/>
                <w:sz w:val="22"/>
              </w:rPr>
              <w:t>99</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auto"/>
                <w:sz w:val="22"/>
              </w:rPr>
            </w:pPr>
            <w:r>
              <w:rPr>
                <w:rFonts w:hint="eastAsia" w:ascii="宋体" w:hAnsi="宋体" w:eastAsia="宋体" w:cs="宋体"/>
                <w:color w:val="auto"/>
                <w:kern w:val="0"/>
                <w:sz w:val="22"/>
              </w:rPr>
              <w:t>1处重点部位（金库）、63个营业网点、36个离行式自助银行报警设施维护巡检服务项目</w:t>
            </w:r>
          </w:p>
        </w:tc>
      </w:tr>
    </w:tbl>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color w:val="auto"/>
          <w:kern w:val="0"/>
          <w:sz w:val="32"/>
          <w:szCs w:val="32"/>
        </w:rPr>
      </w:pPr>
      <w:r>
        <w:rPr>
          <w:rFonts w:hint="eastAsia" w:ascii="彩虹粗仿宋" w:hAnsi="宋体" w:eastAsia="彩虹粗仿宋" w:cs="Times New Roman"/>
          <w:snapToGrid w:val="0"/>
          <w:color w:val="auto"/>
          <w:kern w:val="0"/>
          <w:sz w:val="32"/>
          <w:szCs w:val="32"/>
        </w:rPr>
        <w:t>按照每点每月报含税单价和总价,每点每月预算不超260元，</w:t>
      </w:r>
      <w:r>
        <w:rPr>
          <w:rFonts w:hint="eastAsia" w:ascii="彩虹粗仿宋" w:hAnsi="宋体" w:eastAsia="彩虹粗仿宋" w:cs="Times New Roman"/>
          <w:snapToGrid w:val="0"/>
          <w:color w:val="auto"/>
          <w:kern w:val="0"/>
          <w:sz w:val="32"/>
          <w:szCs w:val="32"/>
          <w:lang w:val="en-US" w:eastAsia="zh-CN"/>
        </w:rPr>
        <w:t>99个点位月需费用25740元，年需费用308880</w:t>
      </w:r>
      <w:r>
        <w:rPr>
          <w:rFonts w:hint="eastAsia" w:ascii="彩虹粗仿宋" w:hAnsi="宋体" w:eastAsia="彩虹粗仿宋" w:cs="Times New Roman"/>
          <w:snapToGrid w:val="0"/>
          <w:color w:val="auto"/>
          <w:kern w:val="0"/>
          <w:sz w:val="32"/>
          <w:szCs w:val="32"/>
        </w:rPr>
        <w:t>超过预算为无效报价。</w:t>
      </w:r>
    </w:p>
    <w:p>
      <w:pPr>
        <w:adjustRightInd w:val="0"/>
        <w:snapToGrid w:val="0"/>
        <w:spacing w:line="560" w:lineRule="exact"/>
        <w:ind w:firstLine="640" w:firstLineChars="200"/>
        <w:rPr>
          <w:rFonts w:ascii="彩虹黑体" w:hAnsi="宋体" w:eastAsia="彩虹黑体" w:cs="Times New Roman"/>
          <w:snapToGrid w:val="0"/>
          <w:color w:val="auto"/>
          <w:kern w:val="0"/>
          <w:sz w:val="32"/>
          <w:szCs w:val="32"/>
        </w:rPr>
      </w:pPr>
      <w:r>
        <w:rPr>
          <w:rFonts w:hint="eastAsia" w:ascii="彩虹黑体" w:hAnsi="宋体" w:eastAsia="彩虹黑体" w:cs="Times New Roman"/>
          <w:snapToGrid w:val="0"/>
          <w:color w:val="auto"/>
          <w:kern w:val="0"/>
          <w:sz w:val="32"/>
          <w:szCs w:val="32"/>
        </w:rPr>
        <w:t>九、其他要求</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03355C"/>
    <w:rsid w:val="06C071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
    <w:name w:val="im-content1"/>
    <w:basedOn w:val="4"/>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2024-05-22T07:02:15Z</dcterms:created>
  <dc:creator>haccb</dc:creator>
  <cp:lastModifiedBy>haccb</cp:lastModifiedBy>
  <dcterms:modified xsi:type="dcterms:W3CDTF">2024-05-22T07:02:52Z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2705B467DED74DA4B879A7E57EE90FBC_12</vt:lpwstr>
  </property>
</Properties>
</file>