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rPr>
          <w:rFonts w:ascii="彩虹黑体" w:hAnsi="彩虹黑体" w:eastAsia="彩虹黑体" w:cs="彩虹黑体"/>
          <w:b w:val="0"/>
          <w:bCs w:val="0"/>
          <w:snapToGrid w:val="0"/>
          <w:sz w:val="36"/>
          <w:szCs w:val="36"/>
          <w:highlight w:val="yellow"/>
        </w:rPr>
      </w:pPr>
      <w:r>
        <w:rPr>
          <w:rFonts w:hint="eastAsia" w:ascii="彩虹黑体" w:hAnsi="彩虹黑体" w:eastAsia="彩虹黑体" w:cs="彩虹黑体"/>
          <w:b w:val="0"/>
          <w:bCs w:val="0"/>
          <w:snapToGrid w:val="0"/>
          <w:sz w:val="36"/>
          <w:szCs w:val="36"/>
          <w:highlight w:val="yellow"/>
        </w:rPr>
        <w:t>信阳分行武装押运、金库值守服务外包项目采购需求</w:t>
      </w:r>
    </w:p>
    <w:p>
      <w:pPr>
        <w:adjustRightInd w:val="0"/>
        <w:snapToGrid w:val="0"/>
        <w:spacing w:line="560" w:lineRule="exact"/>
        <w:ind w:firstLine="640" w:firstLineChars="200"/>
        <w:rPr>
          <w:rFonts w:ascii="彩虹黑体" w:hAnsi="宋体" w:eastAsia="彩虹黑体" w:cs="Times New Roman"/>
          <w:snapToGrid w:val="0"/>
          <w:kern w:val="0"/>
          <w:sz w:val="32"/>
          <w:szCs w:val="32"/>
        </w:rPr>
      </w:pPr>
      <w:r>
        <w:rPr>
          <w:rFonts w:hint="eastAsia" w:ascii="彩虹黑体" w:hAnsi="宋体" w:eastAsia="彩虹黑体" w:cs="Times New Roman"/>
          <w:snapToGrid w:val="0"/>
          <w:kern w:val="0"/>
          <w:sz w:val="32"/>
          <w:szCs w:val="32"/>
        </w:rPr>
        <w:t>一、对候选供应商的要求</w:t>
      </w:r>
    </w:p>
    <w:p>
      <w:pPr>
        <w:adjustRightInd w:val="0"/>
        <w:snapToGrid w:val="0"/>
        <w:spacing w:line="560" w:lineRule="exact"/>
        <w:ind w:firstLine="640" w:firstLineChars="200"/>
        <w:rPr>
          <w:rFonts w:ascii="彩虹粗仿宋" w:eastAsia="彩虹粗仿宋"/>
          <w:sz w:val="32"/>
        </w:rPr>
      </w:pPr>
      <w:r>
        <w:rPr>
          <w:rFonts w:hint="eastAsia" w:ascii="彩虹粗仿宋" w:eastAsia="彩虹粗仿宋"/>
          <w:sz w:val="32"/>
        </w:rPr>
        <w:t>（一）具有独立法人资格，具有有效的营业执照，以及公安机关颁发的具有武装守护、押运的保安服务许可证；</w:t>
      </w:r>
    </w:p>
    <w:p>
      <w:pPr>
        <w:adjustRightInd w:val="0"/>
        <w:snapToGrid w:val="0"/>
        <w:spacing w:line="560" w:lineRule="exact"/>
        <w:ind w:firstLine="640" w:firstLineChars="200"/>
        <w:rPr>
          <w:rFonts w:ascii="彩虹粗仿宋" w:eastAsia="彩虹粗仿宋"/>
          <w:sz w:val="32"/>
        </w:rPr>
      </w:pPr>
      <w:r>
        <w:rPr>
          <w:rFonts w:hint="eastAsia" w:ascii="彩虹粗仿宋" w:eastAsia="彩虹粗仿宋"/>
          <w:sz w:val="32"/>
        </w:rPr>
        <w:t>（二）</w:t>
      </w:r>
      <w:r>
        <w:rPr>
          <w:rFonts w:hint="eastAsia" w:ascii="彩虹粗仿宋" w:eastAsia="彩虹粗仿宋"/>
          <w:sz w:val="32"/>
          <w:szCs w:val="32"/>
        </w:rPr>
        <w:t>2021年1月1日以来具有</w:t>
      </w:r>
      <w:bookmarkStart w:id="0" w:name="_GoBack"/>
      <w:r>
        <w:rPr>
          <w:rFonts w:hint="eastAsia" w:ascii="彩虹粗仿宋" w:eastAsia="彩虹粗仿宋"/>
          <w:sz w:val="32"/>
          <w:szCs w:val="32"/>
          <w:lang w:eastAsia="zh-CN"/>
        </w:rPr>
        <w:t>银行钞币运送和金库值守</w:t>
      </w:r>
      <w:r>
        <w:rPr>
          <w:rFonts w:hint="eastAsia" w:ascii="彩虹粗仿宋" w:eastAsia="彩虹粗仿宋"/>
          <w:sz w:val="32"/>
          <w:szCs w:val="32"/>
        </w:rPr>
        <w:t>项目经验</w:t>
      </w:r>
      <w:bookmarkEnd w:id="0"/>
      <w:r>
        <w:rPr>
          <w:rFonts w:hint="eastAsia" w:ascii="彩虹粗仿宋" w:eastAsia="彩虹粗仿宋"/>
          <w:sz w:val="32"/>
        </w:rPr>
        <w:t>；</w:t>
      </w:r>
    </w:p>
    <w:p>
      <w:pPr>
        <w:adjustRightInd w:val="0"/>
        <w:snapToGrid w:val="0"/>
        <w:spacing w:line="560" w:lineRule="exact"/>
        <w:ind w:firstLine="640" w:firstLineChars="200"/>
        <w:rPr>
          <w:rStyle w:val="14"/>
          <w:rFonts w:ascii="彩虹粗仿宋" w:hAnsi="微软雅黑" w:eastAsia="彩虹粗仿宋"/>
          <w:sz w:val="32"/>
          <w:szCs w:val="32"/>
        </w:rPr>
      </w:pPr>
      <w:r>
        <w:rPr>
          <w:rFonts w:hint="eastAsia" w:ascii="彩虹粗仿宋" w:eastAsia="彩虹粗仿宋"/>
          <w:sz w:val="32"/>
        </w:rPr>
        <w:t>（三）</w:t>
      </w:r>
      <w:r>
        <w:rPr>
          <w:rFonts w:hint="eastAsia" w:ascii="彩虹粗仿宋" w:eastAsia="彩虹粗仿宋"/>
          <w:sz w:val="32"/>
          <w:szCs w:val="32"/>
        </w:rPr>
        <w:t>正常经营，财务状况良好，提供202</w:t>
      </w:r>
      <w:r>
        <w:rPr>
          <w:rFonts w:hint="eastAsia" w:ascii="彩虹粗仿宋" w:eastAsia="彩虹粗仿宋"/>
          <w:sz w:val="32"/>
          <w:szCs w:val="32"/>
          <w:lang w:val="en-US" w:eastAsia="zh-CN"/>
        </w:rPr>
        <w:t>0</w:t>
      </w:r>
      <w:r>
        <w:rPr>
          <w:rFonts w:hint="eastAsia" w:ascii="彩虹粗仿宋" w:eastAsia="彩虹粗仿宋"/>
          <w:sz w:val="32"/>
          <w:szCs w:val="32"/>
        </w:rPr>
        <w:t>年、202</w:t>
      </w:r>
      <w:r>
        <w:rPr>
          <w:rFonts w:hint="eastAsia" w:ascii="彩虹粗仿宋" w:eastAsia="彩虹粗仿宋"/>
          <w:sz w:val="32"/>
          <w:szCs w:val="32"/>
          <w:lang w:val="en-US" w:eastAsia="zh-CN"/>
        </w:rPr>
        <w:t>1</w:t>
      </w:r>
      <w:r>
        <w:rPr>
          <w:rFonts w:hint="eastAsia" w:ascii="彩虹粗仿宋" w:eastAsia="彩虹粗仿宋"/>
          <w:sz w:val="32"/>
          <w:szCs w:val="32"/>
        </w:rPr>
        <w:t>年、202</w:t>
      </w:r>
      <w:r>
        <w:rPr>
          <w:rFonts w:hint="eastAsia" w:ascii="彩虹粗仿宋" w:eastAsia="彩虹粗仿宋"/>
          <w:sz w:val="32"/>
          <w:szCs w:val="32"/>
          <w:lang w:val="en-US" w:eastAsia="zh-CN"/>
        </w:rPr>
        <w:t>2</w:t>
      </w:r>
      <w:r>
        <w:rPr>
          <w:rFonts w:hint="eastAsia" w:ascii="彩虹粗仿宋" w:eastAsia="彩虹粗仿宋"/>
          <w:sz w:val="32"/>
          <w:szCs w:val="32"/>
        </w:rPr>
        <w:t>年经审计的财务报告或财务报表（新成立企业从成立日计算）；</w:t>
      </w:r>
    </w:p>
    <w:p>
      <w:pPr>
        <w:adjustRightInd w:val="0"/>
        <w:snapToGrid w:val="0"/>
        <w:spacing w:line="560" w:lineRule="exact"/>
        <w:ind w:firstLine="640" w:firstLineChars="200"/>
        <w:rPr>
          <w:rFonts w:ascii="彩虹粗仿宋" w:eastAsia="彩虹粗仿宋"/>
          <w:sz w:val="32"/>
        </w:rPr>
      </w:pPr>
      <w:r>
        <w:rPr>
          <w:rFonts w:hint="eastAsia" w:ascii="彩虹粗仿宋" w:eastAsia="彩虹粗仿宋"/>
          <w:sz w:val="32"/>
        </w:rPr>
        <w:t>（四）供应商当前未被“信用中国”网站列入重大税收违法失信主体（https://www.creditchina.gov.cn/xinyongfuwu/zhongdashuishouweifaanjian/）；未被“中国执行信息公开网”列入失信被执行人名单（http://zxgk.court.gov.cn/shixin/）；未被“中国政府采购网”列入政府采购严重违法失信行为记录名单（http://www.ccgp.gov.cn/search/cr/）；未被“国家企业信用信息公示系统”网站列入严重违法失信名单（黑名单）http://www.gsxt.gov.cn/index.html）（投标人出具网页截图）；</w:t>
      </w:r>
    </w:p>
    <w:p>
      <w:pPr>
        <w:adjustRightInd w:val="0"/>
        <w:snapToGrid w:val="0"/>
        <w:spacing w:line="560" w:lineRule="exact"/>
        <w:ind w:firstLine="640" w:firstLineChars="200"/>
        <w:rPr>
          <w:rFonts w:ascii="彩虹粗仿宋" w:eastAsia="彩虹粗仿宋"/>
          <w:sz w:val="32"/>
        </w:rPr>
      </w:pPr>
      <w:r>
        <w:rPr>
          <w:rFonts w:hint="eastAsia" w:ascii="彩虹粗仿宋" w:eastAsia="彩虹粗仿宋"/>
          <w:sz w:val="32"/>
        </w:rPr>
        <w:t>（五）本项目不允许联合体投标，不允许分包或转包；</w:t>
      </w:r>
    </w:p>
    <w:p>
      <w:pPr>
        <w:adjustRightInd w:val="0"/>
        <w:snapToGrid w:val="0"/>
        <w:spacing w:line="560" w:lineRule="exact"/>
        <w:ind w:firstLine="640" w:firstLineChars="200"/>
        <w:rPr>
          <w:rFonts w:ascii="彩虹粗仿宋" w:eastAsia="彩虹粗仿宋"/>
          <w:sz w:val="32"/>
        </w:rPr>
      </w:pPr>
      <w:r>
        <w:rPr>
          <w:rFonts w:hint="eastAsia" w:ascii="彩虹粗仿宋" w:eastAsia="彩虹粗仿宋"/>
          <w:sz w:val="32"/>
        </w:rPr>
        <w:t>（六）外商独资、中外合资、中外合作的保安公司不得参与（根据保安服务管理条例第二十二条规定）。</w:t>
      </w:r>
    </w:p>
    <w:p>
      <w:pPr>
        <w:adjustRightInd w:val="0"/>
        <w:snapToGrid w:val="0"/>
        <w:spacing w:line="560" w:lineRule="exact"/>
        <w:ind w:firstLine="640" w:firstLineChars="200"/>
        <w:rPr>
          <w:rFonts w:ascii="彩虹黑体" w:hAnsi="宋体" w:eastAsia="彩虹黑体" w:cs="Times New Roman"/>
          <w:snapToGrid w:val="0"/>
          <w:kern w:val="0"/>
          <w:sz w:val="32"/>
          <w:szCs w:val="32"/>
        </w:rPr>
      </w:pPr>
      <w:r>
        <w:rPr>
          <w:rFonts w:hint="eastAsia" w:ascii="彩虹黑体" w:hAnsi="宋体" w:eastAsia="彩虹黑体" w:cs="Times New Roman"/>
          <w:snapToGrid w:val="0"/>
          <w:kern w:val="0"/>
          <w:sz w:val="32"/>
          <w:szCs w:val="32"/>
        </w:rPr>
        <w:t>二、服务基本内容</w:t>
      </w:r>
    </w:p>
    <w:p>
      <w:pPr>
        <w:spacing w:line="360" w:lineRule="auto"/>
        <w:ind w:right="-483" w:rightChars="-230" w:firstLine="614" w:firstLineChars="192"/>
        <w:rPr>
          <w:rFonts w:ascii="彩虹粗仿宋" w:hAnsi="宋体" w:eastAsia="彩虹粗仿宋"/>
          <w:kern w:val="0"/>
          <w:sz w:val="32"/>
          <w:szCs w:val="32"/>
        </w:rPr>
      </w:pPr>
      <w:r>
        <w:rPr>
          <w:rFonts w:hint="eastAsia" w:ascii="彩虹粗仿宋" w:hAnsi="宋体" w:eastAsia="彩虹粗仿宋"/>
          <w:kern w:val="0"/>
          <w:sz w:val="32"/>
          <w:szCs w:val="32"/>
        </w:rPr>
        <w:t>本次拟采购服务的所属商品品类：C1303押运服务、C2101武装守护服务（守押）。服务内容：信阳城区、行政县28个营业场所、22个</w:t>
      </w:r>
      <w:r>
        <w:rPr>
          <w:rFonts w:hint="eastAsia" w:ascii="彩虹粗仿宋" w:hAnsi="宋体" w:eastAsia="彩虹粗仿宋"/>
          <w:snapToGrid w:val="0"/>
          <w:sz w:val="32"/>
          <w:szCs w:val="32"/>
        </w:rPr>
        <w:t>离行式自助银行</w:t>
      </w:r>
      <w:r>
        <w:rPr>
          <w:rFonts w:hint="eastAsia" w:ascii="彩虹粗仿宋" w:hAnsi="宋体" w:eastAsia="彩虹粗仿宋"/>
          <w:kern w:val="0"/>
          <w:sz w:val="32"/>
          <w:szCs w:val="32"/>
        </w:rPr>
        <w:t>钞币押运服务；分行中心金库值守及</w:t>
      </w:r>
      <w:r>
        <w:rPr>
          <w:rFonts w:hint="eastAsia" w:ascii="彩虹粗仿宋" w:hAnsi="微软雅黑" w:eastAsia="彩虹粗仿宋" w:cs="宋体"/>
          <w:kern w:val="0"/>
          <w:sz w:val="32"/>
          <w:szCs w:val="32"/>
        </w:rPr>
        <w:t>上门收款</w:t>
      </w:r>
      <w:r>
        <w:rPr>
          <w:rFonts w:hint="eastAsia" w:ascii="彩虹粗仿宋" w:hAnsi="宋体" w:eastAsia="彩虹粗仿宋"/>
          <w:kern w:val="0"/>
          <w:sz w:val="32"/>
          <w:szCs w:val="32"/>
        </w:rPr>
        <w:t>服务等服务事项。</w:t>
      </w:r>
    </w:p>
    <w:p>
      <w:pPr>
        <w:spacing w:line="360" w:lineRule="auto"/>
        <w:ind w:right="-483" w:rightChars="-230" w:firstLine="614" w:firstLineChars="192"/>
        <w:rPr>
          <w:rFonts w:ascii="彩虹粗仿宋" w:hAnsi="宋体" w:eastAsia="彩虹粗仿宋"/>
          <w:kern w:val="0"/>
          <w:sz w:val="32"/>
          <w:szCs w:val="32"/>
        </w:rPr>
      </w:pPr>
      <w:r>
        <w:rPr>
          <w:rFonts w:hint="eastAsia" w:ascii="彩虹粗仿宋" w:hAnsi="宋体" w:eastAsia="彩虹粗仿宋"/>
          <w:kern w:val="0"/>
          <w:sz w:val="32"/>
          <w:szCs w:val="32"/>
        </w:rPr>
        <w:t>（一）钞币押运服务</w:t>
      </w:r>
    </w:p>
    <w:p>
      <w:pPr>
        <w:spacing w:line="360" w:lineRule="auto"/>
        <w:ind w:right="-483" w:rightChars="-230" w:firstLine="640" w:firstLineChars="200"/>
        <w:rPr>
          <w:rFonts w:ascii="彩虹粗仿宋" w:hAnsi="宋体" w:eastAsia="彩虹粗仿宋"/>
          <w:kern w:val="0"/>
          <w:sz w:val="32"/>
          <w:szCs w:val="32"/>
        </w:rPr>
      </w:pPr>
      <w:r>
        <w:rPr>
          <w:rFonts w:hint="eastAsia" w:ascii="彩虹粗仿宋" w:hAnsi="宋体" w:eastAsia="彩虹粗仿宋"/>
          <w:kern w:val="0"/>
          <w:sz w:val="32"/>
          <w:szCs w:val="32"/>
        </w:rPr>
        <w:t>1.城区押运服务。信阳分行城区营业场所早晚尾款箱接送、营业网点临时款项出入库、县支行临时款项与分行金库出入库、离行式自助银行加钞、上门收款服务等武装警戒及武装押运以及营业网点凭证票据专用袋传递、重要空白凭证及有价证券、贵金属、贵重物品等重要物品的出入库运送押运。</w:t>
      </w:r>
    </w:p>
    <w:p>
      <w:pPr>
        <w:pStyle w:val="3"/>
        <w:spacing w:line="360" w:lineRule="auto"/>
        <w:ind w:firstLine="640" w:firstLineChars="200"/>
        <w:rPr>
          <w:rFonts w:ascii="彩虹粗仿宋" w:hAnsi="宋体" w:eastAsia="彩虹粗仿宋"/>
          <w:kern w:val="0"/>
          <w:sz w:val="32"/>
          <w:szCs w:val="32"/>
        </w:rPr>
      </w:pPr>
      <w:r>
        <w:rPr>
          <w:rFonts w:hint="eastAsia" w:ascii="彩虹粗仿宋" w:hAnsi="宋体" w:eastAsia="彩虹粗仿宋" w:cstheme="minorBidi"/>
          <w:kern w:val="0"/>
          <w:sz w:val="32"/>
          <w:szCs w:val="32"/>
        </w:rPr>
        <w:t>2.行政县支行</w:t>
      </w:r>
      <w:r>
        <w:rPr>
          <w:rFonts w:hint="eastAsia" w:ascii="彩虹粗仿宋" w:hAnsi="宋体" w:eastAsia="彩虹粗仿宋"/>
          <w:kern w:val="0"/>
          <w:sz w:val="32"/>
          <w:szCs w:val="32"/>
        </w:rPr>
        <w:t>钞币押运服务。行政县支行营业场所早晚尾款箱的接送、营业网点临时款项与分行金库出入库、离行式自助银行加钞、上门收款等武装警戒及武装押运事项；营业网点凭证票据专用袋传递、重要空白凭证及有价证券、贵金属、贵重物品等重要物品的的出入库运送。</w:t>
      </w:r>
    </w:p>
    <w:p>
      <w:pPr>
        <w:pStyle w:val="3"/>
        <w:spacing w:line="360" w:lineRule="auto"/>
        <w:ind w:firstLine="640" w:firstLineChars="200"/>
        <w:rPr>
          <w:rFonts w:ascii="彩虹粗仿宋" w:hAnsi="宋体" w:eastAsia="彩虹粗仿宋" w:cstheme="minorBidi"/>
          <w:kern w:val="0"/>
          <w:sz w:val="32"/>
          <w:szCs w:val="32"/>
        </w:rPr>
      </w:pPr>
      <w:r>
        <w:rPr>
          <w:rFonts w:hint="eastAsia" w:ascii="彩虹粗仿宋" w:hAnsi="宋体" w:eastAsia="彩虹粗仿宋" w:cstheme="minorBidi"/>
          <w:kern w:val="0"/>
          <w:sz w:val="32"/>
          <w:szCs w:val="32"/>
        </w:rPr>
        <w:t>3.与人民银行发行库、同业之间的现金调、缴等运送、护卫及武装警戒；与省行之间跨区域的现金调运、重要单证、贵金属、有价证券、外币领、缴等运送、护卫及武装警戒。</w:t>
      </w:r>
    </w:p>
    <w:p>
      <w:pPr>
        <w:spacing w:line="360" w:lineRule="auto"/>
        <w:ind w:right="-483" w:rightChars="-230" w:firstLine="640" w:firstLineChars="200"/>
        <w:rPr>
          <w:rFonts w:ascii="彩虹粗仿宋" w:hAnsi="宋体" w:eastAsia="彩虹粗仿宋"/>
          <w:kern w:val="0"/>
          <w:sz w:val="32"/>
          <w:szCs w:val="32"/>
        </w:rPr>
      </w:pPr>
      <w:r>
        <w:rPr>
          <w:rFonts w:hint="eastAsia" w:ascii="彩虹粗仿宋" w:hAnsi="宋体" w:eastAsia="彩虹粗仿宋"/>
          <w:kern w:val="0"/>
          <w:sz w:val="32"/>
          <w:szCs w:val="32"/>
        </w:rPr>
        <w:t>（二）分行中心金库武装值守服务</w:t>
      </w:r>
    </w:p>
    <w:p>
      <w:pPr>
        <w:pStyle w:val="3"/>
        <w:spacing w:line="360" w:lineRule="auto"/>
        <w:ind w:firstLine="640" w:firstLineChars="200"/>
        <w:rPr>
          <w:rFonts w:ascii="彩虹粗仿宋" w:hAnsi="宋体" w:eastAsia="彩虹粗仿宋" w:cstheme="minorBidi"/>
          <w:kern w:val="0"/>
          <w:sz w:val="32"/>
          <w:szCs w:val="32"/>
        </w:rPr>
      </w:pPr>
      <w:r>
        <w:rPr>
          <w:rFonts w:hint="eastAsia" w:ascii="彩虹粗仿宋" w:hAnsi="宋体" w:eastAsia="彩虹粗仿宋" w:cstheme="minorBidi"/>
          <w:kern w:val="0"/>
          <w:sz w:val="32"/>
          <w:szCs w:val="32"/>
        </w:rPr>
        <w:t>分行中心金库全天候24小时双人武装值守服务。</w:t>
      </w:r>
    </w:p>
    <w:p>
      <w:pPr>
        <w:adjustRightInd w:val="0"/>
        <w:snapToGrid w:val="0"/>
        <w:spacing w:line="560" w:lineRule="exact"/>
        <w:ind w:firstLine="640" w:firstLineChars="200"/>
        <w:rPr>
          <w:rFonts w:ascii="彩虹黑体" w:hAnsi="宋体" w:eastAsia="彩虹黑体" w:cs="Times New Roman"/>
          <w:snapToGrid w:val="0"/>
          <w:kern w:val="0"/>
          <w:sz w:val="32"/>
          <w:szCs w:val="32"/>
        </w:rPr>
      </w:pPr>
      <w:r>
        <w:rPr>
          <w:rFonts w:hint="eastAsia" w:ascii="彩虹黑体" w:hAnsi="宋体" w:eastAsia="彩虹黑体" w:cs="Times New Roman"/>
          <w:snapToGrid w:val="0"/>
          <w:kern w:val="0"/>
          <w:sz w:val="32"/>
          <w:szCs w:val="32"/>
        </w:rPr>
        <w:t>三、服务团队要求</w:t>
      </w:r>
    </w:p>
    <w:p>
      <w:pPr>
        <w:adjustRightInd w:val="0"/>
        <w:snapToGrid w:val="0"/>
        <w:spacing w:line="560" w:lineRule="exact"/>
        <w:ind w:firstLine="566" w:firstLineChars="177"/>
        <w:rPr>
          <w:rFonts w:ascii="彩虹粗仿宋" w:hAnsi="宋体" w:eastAsia="彩虹粗仿宋"/>
          <w:kern w:val="0"/>
          <w:sz w:val="32"/>
          <w:szCs w:val="32"/>
        </w:rPr>
      </w:pPr>
      <w:r>
        <w:rPr>
          <w:rFonts w:hint="eastAsia" w:ascii="彩虹粗仿宋" w:hAnsi="宋体" w:eastAsia="彩虹粗仿宋"/>
          <w:kern w:val="0"/>
          <w:sz w:val="32"/>
          <w:szCs w:val="32"/>
        </w:rPr>
        <w:t>（一）人员数量要求。服务方必须保证有足够的人员数量，以满足我行押运、武装值守及寄库服务要求。</w:t>
      </w:r>
    </w:p>
    <w:p>
      <w:pPr>
        <w:adjustRightInd w:val="0"/>
        <w:snapToGrid w:val="0"/>
        <w:spacing w:line="560" w:lineRule="exact"/>
        <w:ind w:firstLine="566" w:firstLineChars="177"/>
        <w:rPr>
          <w:rFonts w:ascii="彩虹粗仿宋" w:hAnsi="宋体" w:eastAsia="彩虹粗仿宋"/>
          <w:kern w:val="0"/>
          <w:sz w:val="32"/>
          <w:szCs w:val="32"/>
        </w:rPr>
      </w:pPr>
      <w:r>
        <w:rPr>
          <w:rFonts w:hint="eastAsia" w:ascii="彩虹粗仿宋" w:hAnsi="宋体" w:eastAsia="彩虹粗仿宋"/>
          <w:kern w:val="0"/>
          <w:sz w:val="32"/>
          <w:szCs w:val="32"/>
        </w:rPr>
        <w:t xml:space="preserve">（二）服务方必须对服务内容、押运服务、值守人员人身伤害按行业标准每年向保险公司投保，并将保险正本交我行审核并留存复印件。 </w:t>
      </w:r>
    </w:p>
    <w:p>
      <w:pPr>
        <w:pStyle w:val="3"/>
        <w:spacing w:line="360" w:lineRule="auto"/>
        <w:ind w:firstLine="480" w:firstLineChars="150"/>
        <w:rPr>
          <w:rFonts w:ascii="彩虹粗仿宋" w:hAnsi="宋体" w:eastAsia="彩虹粗仿宋" w:cstheme="minorBidi"/>
          <w:kern w:val="0"/>
          <w:sz w:val="32"/>
          <w:szCs w:val="32"/>
        </w:rPr>
      </w:pPr>
      <w:r>
        <w:rPr>
          <w:rFonts w:hint="eastAsia" w:ascii="彩虹粗仿宋" w:hAnsi="宋体" w:eastAsia="彩虹粗仿宋" w:cstheme="minorBidi"/>
          <w:kern w:val="0"/>
          <w:sz w:val="32"/>
          <w:szCs w:val="32"/>
        </w:rPr>
        <w:t>（三）服务方在我行提供服务的人员，必须是与服务方依法签定劳动协议的员工，其劳动用工协议必须报我行备案。我行不接受未与服务方签署劳动合同的服务人员提供的服务。服务方有义务保证其员工的合法权益，为服务人员缴纳各项法定的社会保险，服务方违反该约定，我行有权提前解除服务合同，服务方采取有效措施保证所提供服务连续性。服务方必须承担本方内部出现的劳动关系纠纷、工伤事故等事件的法律责任，不得以本方员工履行服务的地点在我行为由，要求我行承担服务方应承担的法律责任同时，将派出的驾驶员、押运员及解款员、值守人员的身份证、工作卡、押运证、运钞车行驶证照片及复印件作为合同的副本送我行留存，并提供服务方人员的联系电话，以便服务业务的联系、衔接及确认其身份。</w:t>
      </w:r>
    </w:p>
    <w:p>
      <w:pPr>
        <w:pStyle w:val="3"/>
        <w:spacing w:line="360" w:lineRule="auto"/>
        <w:ind w:firstLine="480" w:firstLineChars="150"/>
        <w:rPr>
          <w:rFonts w:ascii="彩虹粗仿宋" w:hAnsi="宋体" w:eastAsia="彩虹粗仿宋" w:cstheme="minorBidi"/>
          <w:kern w:val="0"/>
          <w:sz w:val="32"/>
          <w:szCs w:val="32"/>
        </w:rPr>
      </w:pPr>
      <w:r>
        <w:rPr>
          <w:rFonts w:hint="eastAsia" w:ascii="彩虹粗仿宋" w:hAnsi="宋体" w:eastAsia="彩虹粗仿宋" w:cstheme="minorBidi"/>
          <w:kern w:val="0"/>
          <w:sz w:val="32"/>
          <w:szCs w:val="32"/>
        </w:rPr>
        <w:t>（四）服务方派驻我行的服务人员由服务方负责管理，我行负责监督。服务方应保持押运车辆和押运人员、驾驶员、解款员、值守的相对稳定。如遇车辆和人员调换，服务方须提前两天以书面形式将押运车辆牌号、押运员、解款员、值守人员身份证、工作卡等照片及复印件送我行备案。双休日、节假日，需按我行要求安排运钞车辆、车组人员，保证我行营业机构的业务需求。</w:t>
      </w:r>
    </w:p>
    <w:p>
      <w:pPr>
        <w:adjustRightInd w:val="0"/>
        <w:snapToGrid w:val="0"/>
        <w:spacing w:line="560" w:lineRule="exact"/>
        <w:ind w:firstLine="640" w:firstLineChars="200"/>
        <w:rPr>
          <w:rFonts w:ascii="彩虹粗仿宋" w:hAnsi="宋体" w:eastAsia="彩虹粗仿宋"/>
          <w:kern w:val="0"/>
          <w:sz w:val="32"/>
          <w:szCs w:val="32"/>
        </w:rPr>
      </w:pPr>
      <w:r>
        <w:rPr>
          <w:rFonts w:hint="eastAsia" w:ascii="彩虹粗仿宋" w:hAnsi="宋体" w:eastAsia="彩虹粗仿宋"/>
          <w:kern w:val="0"/>
          <w:sz w:val="32"/>
          <w:szCs w:val="32"/>
        </w:rPr>
        <w:t>1.押运服务团队包括</w:t>
      </w:r>
      <w:r>
        <w:rPr>
          <w:rFonts w:hint="eastAsia" w:ascii="彩虹粗仿宋" w:hAnsi="宋体" w:eastAsia="彩虹粗仿宋"/>
          <w:b/>
          <w:kern w:val="0"/>
          <w:sz w:val="32"/>
          <w:szCs w:val="32"/>
        </w:rPr>
        <w:t>：</w:t>
      </w:r>
      <w:r>
        <w:rPr>
          <w:rFonts w:hint="eastAsia" w:ascii="彩虹粗仿宋" w:hAnsi="宋体" w:eastAsia="彩虹粗仿宋"/>
          <w:kern w:val="0"/>
          <w:sz w:val="32"/>
          <w:szCs w:val="32"/>
        </w:rPr>
        <w:t>押运人员2人、驾驶员1人、解款员2人，团队人员应进行严格的政审，应是政治素质好、工作责任心强、作风正派、身心健康。</w:t>
      </w:r>
    </w:p>
    <w:p>
      <w:pPr>
        <w:adjustRightInd w:val="0"/>
        <w:snapToGrid w:val="0"/>
        <w:spacing w:line="560" w:lineRule="exact"/>
        <w:ind w:firstLine="640" w:firstLineChars="200"/>
        <w:rPr>
          <w:rFonts w:ascii="彩虹粗仿宋" w:hAnsi="宋体" w:eastAsia="彩虹粗仿宋"/>
          <w:kern w:val="0"/>
          <w:sz w:val="32"/>
          <w:szCs w:val="32"/>
        </w:rPr>
      </w:pPr>
      <w:r>
        <w:rPr>
          <w:rFonts w:hint="eastAsia" w:ascii="彩虹粗仿宋" w:hAnsi="宋体" w:eastAsia="彩虹粗仿宋"/>
          <w:kern w:val="0"/>
          <w:sz w:val="32"/>
          <w:szCs w:val="32"/>
        </w:rPr>
        <w:t>2.押运人员持有保安员证、持枪证，驾驶员持有驾驶证，同时所有服务人员具有3年以上的押运服务经验。</w:t>
      </w:r>
    </w:p>
    <w:p>
      <w:pPr>
        <w:adjustRightInd w:val="0"/>
        <w:snapToGrid w:val="0"/>
        <w:spacing w:line="560" w:lineRule="exact"/>
        <w:ind w:firstLine="640" w:firstLineChars="200"/>
        <w:rPr>
          <w:rFonts w:ascii="彩虹粗仿宋" w:hAnsi="宋体" w:eastAsia="彩虹粗仿宋"/>
          <w:kern w:val="0"/>
          <w:sz w:val="32"/>
          <w:szCs w:val="32"/>
        </w:rPr>
      </w:pPr>
      <w:r>
        <w:rPr>
          <w:rFonts w:hint="eastAsia" w:ascii="彩虹粗仿宋" w:hAnsi="宋体" w:eastAsia="彩虹粗仿宋"/>
          <w:kern w:val="0"/>
          <w:sz w:val="32"/>
          <w:szCs w:val="32"/>
        </w:rPr>
        <w:t>3.中心金库武装值守服务人员每班（组）不少于2人。双人3班制交接轮值，双人值守分主班和副班。服务人员应持有保安员证、持枪证，上岗备案证等。同时所有服务人员具有3年以上的安保服务经验。</w:t>
      </w:r>
    </w:p>
    <w:p>
      <w:pPr>
        <w:adjustRightInd w:val="0"/>
        <w:snapToGrid w:val="0"/>
        <w:spacing w:line="560" w:lineRule="exact"/>
        <w:ind w:firstLine="640" w:firstLineChars="200"/>
        <w:rPr>
          <w:rFonts w:ascii="彩虹黑体" w:hAnsi="宋体" w:eastAsia="彩虹黑体" w:cs="Times New Roman"/>
          <w:snapToGrid w:val="0"/>
          <w:kern w:val="0"/>
          <w:sz w:val="32"/>
          <w:szCs w:val="32"/>
        </w:rPr>
      </w:pPr>
      <w:r>
        <w:rPr>
          <w:rFonts w:hint="eastAsia" w:ascii="彩虹黑体" w:hAnsi="宋体" w:eastAsia="彩虹黑体" w:cs="Times New Roman"/>
          <w:snapToGrid w:val="0"/>
          <w:kern w:val="0"/>
          <w:sz w:val="32"/>
          <w:szCs w:val="32"/>
        </w:rPr>
        <w:t>四、服务质量要求</w:t>
      </w:r>
    </w:p>
    <w:p>
      <w:pPr>
        <w:spacing w:line="360" w:lineRule="auto"/>
        <w:ind w:firstLine="630"/>
        <w:rPr>
          <w:rFonts w:ascii="彩虹粗仿宋" w:hAnsi="宋体" w:eastAsia="彩虹粗仿宋"/>
          <w:b/>
          <w:kern w:val="0"/>
          <w:sz w:val="32"/>
          <w:szCs w:val="32"/>
        </w:rPr>
      </w:pPr>
      <w:r>
        <w:rPr>
          <w:rFonts w:hint="eastAsia" w:ascii="彩虹粗仿宋" w:hAnsi="宋体" w:eastAsia="彩虹粗仿宋" w:cs="Times New Roman"/>
          <w:b/>
          <w:snapToGrid w:val="0"/>
          <w:kern w:val="0"/>
          <w:sz w:val="32"/>
          <w:szCs w:val="32"/>
        </w:rPr>
        <w:t>（一）</w:t>
      </w:r>
      <w:r>
        <w:rPr>
          <w:rFonts w:hint="eastAsia" w:ascii="彩虹粗仿宋" w:hAnsi="宋体" w:eastAsia="彩虹粗仿宋"/>
          <w:b/>
          <w:kern w:val="0"/>
          <w:sz w:val="32"/>
          <w:szCs w:val="32"/>
        </w:rPr>
        <w:t>钞币运送服务质量要求</w:t>
      </w:r>
    </w:p>
    <w:p>
      <w:pPr>
        <w:spacing w:line="360" w:lineRule="auto"/>
        <w:ind w:firstLine="630"/>
        <w:rPr>
          <w:rFonts w:ascii="彩虹粗仿宋" w:hAnsi="宋体" w:eastAsia="彩虹粗仿宋"/>
          <w:kern w:val="0"/>
          <w:sz w:val="32"/>
          <w:szCs w:val="32"/>
        </w:rPr>
      </w:pPr>
      <w:r>
        <w:rPr>
          <w:rFonts w:hint="eastAsia" w:ascii="彩虹粗仿宋" w:hAnsi="宋体" w:eastAsia="彩虹粗仿宋"/>
          <w:kern w:val="0"/>
          <w:sz w:val="32"/>
          <w:szCs w:val="32"/>
        </w:rPr>
        <w:t>1.承诺按照我行的业务需求,为我行提供优质、高效、安全的押运服务。服务时间约定：每日按我行要求的时间停泊在指定的地方，守时完成每次押运任务。必须认真完成签署合同约定的押运任务并按附件《中国建设银行信阳分行守押社会化操作规范》执行。</w:t>
      </w:r>
    </w:p>
    <w:p>
      <w:pPr>
        <w:pStyle w:val="3"/>
        <w:spacing w:line="360" w:lineRule="auto"/>
        <w:ind w:firstLine="640" w:firstLineChars="200"/>
        <w:rPr>
          <w:rFonts w:ascii="彩虹粗仿宋" w:hAnsi="宋体" w:eastAsia="彩虹粗仿宋" w:cstheme="minorBidi"/>
          <w:kern w:val="0"/>
          <w:sz w:val="32"/>
          <w:szCs w:val="32"/>
        </w:rPr>
      </w:pPr>
      <w:r>
        <w:rPr>
          <w:rFonts w:hint="eastAsia" w:ascii="彩虹粗仿宋" w:hAnsi="宋体" w:eastAsia="彩虹粗仿宋" w:cstheme="minorBidi"/>
          <w:kern w:val="0"/>
          <w:sz w:val="32"/>
          <w:szCs w:val="32"/>
        </w:rPr>
        <w:t>2.车辆及押运人员身份核验：押运、解款人员必须佩戴工作牌上岗，我行营业机构管理人员依据备案识别卡负责核验解款人员身份。</w:t>
      </w:r>
    </w:p>
    <w:p>
      <w:pPr>
        <w:pStyle w:val="3"/>
        <w:spacing w:line="360" w:lineRule="auto"/>
        <w:ind w:firstLine="640" w:firstLineChars="200"/>
        <w:rPr>
          <w:rFonts w:ascii="彩虹粗仿宋" w:hAnsi="宋体" w:eastAsia="彩虹粗仿宋" w:cstheme="minorBidi"/>
          <w:kern w:val="0"/>
          <w:sz w:val="32"/>
          <w:szCs w:val="32"/>
        </w:rPr>
      </w:pPr>
      <w:r>
        <w:rPr>
          <w:rFonts w:hint="eastAsia" w:ascii="彩虹粗仿宋" w:hAnsi="宋体" w:eastAsia="彩虹粗仿宋" w:cstheme="minorBidi"/>
          <w:kern w:val="0"/>
          <w:sz w:val="32"/>
          <w:szCs w:val="32"/>
        </w:rPr>
        <w:t>3.押运物品交接：由管库员同解款员，解款员同营业网点有权解缴人办理交接押运款箱（包）。</w:t>
      </w:r>
    </w:p>
    <w:p>
      <w:pPr>
        <w:pStyle w:val="3"/>
        <w:spacing w:line="360" w:lineRule="auto"/>
        <w:ind w:firstLine="640" w:firstLineChars="200"/>
        <w:rPr>
          <w:rFonts w:ascii="彩虹粗仿宋" w:hAnsi="宋体" w:eastAsia="彩虹粗仿宋" w:cstheme="minorBidi"/>
          <w:kern w:val="0"/>
          <w:sz w:val="32"/>
          <w:szCs w:val="32"/>
        </w:rPr>
      </w:pPr>
      <w:r>
        <w:rPr>
          <w:rFonts w:hint="eastAsia" w:ascii="彩虹粗仿宋" w:hAnsi="宋体" w:eastAsia="彩虹粗仿宋" w:cstheme="minorBidi"/>
          <w:kern w:val="0"/>
          <w:sz w:val="32"/>
          <w:szCs w:val="32"/>
        </w:rPr>
        <w:t>4.服务方保证我行各营业网点每日按时对外营业和尾箱及时入库，按时完成上门收款、自助设备加（撤）钞箱武装押运等工作，如遇道路阻塞、交通事故以及灾害性天气等原因而延误时间，服务方应及时通知我行，并采取有效措施，尽快完成押运任务。</w:t>
      </w:r>
    </w:p>
    <w:p>
      <w:pPr>
        <w:spacing w:line="360" w:lineRule="auto"/>
        <w:ind w:firstLine="630"/>
        <w:rPr>
          <w:rFonts w:ascii="彩虹粗仿宋" w:hAnsi="宋体" w:eastAsia="彩虹粗仿宋"/>
          <w:b/>
          <w:kern w:val="0"/>
          <w:sz w:val="32"/>
          <w:szCs w:val="32"/>
        </w:rPr>
      </w:pPr>
      <w:r>
        <w:rPr>
          <w:rFonts w:hint="eastAsia" w:ascii="彩虹粗仿宋" w:hAnsi="宋体" w:eastAsia="彩虹粗仿宋"/>
          <w:b/>
          <w:kern w:val="0"/>
          <w:sz w:val="32"/>
          <w:szCs w:val="32"/>
        </w:rPr>
        <w:t>（二）金库值守服务质量要求</w:t>
      </w:r>
    </w:p>
    <w:p>
      <w:pPr>
        <w:pStyle w:val="3"/>
        <w:spacing w:line="360" w:lineRule="auto"/>
        <w:ind w:firstLine="640" w:firstLineChars="200"/>
        <w:rPr>
          <w:rFonts w:ascii="彩虹粗仿宋" w:hAnsi="宋体" w:eastAsia="彩虹粗仿宋" w:cstheme="minorBidi"/>
          <w:kern w:val="0"/>
          <w:sz w:val="32"/>
          <w:szCs w:val="32"/>
        </w:rPr>
      </w:pPr>
      <w:r>
        <w:rPr>
          <w:rFonts w:hint="eastAsia" w:ascii="彩虹粗仿宋" w:hAnsi="宋体" w:eastAsia="彩虹粗仿宋" w:cstheme="minorBidi"/>
          <w:kern w:val="0"/>
          <w:sz w:val="32"/>
          <w:szCs w:val="32"/>
        </w:rPr>
        <w:t>按我行《金库守卫规章制度及操作规程》要求，由服务方派出专职守护人员6名，在我行指定的金库守卫值班室，执行双人24小时全天候武装坐班守卫任务。</w:t>
      </w:r>
    </w:p>
    <w:p>
      <w:pPr>
        <w:pStyle w:val="3"/>
        <w:spacing w:line="360" w:lineRule="auto"/>
        <w:ind w:firstLine="640" w:firstLineChars="200"/>
        <w:rPr>
          <w:rFonts w:ascii="彩虹粗仿宋" w:hAnsi="宋体" w:eastAsia="彩虹粗仿宋" w:cstheme="minorBidi"/>
          <w:kern w:val="0"/>
          <w:sz w:val="32"/>
          <w:szCs w:val="32"/>
        </w:rPr>
      </w:pPr>
      <w:r>
        <w:rPr>
          <w:rFonts w:hint="eastAsia" w:ascii="彩虹粗仿宋" w:hAnsi="宋体" w:eastAsia="彩虹粗仿宋" w:cstheme="minorBidi"/>
          <w:kern w:val="0"/>
          <w:sz w:val="32"/>
          <w:szCs w:val="32"/>
        </w:rPr>
        <w:t>1.负责金库24小时安全守护工作。监控金库区域及周边、运钞车辆停放区、枪弹保险柜等的异常动态，确保安全。</w:t>
      </w:r>
    </w:p>
    <w:p>
      <w:pPr>
        <w:pStyle w:val="3"/>
        <w:spacing w:line="360" w:lineRule="auto"/>
        <w:ind w:firstLine="707" w:firstLineChars="221"/>
        <w:rPr>
          <w:rFonts w:ascii="彩虹粗仿宋" w:hAnsi="宋体" w:eastAsia="彩虹粗仿宋" w:cstheme="minorBidi"/>
          <w:kern w:val="0"/>
          <w:sz w:val="32"/>
          <w:szCs w:val="32"/>
        </w:rPr>
      </w:pPr>
      <w:r>
        <w:rPr>
          <w:rFonts w:hint="eastAsia" w:ascii="彩虹粗仿宋" w:hAnsi="宋体" w:eastAsia="彩虹粗仿宋" w:cstheme="minorBidi"/>
          <w:kern w:val="0"/>
          <w:sz w:val="32"/>
          <w:szCs w:val="32"/>
        </w:rPr>
        <w:t>2.熟练使用监控报警设备和各种技防设施，保证各种技防设施处于良好工作状态；负责监督金库区域营业终了的布（撤）防，并负责电动卷帘门的开启、关闭；负责金库进出物品（含倾倒的垃圾）的查验工作。</w:t>
      </w:r>
    </w:p>
    <w:p>
      <w:pPr>
        <w:pStyle w:val="3"/>
        <w:spacing w:line="360" w:lineRule="auto"/>
        <w:ind w:firstLine="640" w:firstLineChars="200"/>
        <w:rPr>
          <w:rFonts w:ascii="彩虹粗仿宋" w:hAnsi="宋体" w:eastAsia="彩虹粗仿宋" w:cstheme="minorBidi"/>
          <w:kern w:val="0"/>
          <w:sz w:val="32"/>
          <w:szCs w:val="32"/>
        </w:rPr>
      </w:pPr>
      <w:r>
        <w:rPr>
          <w:rFonts w:hint="eastAsia" w:ascii="彩虹粗仿宋" w:hAnsi="宋体" w:eastAsia="彩虹粗仿宋" w:cstheme="minorBidi"/>
          <w:kern w:val="0"/>
          <w:sz w:val="32"/>
          <w:szCs w:val="32"/>
        </w:rPr>
        <w:t>3.查验管库人员及其他出入金库区域人员身份，实时监控管库人员“五同”执行情况。按照“二证一陪同”要求，查验和记录有权检查人员证件等情况；发现异常，应立即向我行相关部门报告。</w:t>
      </w:r>
    </w:p>
    <w:p>
      <w:pPr>
        <w:pStyle w:val="3"/>
        <w:spacing w:line="360" w:lineRule="auto"/>
        <w:ind w:firstLine="640" w:firstLineChars="200"/>
        <w:rPr>
          <w:rFonts w:ascii="彩虹粗仿宋" w:hAnsi="宋体" w:eastAsia="彩虹粗仿宋" w:cstheme="minorBidi"/>
          <w:kern w:val="0"/>
          <w:sz w:val="32"/>
          <w:szCs w:val="32"/>
        </w:rPr>
      </w:pPr>
      <w:r>
        <w:rPr>
          <w:rFonts w:hint="eastAsia" w:ascii="彩虹粗仿宋" w:hAnsi="宋体" w:eastAsia="彩虹粗仿宋" w:cstheme="minorBidi"/>
          <w:kern w:val="0"/>
          <w:sz w:val="32"/>
          <w:szCs w:val="32"/>
        </w:rPr>
        <w:t>4.熟悉和掌握应急处置预案并组织开展应急演练，对发现突发事件及时处置并第一时间报告。</w:t>
      </w:r>
    </w:p>
    <w:p>
      <w:pPr>
        <w:pStyle w:val="3"/>
        <w:spacing w:line="360" w:lineRule="auto"/>
        <w:ind w:firstLine="640" w:firstLineChars="200"/>
        <w:rPr>
          <w:rFonts w:ascii="彩虹粗仿宋" w:hAnsi="宋体" w:eastAsia="彩虹粗仿宋" w:cstheme="minorBidi"/>
          <w:kern w:val="0"/>
          <w:sz w:val="32"/>
          <w:szCs w:val="32"/>
        </w:rPr>
      </w:pPr>
      <w:r>
        <w:rPr>
          <w:rFonts w:hint="eastAsia" w:ascii="彩虹粗仿宋" w:hAnsi="宋体" w:eastAsia="彩虹粗仿宋" w:cstheme="minorBidi"/>
          <w:kern w:val="0"/>
          <w:sz w:val="32"/>
          <w:szCs w:val="32"/>
        </w:rPr>
        <w:t>5.认真填写守库值班工作日志，做好交接班工作；负责值班期间各类情况的处理及协调工作。</w:t>
      </w:r>
    </w:p>
    <w:p>
      <w:pPr>
        <w:adjustRightInd w:val="0"/>
        <w:snapToGrid w:val="0"/>
        <w:spacing w:line="560" w:lineRule="exact"/>
        <w:ind w:firstLine="643" w:firstLineChars="200"/>
        <w:rPr>
          <w:rFonts w:ascii="彩虹楷体" w:hAnsi="宋体" w:eastAsia="彩虹楷体" w:cs="Courier New"/>
          <w:b/>
          <w:color w:val="000000"/>
          <w:sz w:val="32"/>
          <w:szCs w:val="32"/>
        </w:rPr>
      </w:pPr>
      <w:r>
        <w:rPr>
          <w:rFonts w:hint="eastAsia" w:ascii="彩虹楷体" w:eastAsia="彩虹楷体"/>
          <w:b/>
          <w:sz w:val="32"/>
          <w:szCs w:val="32"/>
        </w:rPr>
        <w:t>（一）服务质量标准</w:t>
      </w:r>
    </w:p>
    <w:p>
      <w:pPr>
        <w:adjustRightInd w:val="0"/>
        <w:snapToGrid w:val="0"/>
        <w:spacing w:line="560" w:lineRule="exact"/>
        <w:ind w:firstLine="640" w:firstLineChars="200"/>
        <w:rPr>
          <w:rFonts w:ascii="彩虹粗仿宋" w:hAnsi="宋体" w:eastAsia="彩虹粗仿宋" w:cs="Courier New"/>
          <w:sz w:val="32"/>
          <w:szCs w:val="32"/>
        </w:rPr>
      </w:pPr>
      <w:r>
        <w:rPr>
          <w:rFonts w:hint="eastAsia" w:ascii="彩虹粗仿宋" w:hAnsi="宋体" w:eastAsia="彩虹粗仿宋" w:cs="Courier New"/>
          <w:sz w:val="32"/>
          <w:szCs w:val="32"/>
        </w:rPr>
        <w:t>1.供应商承诺提供合格的服务，接受我行对其工作的指导和监督。</w:t>
      </w:r>
    </w:p>
    <w:p>
      <w:pPr>
        <w:adjustRightInd w:val="0"/>
        <w:snapToGrid w:val="0"/>
        <w:spacing w:line="560" w:lineRule="exact"/>
        <w:ind w:firstLine="600"/>
        <w:rPr>
          <w:rFonts w:ascii="彩虹粗仿宋" w:hAnsi="宋体" w:eastAsia="彩虹粗仿宋" w:cs="Courier New"/>
          <w:sz w:val="32"/>
          <w:szCs w:val="32"/>
        </w:rPr>
      </w:pPr>
      <w:r>
        <w:rPr>
          <w:rFonts w:hint="eastAsia" w:ascii="彩虹粗仿宋" w:hAnsi="宋体" w:eastAsia="彩虹粗仿宋" w:cs="Courier New"/>
          <w:sz w:val="32"/>
          <w:szCs w:val="32"/>
        </w:rPr>
        <w:t>2.供应商配备必要的制式押运车辆、枪械和钞币运送人员。</w:t>
      </w:r>
    </w:p>
    <w:p>
      <w:pPr>
        <w:adjustRightInd w:val="0"/>
        <w:snapToGrid w:val="0"/>
        <w:spacing w:line="560" w:lineRule="exact"/>
        <w:ind w:firstLine="600"/>
        <w:rPr>
          <w:rFonts w:ascii="彩虹粗仿宋" w:hAnsi="宋体" w:eastAsia="彩虹粗仿宋" w:cs="Courier New"/>
          <w:sz w:val="32"/>
          <w:szCs w:val="32"/>
        </w:rPr>
      </w:pPr>
      <w:r>
        <w:rPr>
          <w:rFonts w:hint="eastAsia" w:ascii="彩虹粗仿宋" w:hAnsi="宋体" w:eastAsia="彩虹粗仿宋" w:cs="Courier New"/>
          <w:sz w:val="32"/>
          <w:szCs w:val="32"/>
        </w:rPr>
        <w:t>3.供应商负责与服务人员签订符合《劳动法》的正式合同，负责劳动用工以及涉及劳动关系管理的所有事宜。并承诺基本保障性工资不低于所在工作地区最低工资标准，按照国家规定缴纳社会保险等。</w:t>
      </w:r>
    </w:p>
    <w:p>
      <w:pPr>
        <w:adjustRightInd w:val="0"/>
        <w:snapToGrid w:val="0"/>
        <w:spacing w:line="560" w:lineRule="exact"/>
        <w:ind w:firstLine="600"/>
        <w:rPr>
          <w:rFonts w:ascii="彩虹粗仿宋" w:hAnsi="宋体" w:eastAsia="彩虹粗仿宋" w:cs="Courier New"/>
          <w:sz w:val="32"/>
          <w:szCs w:val="32"/>
        </w:rPr>
      </w:pPr>
      <w:r>
        <w:rPr>
          <w:rFonts w:hint="eastAsia" w:ascii="彩虹粗仿宋" w:hAnsi="宋体" w:eastAsia="彩虹粗仿宋" w:cs="Courier New"/>
          <w:sz w:val="32"/>
          <w:szCs w:val="32"/>
        </w:rPr>
        <w:t>4.供应商负责制定与受托业务相关的内控制度、操作规程、人员考核等办法，并报我行备案；未经我行书面同意，外包公司不得将其在协议约定项下全部或部分权利义务转让或分包给任意第三方。</w:t>
      </w:r>
    </w:p>
    <w:p>
      <w:pPr>
        <w:adjustRightInd w:val="0"/>
        <w:snapToGrid w:val="0"/>
        <w:spacing w:line="560" w:lineRule="exact"/>
        <w:ind w:firstLine="600"/>
        <w:rPr>
          <w:rFonts w:ascii="彩虹粗仿宋" w:hAnsi="宋体" w:eastAsia="彩虹粗仿宋" w:cs="Courier New"/>
          <w:sz w:val="32"/>
          <w:szCs w:val="32"/>
        </w:rPr>
      </w:pPr>
      <w:r>
        <w:rPr>
          <w:rFonts w:hint="eastAsia" w:ascii="彩虹粗仿宋" w:hAnsi="宋体" w:eastAsia="彩虹粗仿宋" w:cs="Courier New"/>
          <w:sz w:val="32"/>
          <w:szCs w:val="32"/>
        </w:rPr>
        <w:t>5.供应商派驻的服务人员应经过培训，并取得上岗资格证。</w:t>
      </w:r>
    </w:p>
    <w:p>
      <w:pPr>
        <w:adjustRightInd w:val="0"/>
        <w:snapToGrid w:val="0"/>
        <w:spacing w:line="560" w:lineRule="exact"/>
        <w:ind w:firstLine="600"/>
        <w:rPr>
          <w:rFonts w:ascii="彩虹粗仿宋" w:hAnsi="宋体" w:eastAsia="彩虹粗仿宋" w:cs="Courier New"/>
          <w:sz w:val="32"/>
          <w:szCs w:val="32"/>
        </w:rPr>
      </w:pPr>
      <w:r>
        <w:rPr>
          <w:rFonts w:hint="eastAsia" w:ascii="彩虹粗仿宋" w:hAnsi="宋体" w:eastAsia="彩虹粗仿宋" w:cs="Courier New"/>
          <w:sz w:val="32"/>
          <w:szCs w:val="32"/>
        </w:rPr>
        <w:t>6.供应商派驻的服务人员未经允许，不得进入我方营业柜台等场所，不得以任何手段窃取、泄漏我方商业机密，不得干涉我方的正常经营。</w:t>
      </w:r>
    </w:p>
    <w:p>
      <w:pPr>
        <w:adjustRightInd w:val="0"/>
        <w:snapToGrid w:val="0"/>
        <w:spacing w:line="560" w:lineRule="exact"/>
        <w:ind w:firstLine="600"/>
        <w:rPr>
          <w:rFonts w:ascii="彩虹粗仿宋" w:hAnsi="宋体" w:eastAsia="彩虹粗仿宋" w:cs="Courier New"/>
          <w:sz w:val="32"/>
          <w:szCs w:val="32"/>
        </w:rPr>
      </w:pPr>
      <w:r>
        <w:rPr>
          <w:rFonts w:hint="eastAsia" w:ascii="彩虹粗仿宋" w:hAnsi="宋体" w:eastAsia="彩虹粗仿宋" w:cs="Courier New"/>
          <w:sz w:val="32"/>
          <w:szCs w:val="32"/>
        </w:rPr>
        <w:t>7.专用运钞车内应按规定安装报警、电视监控、通讯器材、配备必要消防器材。</w:t>
      </w:r>
    </w:p>
    <w:p>
      <w:pPr>
        <w:adjustRightInd w:val="0"/>
        <w:snapToGrid w:val="0"/>
        <w:spacing w:line="560" w:lineRule="exact"/>
        <w:ind w:firstLine="600"/>
        <w:rPr>
          <w:rFonts w:ascii="彩虹粗仿宋" w:hAnsi="宋体" w:eastAsia="彩虹粗仿宋" w:cs="Courier New"/>
          <w:sz w:val="32"/>
          <w:szCs w:val="32"/>
        </w:rPr>
      </w:pPr>
      <w:r>
        <w:rPr>
          <w:rFonts w:hint="eastAsia" w:ascii="彩虹粗仿宋" w:hAnsi="宋体" w:eastAsia="彩虹粗仿宋" w:cs="Courier New"/>
          <w:sz w:val="32"/>
          <w:szCs w:val="32"/>
        </w:rPr>
        <w:t>8.</w:t>
      </w:r>
      <w:r>
        <w:rPr>
          <w:rFonts w:hint="eastAsia" w:ascii="彩虹粗仿宋" w:hAnsi="宋体" w:eastAsia="彩虹粗仿宋" w:cs="Times New Roman"/>
          <w:snapToGrid w:val="0"/>
          <w:kern w:val="0"/>
          <w:sz w:val="32"/>
          <w:szCs w:val="32"/>
        </w:rPr>
        <w:t xml:space="preserve"> 运钞车应按时停靠在我行指定的地点，保证随叫随到，准时、安全地将押运物送达我行要求的地点。出入我行营业场所的押运物在该营业场所现金业务区联动互锁门以内的视频监控下进行交接，守护人员按规定着装。</w:t>
      </w:r>
    </w:p>
    <w:p>
      <w:pPr>
        <w:adjustRightInd w:val="0"/>
        <w:snapToGrid w:val="0"/>
        <w:spacing w:line="560" w:lineRule="exact"/>
        <w:ind w:firstLine="643" w:firstLineChars="200"/>
        <w:rPr>
          <w:rFonts w:ascii="彩虹楷体" w:eastAsia="彩虹楷体"/>
          <w:b/>
          <w:sz w:val="32"/>
          <w:szCs w:val="32"/>
        </w:rPr>
      </w:pPr>
      <w:r>
        <w:rPr>
          <w:rFonts w:hint="eastAsia" w:ascii="彩虹楷体" w:eastAsia="彩虹楷体"/>
          <w:b/>
          <w:sz w:val="32"/>
          <w:szCs w:val="32"/>
        </w:rPr>
        <w:t xml:space="preserve">  （二）风险控制和应急措施</w:t>
      </w:r>
    </w:p>
    <w:p>
      <w:pPr>
        <w:tabs>
          <w:tab w:val="left" w:pos="720"/>
        </w:tabs>
        <w:adjustRightInd w:val="0"/>
        <w:snapToGrid w:val="0"/>
        <w:spacing w:line="560" w:lineRule="exact"/>
        <w:ind w:firstLine="640" w:firstLineChars="200"/>
        <w:outlineLvl w:val="0"/>
        <w:rPr>
          <w:rFonts w:ascii="彩虹粗仿宋" w:hAnsi="Times New Roman" w:eastAsia="彩虹粗仿宋" w:cs="Times New Roman"/>
          <w:sz w:val="32"/>
          <w:szCs w:val="32"/>
        </w:rPr>
      </w:pPr>
      <w:r>
        <w:rPr>
          <w:rFonts w:hint="eastAsia" w:ascii="彩虹粗仿宋" w:hAnsi="Times New Roman" w:eastAsia="彩虹粗仿宋" w:cs="Times New Roman"/>
          <w:sz w:val="32"/>
          <w:szCs w:val="32"/>
        </w:rPr>
        <w:t>为保证我行权益和商业机密，需采取以下风险控制和应急措施。</w:t>
      </w:r>
    </w:p>
    <w:p>
      <w:pPr>
        <w:adjustRightInd w:val="0"/>
        <w:snapToGrid w:val="0"/>
        <w:spacing w:line="560" w:lineRule="exact"/>
        <w:ind w:firstLine="656" w:firstLineChars="205"/>
        <w:rPr>
          <w:rFonts w:ascii="彩虹楷体" w:hAnsi="宋体" w:eastAsia="彩虹楷体" w:cs="Times New Roman"/>
          <w:sz w:val="32"/>
          <w:szCs w:val="32"/>
        </w:rPr>
      </w:pPr>
      <w:r>
        <w:rPr>
          <w:rFonts w:hint="eastAsia" w:ascii="彩虹楷体" w:hAnsi="宋体" w:eastAsia="彩虹楷体" w:cs="Times New Roman"/>
          <w:sz w:val="32"/>
          <w:szCs w:val="32"/>
        </w:rPr>
        <w:t>1.风险控制措施</w:t>
      </w:r>
    </w:p>
    <w:p>
      <w:pPr>
        <w:adjustRightInd w:val="0"/>
        <w:snapToGrid w:val="0"/>
        <w:spacing w:line="560" w:lineRule="exact"/>
        <w:ind w:firstLine="640"/>
        <w:rPr>
          <w:rFonts w:ascii="彩虹粗仿宋" w:hAnsi="Times New Roman" w:eastAsia="彩虹粗仿宋" w:cs="Times New Roman"/>
          <w:sz w:val="32"/>
          <w:szCs w:val="32"/>
        </w:rPr>
      </w:pPr>
      <w:r>
        <w:rPr>
          <w:rFonts w:hint="eastAsia" w:ascii="彩虹粗仿宋" w:hAnsi="Times New Roman" w:eastAsia="彩虹粗仿宋" w:cs="Times New Roman"/>
          <w:sz w:val="32"/>
          <w:szCs w:val="32"/>
        </w:rPr>
        <w:t>严禁供应商以我行名义进行用工管理或开展生产经营活动。</w:t>
      </w:r>
    </w:p>
    <w:p>
      <w:pPr>
        <w:adjustRightInd w:val="0"/>
        <w:snapToGrid w:val="0"/>
        <w:spacing w:line="560" w:lineRule="exact"/>
        <w:ind w:firstLine="640"/>
        <w:rPr>
          <w:rFonts w:ascii="彩虹粗仿宋" w:hAnsi="Times New Roman" w:eastAsia="彩虹粗仿宋" w:cs="Times New Roman"/>
          <w:sz w:val="32"/>
          <w:szCs w:val="32"/>
        </w:rPr>
      </w:pPr>
      <w:r>
        <w:rPr>
          <w:rFonts w:hint="eastAsia" w:ascii="彩虹粗仿宋" w:hAnsi="Times New Roman" w:eastAsia="彩虹粗仿宋" w:cs="Times New Roman"/>
          <w:sz w:val="32"/>
          <w:szCs w:val="32"/>
        </w:rPr>
        <w:t>（1）日常管理、监督和检查。</w:t>
      </w:r>
    </w:p>
    <w:p>
      <w:pPr>
        <w:spacing w:line="560" w:lineRule="exact"/>
        <w:ind w:firstLine="640"/>
        <w:rPr>
          <w:rFonts w:ascii="彩虹粗仿宋" w:hAnsi="Times New Roman" w:eastAsia="彩虹粗仿宋" w:cs="Times New Roman"/>
          <w:sz w:val="32"/>
          <w:szCs w:val="32"/>
        </w:rPr>
      </w:pPr>
      <w:r>
        <w:rPr>
          <w:sz w:val="30"/>
          <w:szCs w:val="30"/>
        </w:rPr>
        <w:fldChar w:fldCharType="begin"/>
      </w:r>
      <w:r>
        <w:rPr>
          <w:sz w:val="30"/>
          <w:szCs w:val="30"/>
        </w:rPr>
        <w:instrText xml:space="preserve"> </w:instrText>
      </w:r>
      <w:r>
        <w:rPr>
          <w:rFonts w:hint="eastAsia"/>
          <w:sz w:val="30"/>
          <w:szCs w:val="30"/>
        </w:rPr>
        <w:instrText xml:space="preserve">eq \o\ac(</w:instrText>
      </w:r>
      <w:r>
        <w:rPr>
          <w:rFonts w:hint="eastAsia" w:ascii="宋体"/>
          <w:position w:val="-6"/>
          <w:sz w:val="45"/>
          <w:szCs w:val="30"/>
        </w:rPr>
        <w:instrText xml:space="preserve">○</w:instrText>
      </w:r>
      <w:r>
        <w:rPr>
          <w:rFonts w:hint="eastAsia"/>
          <w:sz w:val="30"/>
          <w:szCs w:val="30"/>
        </w:rPr>
        <w:instrText xml:space="preserve">,1)</w:instrText>
      </w:r>
      <w:r>
        <w:rPr>
          <w:sz w:val="30"/>
          <w:szCs w:val="30"/>
        </w:rPr>
        <w:fldChar w:fldCharType="end"/>
      </w:r>
      <w:r>
        <w:rPr>
          <w:rFonts w:hint="eastAsia" w:ascii="彩虹粗仿宋" w:hAnsi="Times New Roman" w:eastAsia="彩虹粗仿宋" w:cs="Times New Roman"/>
          <w:sz w:val="32"/>
          <w:szCs w:val="32"/>
        </w:rPr>
        <w:t>钞币运送和守护业务应按规程操作。</w:t>
      </w:r>
    </w:p>
    <w:p>
      <w:pPr>
        <w:spacing w:line="560" w:lineRule="exact"/>
        <w:ind w:firstLine="640"/>
        <w:rPr>
          <w:rFonts w:ascii="彩虹粗仿宋" w:hAnsi="Times New Roman" w:eastAsia="彩虹粗仿宋" w:cs="Times New Roman"/>
          <w:kern w:val="0"/>
          <w:sz w:val="32"/>
          <w:szCs w:val="32"/>
        </w:rPr>
      </w:pPr>
      <w:r>
        <w:rPr>
          <w:rFonts w:ascii="彩虹粗仿宋" w:hAnsi="Times New Roman" w:eastAsia="彩虹粗仿宋" w:cs="Times New Roman"/>
          <w:sz w:val="32"/>
          <w:szCs w:val="32"/>
        </w:rPr>
        <w:fldChar w:fldCharType="begin"/>
      </w:r>
      <w:r>
        <w:rPr>
          <w:rFonts w:ascii="彩虹粗仿宋" w:hAnsi="Times New Roman" w:eastAsia="彩虹粗仿宋" w:cs="Times New Roman"/>
          <w:sz w:val="32"/>
          <w:szCs w:val="32"/>
        </w:rPr>
        <w:instrText xml:space="preserve"> </w:instrText>
      </w:r>
      <w:r>
        <w:rPr>
          <w:rFonts w:hint="eastAsia" w:ascii="彩虹粗仿宋" w:hAnsi="Times New Roman" w:eastAsia="彩虹粗仿宋" w:cs="Times New Roman"/>
          <w:sz w:val="32"/>
          <w:szCs w:val="32"/>
        </w:rPr>
        <w:instrText xml:space="preserve">eq \o\ac(</w:instrText>
      </w:r>
      <w:r>
        <w:rPr>
          <w:rFonts w:hint="eastAsia" w:ascii="彩虹粗仿宋" w:hAnsi="Times New Roman" w:eastAsia="彩虹粗仿宋" w:cs="Times New Roman"/>
          <w:position w:val="-6"/>
          <w:sz w:val="48"/>
          <w:szCs w:val="32"/>
        </w:rPr>
        <w:instrText xml:space="preserve">○</w:instrText>
      </w:r>
      <w:r>
        <w:rPr>
          <w:rFonts w:hint="eastAsia" w:ascii="彩虹粗仿宋" w:hAnsi="Times New Roman" w:eastAsia="彩虹粗仿宋" w:cs="Times New Roman"/>
          <w:sz w:val="32"/>
          <w:szCs w:val="32"/>
        </w:rPr>
        <w:instrText xml:space="preserve">,2)</w:instrText>
      </w:r>
      <w:r>
        <w:rPr>
          <w:rFonts w:ascii="彩虹粗仿宋" w:hAnsi="Times New Roman" w:eastAsia="彩虹粗仿宋" w:cs="Times New Roman"/>
          <w:sz w:val="32"/>
          <w:szCs w:val="32"/>
        </w:rPr>
        <w:fldChar w:fldCharType="end"/>
      </w:r>
      <w:r>
        <w:rPr>
          <w:rFonts w:hint="eastAsia" w:ascii="彩虹粗仿宋" w:eastAsia="彩虹粗仿宋"/>
          <w:sz w:val="32"/>
          <w:szCs w:val="32"/>
        </w:rPr>
        <w:t>定期对外包服务进行检查，</w:t>
      </w:r>
      <w:r>
        <w:rPr>
          <w:rFonts w:hint="eastAsia" w:ascii="彩虹粗仿宋" w:hAnsi="Times New Roman" w:eastAsia="彩虹粗仿宋" w:cs="Times New Roman"/>
          <w:kern w:val="0"/>
          <w:sz w:val="32"/>
          <w:szCs w:val="32"/>
        </w:rPr>
        <w:t>每季度至少开展一次检查，每季度召开一次联席会，对检查发现问题及时通报供应商，限期整改和落实，每年度结束后形成年度评估报告。</w:t>
      </w:r>
    </w:p>
    <w:p>
      <w:pPr>
        <w:tabs>
          <w:tab w:val="left" w:pos="720"/>
        </w:tabs>
        <w:adjustRightInd w:val="0"/>
        <w:snapToGrid w:val="0"/>
        <w:spacing w:line="560" w:lineRule="exact"/>
        <w:ind w:firstLine="640" w:firstLineChars="200"/>
        <w:outlineLvl w:val="0"/>
        <w:rPr>
          <w:rFonts w:ascii="彩虹粗仿宋" w:hAnsi="Times New Roman" w:eastAsia="彩虹粗仿宋" w:cs="Times New Roman"/>
          <w:sz w:val="32"/>
          <w:szCs w:val="32"/>
        </w:rPr>
      </w:pPr>
      <w:r>
        <w:rPr>
          <w:rFonts w:hint="eastAsia" w:ascii="彩虹粗仿宋" w:hAnsi="Times New Roman" w:eastAsia="彩虹粗仿宋" w:cs="Times New Roman"/>
          <w:sz w:val="32"/>
          <w:szCs w:val="32"/>
        </w:rPr>
        <w:t>③服务监督管理实行“对事不对人”，供应商负责服务人员的招聘、管理、考核、薪酬发放等工作，我行负责监督检查外包公司服务的数量、质量、应急处置。</w:t>
      </w:r>
    </w:p>
    <w:p>
      <w:pPr>
        <w:adjustRightInd w:val="0"/>
        <w:snapToGrid w:val="0"/>
        <w:spacing w:line="560" w:lineRule="exact"/>
        <w:ind w:firstLine="640" w:firstLineChars="200"/>
        <w:rPr>
          <w:rFonts w:ascii="彩虹粗仿宋" w:hAnsi="Times New Roman" w:eastAsia="彩虹粗仿宋" w:cs="Times New Roman"/>
          <w:sz w:val="32"/>
          <w:szCs w:val="32"/>
        </w:rPr>
      </w:pPr>
      <w:r>
        <w:rPr>
          <w:rFonts w:hint="eastAsia" w:ascii="彩虹粗仿宋" w:hAnsi="Times New Roman" w:eastAsia="彩虹粗仿宋" w:cs="Times New Roman"/>
          <w:sz w:val="32"/>
          <w:szCs w:val="32"/>
        </w:rPr>
        <w:t>（3）保密要求</w:t>
      </w:r>
    </w:p>
    <w:p>
      <w:pPr>
        <w:tabs>
          <w:tab w:val="left" w:pos="720"/>
        </w:tabs>
        <w:adjustRightInd w:val="0"/>
        <w:snapToGrid w:val="0"/>
        <w:spacing w:line="560" w:lineRule="exact"/>
        <w:ind w:firstLine="640" w:firstLineChars="200"/>
        <w:outlineLvl w:val="0"/>
        <w:rPr>
          <w:rFonts w:ascii="彩虹粗仿宋" w:hAnsi="Times New Roman" w:eastAsia="彩虹粗仿宋" w:cs="Times New Roman"/>
          <w:sz w:val="32"/>
          <w:szCs w:val="32"/>
        </w:rPr>
      </w:pPr>
      <w:r>
        <w:rPr>
          <w:rFonts w:hint="eastAsia" w:ascii="彩虹粗仿宋" w:hAnsi="Times New Roman" w:eastAsia="彩虹粗仿宋" w:cs="Times New Roman"/>
          <w:sz w:val="32"/>
          <w:szCs w:val="32"/>
        </w:rPr>
        <w:t>①供应商需与服务人员签订《保密协议》，防范客户信息泄露的风险，严格防范操作风险、声誉风险及其它风险。</w:t>
      </w:r>
    </w:p>
    <w:p>
      <w:pPr>
        <w:tabs>
          <w:tab w:val="left" w:pos="720"/>
        </w:tabs>
        <w:adjustRightInd w:val="0"/>
        <w:snapToGrid w:val="0"/>
        <w:spacing w:line="560" w:lineRule="exact"/>
        <w:ind w:firstLine="640" w:firstLineChars="200"/>
        <w:outlineLvl w:val="0"/>
        <w:rPr>
          <w:rFonts w:ascii="彩虹粗仿宋" w:hAnsi="Times New Roman" w:eastAsia="彩虹粗仿宋" w:cs="Times New Roman"/>
          <w:sz w:val="32"/>
          <w:szCs w:val="32"/>
        </w:rPr>
      </w:pPr>
      <w:r>
        <w:rPr>
          <w:rFonts w:hint="eastAsia" w:ascii="彩虹粗仿宋" w:hAnsi="Times New Roman" w:eastAsia="彩虹粗仿宋" w:cs="Times New Roman"/>
          <w:sz w:val="32"/>
          <w:szCs w:val="32"/>
        </w:rPr>
        <w:t>②服务人员只能掌握了解工作需要的相关信息，不得将我行信息资料以任何方式透露给其他任何机构或个人。</w:t>
      </w:r>
    </w:p>
    <w:p>
      <w:pPr>
        <w:tabs>
          <w:tab w:val="left" w:pos="720"/>
        </w:tabs>
        <w:adjustRightInd w:val="0"/>
        <w:snapToGrid w:val="0"/>
        <w:spacing w:line="560" w:lineRule="exact"/>
        <w:ind w:firstLine="640" w:firstLineChars="200"/>
        <w:outlineLvl w:val="0"/>
        <w:rPr>
          <w:rFonts w:ascii="彩虹粗仿宋" w:hAnsi="Times New Roman" w:eastAsia="彩虹粗仿宋" w:cs="Times New Roman"/>
          <w:sz w:val="32"/>
          <w:szCs w:val="32"/>
        </w:rPr>
      </w:pPr>
      <w:r>
        <w:rPr>
          <w:rFonts w:hint="eastAsia" w:ascii="彩虹粗仿宋" w:hAnsi="Times New Roman" w:eastAsia="彩虹粗仿宋" w:cs="Times New Roman"/>
          <w:sz w:val="32"/>
          <w:szCs w:val="32"/>
        </w:rPr>
        <w:t>③服务人员不得利用工作之便窃取、收买或者非法提供他人申请信息资料进行各种非法活动。</w:t>
      </w:r>
    </w:p>
    <w:p>
      <w:pPr>
        <w:tabs>
          <w:tab w:val="left" w:pos="720"/>
        </w:tabs>
        <w:adjustRightInd w:val="0"/>
        <w:snapToGrid w:val="0"/>
        <w:spacing w:line="560" w:lineRule="exact"/>
        <w:ind w:firstLine="640" w:firstLineChars="200"/>
        <w:outlineLvl w:val="0"/>
        <w:rPr>
          <w:rFonts w:ascii="彩虹粗仿宋" w:hAnsi="Times New Roman" w:eastAsia="彩虹粗仿宋" w:cs="Times New Roman"/>
          <w:sz w:val="32"/>
          <w:szCs w:val="32"/>
        </w:rPr>
      </w:pPr>
      <w:r>
        <w:rPr>
          <w:rFonts w:hint="eastAsia" w:ascii="彩虹粗仿宋" w:hAnsi="Times New Roman" w:eastAsia="彩虹粗仿宋" w:cs="Times New Roman"/>
          <w:sz w:val="32"/>
          <w:szCs w:val="32"/>
        </w:rPr>
        <w:t>④由于供应商原因导致我行及客户信息泄漏的，按我行将追究相关责任。</w:t>
      </w:r>
    </w:p>
    <w:p>
      <w:pPr>
        <w:tabs>
          <w:tab w:val="left" w:pos="720"/>
        </w:tabs>
        <w:adjustRightInd w:val="0"/>
        <w:snapToGrid w:val="0"/>
        <w:spacing w:line="560" w:lineRule="exact"/>
        <w:ind w:firstLine="640" w:firstLineChars="200"/>
        <w:outlineLvl w:val="0"/>
        <w:rPr>
          <w:rFonts w:ascii="彩虹粗仿宋" w:hAnsi="Times New Roman" w:eastAsia="彩虹粗仿宋" w:cs="Times New Roman"/>
          <w:sz w:val="32"/>
          <w:szCs w:val="32"/>
        </w:rPr>
      </w:pPr>
      <w:r>
        <w:rPr>
          <w:rFonts w:hint="eastAsia" w:ascii="彩虹粗仿宋" w:hAnsi="Times New Roman" w:eastAsia="彩虹粗仿宋" w:cs="Times New Roman"/>
          <w:sz w:val="32"/>
          <w:szCs w:val="32"/>
        </w:rPr>
        <w:t>⑤供应商应严守我行的商业秘密、技术秘密和其他业务信息，不得泄露。</w:t>
      </w:r>
    </w:p>
    <w:p>
      <w:pPr>
        <w:adjustRightInd w:val="0"/>
        <w:snapToGrid w:val="0"/>
        <w:spacing w:line="560" w:lineRule="exact"/>
        <w:ind w:firstLine="819" w:firstLineChars="256"/>
        <w:rPr>
          <w:rFonts w:ascii="彩虹粗仿宋" w:hAnsi="宋体" w:eastAsia="彩虹粗仿宋" w:cs="Times New Roman"/>
          <w:sz w:val="32"/>
          <w:szCs w:val="32"/>
        </w:rPr>
      </w:pPr>
      <w:r>
        <w:rPr>
          <w:rFonts w:hint="eastAsia" w:ascii="彩虹粗仿宋" w:hAnsi="宋体" w:eastAsia="彩虹粗仿宋" w:cs="Times New Roman"/>
          <w:sz w:val="32"/>
          <w:szCs w:val="32"/>
        </w:rPr>
        <w:t>2.应急措施</w:t>
      </w:r>
    </w:p>
    <w:p>
      <w:pPr>
        <w:adjustRightInd w:val="0"/>
        <w:snapToGrid w:val="0"/>
        <w:spacing w:line="560" w:lineRule="exact"/>
        <w:ind w:firstLine="640" w:firstLineChars="200"/>
        <w:rPr>
          <w:rFonts w:ascii="彩虹粗仿宋" w:hAnsi="Times New Roman" w:eastAsia="彩虹粗仿宋" w:cs="Times New Roman"/>
          <w:sz w:val="32"/>
          <w:szCs w:val="32"/>
        </w:rPr>
      </w:pPr>
      <w:r>
        <w:rPr>
          <w:rFonts w:hint="eastAsia" w:ascii="彩虹粗仿宋" w:hAnsi="Times New Roman" w:eastAsia="彩虹粗仿宋" w:cs="Times New Roman"/>
          <w:sz w:val="32"/>
          <w:szCs w:val="32"/>
        </w:rPr>
        <w:t>（1）外包公司应制定应急预案，预案场景设置、预案分工、预案演练、预案评估，并明确应急处置流程。</w:t>
      </w:r>
    </w:p>
    <w:p>
      <w:pPr>
        <w:adjustRightInd w:val="0"/>
        <w:snapToGrid w:val="0"/>
        <w:spacing w:line="560" w:lineRule="exact"/>
        <w:ind w:firstLine="640" w:firstLineChars="200"/>
        <w:rPr>
          <w:rFonts w:ascii="彩虹粗仿宋" w:hAnsi="Times New Roman" w:eastAsia="彩虹粗仿宋" w:cs="Times New Roman"/>
          <w:sz w:val="32"/>
          <w:szCs w:val="32"/>
        </w:rPr>
      </w:pPr>
      <w:r>
        <w:rPr>
          <w:rFonts w:hint="eastAsia" w:ascii="彩虹粗仿宋" w:hAnsi="Times New Roman" w:eastAsia="彩虹粗仿宋" w:cs="Times New Roman"/>
          <w:sz w:val="32"/>
          <w:szCs w:val="32"/>
        </w:rPr>
        <w:t>（2）押运途中或守护期间如遇抢劫、事故等情况，外包服务人员应及时报告我行以及供应商，启动应急处置预案。</w:t>
      </w:r>
    </w:p>
    <w:p>
      <w:pPr>
        <w:adjustRightInd w:val="0"/>
        <w:snapToGrid w:val="0"/>
        <w:spacing w:line="560" w:lineRule="exact"/>
        <w:ind w:firstLine="640" w:firstLineChars="200"/>
        <w:rPr>
          <w:rFonts w:ascii="彩虹粗仿宋" w:hAnsi="Times New Roman" w:eastAsia="彩虹粗仿宋" w:cs="Times New Roman"/>
          <w:sz w:val="32"/>
          <w:szCs w:val="32"/>
        </w:rPr>
      </w:pPr>
      <w:r>
        <w:rPr>
          <w:rFonts w:hint="eastAsia" w:ascii="彩虹粗仿宋" w:hAnsi="Times New Roman" w:eastAsia="彩虹粗仿宋" w:cs="Times New Roman"/>
          <w:sz w:val="32"/>
          <w:szCs w:val="32"/>
        </w:rPr>
        <w:t>（3）造成我行经济损失的，我行将进行索赔；造成我行声誉损失的，供应商应积极配合我行采取措施消除影响、恢复声誉；涉嫌违法犯罪的，及时向公安机关报案。</w:t>
      </w:r>
    </w:p>
    <w:p>
      <w:pPr>
        <w:adjustRightInd w:val="0"/>
        <w:snapToGrid w:val="0"/>
        <w:spacing w:line="560" w:lineRule="exact"/>
        <w:ind w:firstLine="640" w:firstLineChars="200"/>
        <w:rPr>
          <w:rFonts w:ascii="彩虹粗仿宋" w:hAnsi="Times New Roman" w:eastAsia="彩虹粗仿宋" w:cs="Times New Roman"/>
          <w:sz w:val="32"/>
          <w:szCs w:val="32"/>
        </w:rPr>
      </w:pPr>
      <w:r>
        <w:rPr>
          <w:rFonts w:hint="eastAsia" w:ascii="彩虹粗仿宋" w:hAnsi="Times New Roman" w:eastAsia="彩虹粗仿宋" w:cs="Times New Roman"/>
          <w:sz w:val="32"/>
          <w:szCs w:val="32"/>
        </w:rPr>
        <w:t>（5）供应商在处理事（案）件过程中要时刻向我行报告进展情况，待风险解除后，形成书面报告报送我行，我行综合评估后确定是否继续开展外包事项。</w:t>
      </w:r>
    </w:p>
    <w:p>
      <w:pPr>
        <w:adjustRightInd w:val="0"/>
        <w:snapToGrid w:val="0"/>
        <w:spacing w:line="560" w:lineRule="exact"/>
        <w:ind w:firstLine="643" w:firstLineChars="200"/>
        <w:rPr>
          <w:rFonts w:ascii="彩虹楷体" w:eastAsia="彩虹楷体"/>
          <w:b/>
          <w:sz w:val="32"/>
          <w:szCs w:val="32"/>
        </w:rPr>
      </w:pPr>
      <w:r>
        <w:rPr>
          <w:rFonts w:hint="eastAsia" w:ascii="彩虹楷体" w:eastAsia="彩虹楷体"/>
          <w:b/>
          <w:sz w:val="32"/>
          <w:szCs w:val="32"/>
        </w:rPr>
        <w:t>（三）消保条款要求</w:t>
      </w:r>
    </w:p>
    <w:p>
      <w:pPr>
        <w:spacing w:line="560" w:lineRule="exact"/>
        <w:ind w:firstLine="636"/>
        <w:rPr>
          <w:rFonts w:ascii="彩虹楷体" w:hAnsi="宋体" w:eastAsia="彩虹楷体"/>
          <w:sz w:val="32"/>
          <w:szCs w:val="32"/>
        </w:rPr>
      </w:pPr>
      <w:r>
        <w:rPr>
          <w:rFonts w:hint="eastAsia" w:ascii="彩虹楷体" w:hAnsi="宋体" w:eastAsia="彩虹楷体"/>
          <w:sz w:val="32"/>
          <w:szCs w:val="32"/>
        </w:rPr>
        <w:t>1.个人信息保护条款</w:t>
      </w:r>
    </w:p>
    <w:p>
      <w:pPr>
        <w:spacing w:line="560" w:lineRule="exact"/>
        <w:ind w:firstLine="640" w:firstLineChars="200"/>
        <w:rPr>
          <w:rFonts w:ascii="彩虹粗仿宋" w:hAnsi="宋体" w:eastAsia="彩虹粗仿宋"/>
          <w:sz w:val="32"/>
          <w:szCs w:val="32"/>
        </w:rPr>
      </w:pPr>
      <w:r>
        <w:rPr>
          <w:rFonts w:hint="eastAsia" w:ascii="彩虹粗仿宋" w:hAnsi="宋体" w:eastAsia="彩虹粗仿宋"/>
          <w:sz w:val="32"/>
          <w:szCs w:val="32"/>
        </w:rPr>
        <w:t>（1）明确双方职责、保密义务及个人信息保护条款措施、个人信息发生泄露的违约责任；约定合作机构的保密义务不因服务的终止而终止；</w:t>
      </w:r>
    </w:p>
    <w:p>
      <w:pPr>
        <w:spacing w:line="560" w:lineRule="exact"/>
        <w:ind w:firstLine="640" w:firstLineChars="200"/>
        <w:rPr>
          <w:rFonts w:ascii="彩虹粗仿宋" w:hAnsi="宋体" w:eastAsia="彩虹粗仿宋"/>
          <w:sz w:val="32"/>
          <w:szCs w:val="32"/>
        </w:rPr>
      </w:pPr>
      <w:r>
        <w:rPr>
          <w:rFonts w:hint="eastAsia" w:ascii="彩虹粗仿宋" w:hAnsi="宋体" w:eastAsia="彩虹粗仿宋"/>
          <w:sz w:val="32"/>
          <w:szCs w:val="32"/>
        </w:rPr>
        <w:t>（2）合作机构不得在未获得客户同意的前提下将获得的个人信息进一步提供给其他第三方；</w:t>
      </w:r>
    </w:p>
    <w:p>
      <w:pPr>
        <w:spacing w:line="560" w:lineRule="exact"/>
        <w:ind w:firstLine="640" w:firstLineChars="200"/>
        <w:rPr>
          <w:rFonts w:ascii="彩虹粗仿宋" w:hAnsi="宋体" w:eastAsia="彩虹粗仿宋"/>
          <w:sz w:val="32"/>
          <w:szCs w:val="32"/>
        </w:rPr>
      </w:pPr>
      <w:r>
        <w:rPr>
          <w:rFonts w:hint="eastAsia" w:ascii="彩虹粗仿宋" w:hAnsi="宋体" w:eastAsia="彩虹粗仿宋"/>
          <w:sz w:val="32"/>
          <w:szCs w:val="32"/>
        </w:rPr>
        <w:t>（3）合作机构向个人信息主体征得收集个人信息的明确同意授权；</w:t>
      </w:r>
    </w:p>
    <w:p>
      <w:pPr>
        <w:spacing w:line="560" w:lineRule="exact"/>
        <w:ind w:firstLine="640" w:firstLineChars="200"/>
        <w:rPr>
          <w:rFonts w:ascii="彩虹粗仿宋" w:hAnsi="宋体" w:eastAsia="彩虹粗仿宋"/>
          <w:sz w:val="32"/>
          <w:szCs w:val="32"/>
        </w:rPr>
      </w:pPr>
      <w:r>
        <w:rPr>
          <w:rFonts w:hint="eastAsia" w:ascii="彩虹粗仿宋" w:hAnsi="宋体" w:eastAsia="彩虹粗仿宋"/>
          <w:sz w:val="32"/>
          <w:szCs w:val="32"/>
        </w:rPr>
        <w:t>（4）在双方合作关系终止时，应确保其不再存储我行相关个人信息。</w:t>
      </w:r>
    </w:p>
    <w:p>
      <w:pPr>
        <w:spacing w:line="560" w:lineRule="exact"/>
        <w:ind w:firstLine="640" w:firstLineChars="200"/>
        <w:rPr>
          <w:rFonts w:ascii="彩虹粗仿宋" w:hAnsi="宋体" w:eastAsia="彩虹粗仿宋"/>
          <w:sz w:val="32"/>
          <w:szCs w:val="32"/>
        </w:rPr>
      </w:pPr>
      <w:r>
        <w:rPr>
          <w:rFonts w:hint="eastAsia" w:ascii="彩虹粗仿宋" w:hAnsi="宋体" w:eastAsia="彩虹粗仿宋"/>
          <w:sz w:val="32"/>
          <w:szCs w:val="32"/>
        </w:rPr>
        <w:t>（5）我行从合作机构获取个人信息时，应确保中介机构和第三方机构的数据来源合法合规、真实有效，对外提供数据不违反法律法规要求，并已获得信息主体本人的明确同意授权；</w:t>
      </w:r>
    </w:p>
    <w:p>
      <w:pPr>
        <w:spacing w:line="560" w:lineRule="exact"/>
        <w:ind w:firstLine="640" w:firstLineChars="200"/>
        <w:rPr>
          <w:rFonts w:ascii="彩虹粗仿宋" w:hAnsi="宋体" w:eastAsia="彩虹粗仿宋"/>
          <w:sz w:val="32"/>
          <w:szCs w:val="32"/>
        </w:rPr>
      </w:pPr>
      <w:r>
        <w:rPr>
          <w:rFonts w:hint="eastAsia" w:ascii="彩虹粗仿宋" w:hAnsi="宋体" w:eastAsia="彩虹粗仿宋"/>
          <w:sz w:val="32"/>
          <w:szCs w:val="32"/>
        </w:rPr>
        <w:t>（6）合作机构承诺其所提供的数据信息已获得相关授权，信息收集合法，且对外提供信息已经被收集者同意；对所提供的外部数据信息的采集、加工、整合、提供过程符合国家相关法律法规规章的规定，具有合法使用权，并有权向我行提供。</w:t>
      </w:r>
    </w:p>
    <w:p>
      <w:pPr>
        <w:spacing w:line="560" w:lineRule="exact"/>
        <w:ind w:firstLine="640" w:firstLineChars="200"/>
        <w:rPr>
          <w:rFonts w:ascii="彩虹楷体" w:hAnsi="宋体" w:eastAsia="彩虹楷体"/>
          <w:sz w:val="32"/>
          <w:szCs w:val="32"/>
        </w:rPr>
      </w:pPr>
      <w:r>
        <w:rPr>
          <w:rFonts w:hint="eastAsia" w:ascii="彩虹楷体" w:hAnsi="宋体" w:eastAsia="彩虹楷体"/>
          <w:sz w:val="32"/>
          <w:szCs w:val="32"/>
        </w:rPr>
        <w:t>2.信息披露条款</w:t>
      </w:r>
    </w:p>
    <w:p>
      <w:pPr>
        <w:spacing w:line="560" w:lineRule="exact"/>
        <w:ind w:firstLine="640" w:firstLineChars="200"/>
        <w:rPr>
          <w:rFonts w:ascii="彩虹粗仿宋" w:hAnsi="宋体" w:eastAsia="彩虹粗仿宋"/>
          <w:sz w:val="32"/>
          <w:szCs w:val="32"/>
        </w:rPr>
      </w:pPr>
      <w:r>
        <w:rPr>
          <w:rFonts w:hint="eastAsia" w:ascii="彩虹粗仿宋" w:hAnsi="宋体" w:eastAsia="彩虹粗仿宋"/>
          <w:sz w:val="32"/>
          <w:szCs w:val="32"/>
        </w:rPr>
        <w:t>对于我行与合作机构共同提供产品服务的，应向客户充分披露我行与合作机构信息、合作产品的信息、合作各方权利义务，按照适当性原则充分揭示合作业务风险，避免客户产生品牌混同。</w:t>
      </w:r>
    </w:p>
    <w:p>
      <w:pPr>
        <w:spacing w:line="560" w:lineRule="exact"/>
        <w:ind w:firstLine="640" w:firstLineChars="200"/>
        <w:rPr>
          <w:rFonts w:ascii="彩虹楷体" w:hAnsi="宋体" w:eastAsia="彩虹楷体"/>
          <w:sz w:val="32"/>
          <w:szCs w:val="32"/>
        </w:rPr>
      </w:pPr>
      <w:r>
        <w:rPr>
          <w:rFonts w:hint="eastAsia" w:ascii="彩虹楷体" w:hAnsi="宋体" w:eastAsia="彩虹楷体"/>
          <w:sz w:val="32"/>
          <w:szCs w:val="32"/>
        </w:rPr>
        <w:t xml:space="preserve">3.消费者投诉条款 </w:t>
      </w:r>
    </w:p>
    <w:p>
      <w:pPr>
        <w:spacing w:line="560" w:lineRule="exact"/>
        <w:ind w:firstLine="640" w:firstLineChars="200"/>
        <w:rPr>
          <w:rFonts w:ascii="彩虹粗仿宋" w:hAnsi="宋体" w:eastAsia="彩虹粗仿宋"/>
          <w:sz w:val="32"/>
          <w:szCs w:val="32"/>
        </w:rPr>
      </w:pPr>
      <w:r>
        <w:rPr>
          <w:rFonts w:hint="eastAsia" w:ascii="彩虹粗仿宋" w:hAnsi="宋体" w:eastAsia="彩虹粗仿宋"/>
          <w:sz w:val="32"/>
          <w:szCs w:val="32"/>
        </w:rPr>
        <w:t>（1）合作机构应严格落实消费投诉处理工作责任，建立内部沟通协调、信息共享、协同处理的投诉处理工作机制，落实首问负责制，在消费投诉发生的第一时问及时处理、妥善解决，依法合规开展消费投诉处理工作，避免事态扩大产生负面影响。</w:t>
      </w:r>
    </w:p>
    <w:p>
      <w:pPr>
        <w:spacing w:line="560" w:lineRule="exact"/>
        <w:ind w:firstLine="640" w:firstLineChars="200"/>
        <w:rPr>
          <w:rFonts w:ascii="彩虹粗仿宋" w:hAnsi="宋体" w:eastAsia="彩虹粗仿宋"/>
          <w:sz w:val="32"/>
          <w:szCs w:val="32"/>
        </w:rPr>
      </w:pPr>
      <w:r>
        <w:rPr>
          <w:rFonts w:hint="eastAsia" w:ascii="彩虹粗仿宋" w:hAnsi="宋体" w:eastAsia="彩虹粗仿宋"/>
          <w:sz w:val="32"/>
          <w:szCs w:val="32"/>
        </w:rPr>
        <w:t>（2）对涉及理赔给付的合作机构，应明确其承担的投诉处理义务和责任。</w:t>
      </w:r>
    </w:p>
    <w:p>
      <w:pPr>
        <w:spacing w:line="560" w:lineRule="exact"/>
        <w:ind w:firstLine="640" w:firstLineChars="200"/>
        <w:rPr>
          <w:rFonts w:ascii="彩虹楷体" w:hAnsi="宋体" w:eastAsia="彩虹楷体"/>
          <w:sz w:val="32"/>
          <w:szCs w:val="32"/>
        </w:rPr>
      </w:pPr>
      <w:r>
        <w:rPr>
          <w:rFonts w:hint="eastAsia" w:ascii="彩虹楷体" w:hAnsi="宋体" w:eastAsia="彩虹楷体"/>
          <w:sz w:val="32"/>
          <w:szCs w:val="32"/>
        </w:rPr>
        <w:t xml:space="preserve">4.其他行为监督 </w:t>
      </w:r>
    </w:p>
    <w:p>
      <w:pPr>
        <w:spacing w:line="560" w:lineRule="exact"/>
        <w:ind w:firstLine="640" w:firstLineChars="200"/>
        <w:rPr>
          <w:rFonts w:ascii="彩虹粗仿宋" w:hAnsi="宋体" w:eastAsia="彩虹粗仿宋"/>
          <w:sz w:val="32"/>
          <w:szCs w:val="32"/>
        </w:rPr>
      </w:pPr>
      <w:r>
        <w:rPr>
          <w:rFonts w:hint="eastAsia" w:ascii="彩虹粗仿宋" w:hAnsi="宋体" w:eastAsia="彩虹粗仿宋"/>
          <w:sz w:val="32"/>
          <w:szCs w:val="32"/>
        </w:rPr>
        <w:t>我行有权根据监管要求和形势发展变化，不断完善合作机构消费者权益保护监督内容，加强对中介机构和第三方机构涉及我行消费者的其他方面监督，督促中介机构和第三方机构经营行为合法合规，避免发生侵犯消费者权益事件。</w:t>
      </w:r>
    </w:p>
    <w:p>
      <w:pPr>
        <w:spacing w:line="560" w:lineRule="exact"/>
        <w:ind w:firstLine="640" w:firstLineChars="200"/>
        <w:rPr>
          <w:rFonts w:ascii="彩虹楷体" w:hAnsi="宋体" w:eastAsia="彩虹楷体"/>
          <w:sz w:val="32"/>
          <w:szCs w:val="32"/>
        </w:rPr>
      </w:pPr>
      <w:r>
        <w:rPr>
          <w:rFonts w:hint="eastAsia" w:ascii="彩虹楷体" w:hAnsi="宋体" w:eastAsia="彩虹楷体"/>
          <w:sz w:val="32"/>
          <w:szCs w:val="32"/>
        </w:rPr>
        <w:t>5.黑名单退出机制</w:t>
      </w:r>
    </w:p>
    <w:p>
      <w:pPr>
        <w:spacing w:line="560" w:lineRule="exact"/>
        <w:ind w:firstLine="640" w:firstLineChars="200"/>
        <w:rPr>
          <w:rFonts w:ascii="彩虹粗仿宋" w:hAnsi="宋体" w:eastAsia="彩虹粗仿宋"/>
          <w:sz w:val="32"/>
          <w:szCs w:val="32"/>
        </w:rPr>
      </w:pPr>
      <w:r>
        <w:rPr>
          <w:rFonts w:hint="eastAsia" w:ascii="彩虹粗仿宋" w:hAnsi="宋体" w:eastAsia="彩虹粗仿宋"/>
          <w:sz w:val="32"/>
          <w:szCs w:val="32"/>
        </w:rPr>
        <w:t>对有下列情形之一的，应取消准入资格；已经准入的，应予以退出。</w:t>
      </w:r>
    </w:p>
    <w:p>
      <w:pPr>
        <w:spacing w:line="560" w:lineRule="exact"/>
        <w:ind w:left="210" w:leftChars="100" w:firstLine="320" w:firstLineChars="100"/>
        <w:rPr>
          <w:rFonts w:ascii="彩虹粗仿宋" w:hAnsi="宋体" w:eastAsia="彩虹粗仿宋"/>
          <w:sz w:val="32"/>
          <w:szCs w:val="32"/>
        </w:rPr>
      </w:pPr>
      <w:r>
        <w:rPr>
          <w:rFonts w:hint="eastAsia" w:ascii="彩虹粗仿宋" w:hAnsi="宋体" w:eastAsia="彩虹粗仿宋"/>
          <w:sz w:val="32"/>
          <w:szCs w:val="32"/>
        </w:rPr>
        <w:t>（1）</w:t>
      </w:r>
      <w:r>
        <w:rPr>
          <w:rFonts w:ascii="彩虹粗仿宋" w:hAnsi="宋体" w:eastAsia="彩虹粗仿宋"/>
          <w:sz w:val="32"/>
          <w:szCs w:val="32"/>
        </w:rPr>
        <w:t>存在消费者权益侵权行为，引发较大舆情或重大投诉在社会上造成严重不良影响的；</w:t>
      </w:r>
    </w:p>
    <w:p>
      <w:pPr>
        <w:spacing w:line="560" w:lineRule="exact"/>
        <w:ind w:firstLine="640" w:firstLineChars="200"/>
        <w:rPr>
          <w:rFonts w:ascii="彩虹粗仿宋" w:hAnsi="宋体" w:eastAsia="彩虹粗仿宋"/>
          <w:sz w:val="32"/>
          <w:szCs w:val="32"/>
        </w:rPr>
      </w:pPr>
      <w:r>
        <w:rPr>
          <w:rFonts w:hint="eastAsia" w:ascii="彩虹粗仿宋" w:hAnsi="宋体" w:eastAsia="彩虹粗仿宋"/>
          <w:sz w:val="32"/>
          <w:szCs w:val="32"/>
        </w:rPr>
        <w:t>（2）</w:t>
      </w:r>
      <w:r>
        <w:rPr>
          <w:rFonts w:ascii="彩虹粗仿宋" w:hAnsi="宋体" w:eastAsia="彩虹粗仿宋"/>
          <w:sz w:val="32"/>
          <w:szCs w:val="32"/>
        </w:rPr>
        <w:t>存在消费者权益侵权行为，受到监管处罚，给我行造成严重不良影响的；</w:t>
      </w:r>
    </w:p>
    <w:p>
      <w:pPr>
        <w:spacing w:line="560" w:lineRule="exact"/>
        <w:ind w:firstLine="640" w:firstLineChars="200"/>
        <w:rPr>
          <w:rFonts w:ascii="彩虹粗仿宋" w:hAnsi="宋体" w:eastAsia="彩虹粗仿宋"/>
          <w:sz w:val="32"/>
          <w:szCs w:val="32"/>
        </w:rPr>
      </w:pPr>
      <w:r>
        <w:rPr>
          <w:rFonts w:hint="eastAsia" w:ascii="彩虹粗仿宋" w:hAnsi="宋体" w:eastAsia="彩虹粗仿宋"/>
          <w:sz w:val="32"/>
          <w:szCs w:val="32"/>
        </w:rPr>
        <w:t>（3）</w:t>
      </w:r>
      <w:r>
        <w:rPr>
          <w:rFonts w:ascii="彩虹粗仿宋" w:hAnsi="宋体" w:eastAsia="彩虹粗仿宋"/>
          <w:sz w:val="32"/>
          <w:szCs w:val="32"/>
        </w:rPr>
        <w:t>存在消费者权益侵权行为，受到公安立案或法院判决，给我行造成严重不良影响的；</w:t>
      </w:r>
    </w:p>
    <w:p>
      <w:pPr>
        <w:spacing w:line="600" w:lineRule="exact"/>
        <w:ind w:firstLine="640" w:firstLineChars="200"/>
        <w:jc w:val="left"/>
        <w:rPr>
          <w:rFonts w:ascii="彩虹粗仿宋" w:hAnsi="宋体" w:eastAsia="彩虹粗仿宋"/>
          <w:sz w:val="32"/>
          <w:szCs w:val="32"/>
        </w:rPr>
      </w:pPr>
      <w:r>
        <w:rPr>
          <w:rFonts w:hint="eastAsia" w:ascii="彩虹粗仿宋" w:hAnsi="宋体" w:eastAsia="彩虹粗仿宋"/>
          <w:sz w:val="32"/>
          <w:szCs w:val="32"/>
        </w:rPr>
        <w:t>（4）</w:t>
      </w:r>
      <w:r>
        <w:rPr>
          <w:rFonts w:ascii="彩虹粗仿宋" w:hAnsi="宋体" w:eastAsia="彩虹粗仿宋"/>
          <w:sz w:val="32"/>
          <w:szCs w:val="32"/>
        </w:rPr>
        <w:t>违反法律法规和监管机构规定的其他严重情形</w:t>
      </w:r>
      <w:r>
        <w:rPr>
          <w:rFonts w:hint="eastAsia" w:ascii="彩虹粗仿宋" w:hAnsi="宋体" w:eastAsia="彩虹粗仿宋"/>
          <w:sz w:val="32"/>
          <w:szCs w:val="32"/>
        </w:rPr>
        <w:t>。</w:t>
      </w:r>
    </w:p>
    <w:p>
      <w:pPr>
        <w:spacing w:line="600" w:lineRule="exact"/>
        <w:ind w:firstLine="643" w:firstLineChars="200"/>
        <w:jc w:val="left"/>
        <w:rPr>
          <w:rFonts w:ascii="彩虹楷体" w:hAnsi="彩虹楷体" w:eastAsia="彩虹楷体" w:cs="彩虹楷体"/>
          <w:b/>
          <w:bCs/>
          <w:kern w:val="0"/>
          <w:sz w:val="32"/>
          <w:szCs w:val="32"/>
        </w:rPr>
      </w:pPr>
      <w:r>
        <w:rPr>
          <w:rFonts w:hint="eastAsia" w:ascii="彩虹楷体" w:hAnsi="彩虹楷体" w:eastAsia="彩虹楷体" w:cs="彩虹楷体"/>
          <w:b/>
          <w:bCs/>
          <w:kern w:val="0"/>
          <w:sz w:val="32"/>
          <w:szCs w:val="32"/>
        </w:rPr>
        <w:t>（四）验收标准和验收方法</w:t>
      </w:r>
    </w:p>
    <w:p>
      <w:pPr>
        <w:spacing w:line="600" w:lineRule="exact"/>
        <w:ind w:firstLine="640" w:firstLineChars="200"/>
        <w:jc w:val="left"/>
        <w:rPr>
          <w:rFonts w:ascii="彩虹粗仿宋" w:hAnsi="宋体" w:eastAsia="彩虹粗仿宋"/>
          <w:sz w:val="32"/>
          <w:szCs w:val="32"/>
        </w:rPr>
      </w:pPr>
      <w:r>
        <w:rPr>
          <w:rFonts w:hint="eastAsia" w:ascii="彩虹粗仿宋" w:hAnsi="宋体" w:eastAsia="彩虹粗仿宋"/>
          <w:sz w:val="32"/>
          <w:szCs w:val="32"/>
        </w:rPr>
        <w:t>供应商应按照我行要求准确及时运送标的物并保证其正常，全部正常为合格；如出现标的物的遗失或损坏为不合格，供应商应照价赔偿并接受每次10000元的考核。</w:t>
      </w:r>
    </w:p>
    <w:p>
      <w:pPr>
        <w:spacing w:line="560" w:lineRule="exact"/>
        <w:ind w:firstLine="640" w:firstLineChars="200"/>
        <w:rPr>
          <w:rFonts w:ascii="彩虹黑体" w:hAnsi="彩虹黑体" w:eastAsia="彩虹黑体" w:cs="彩虹黑体"/>
          <w:sz w:val="32"/>
          <w:szCs w:val="32"/>
        </w:rPr>
      </w:pPr>
      <w:r>
        <w:rPr>
          <w:rFonts w:hint="eastAsia" w:ascii="彩虹黑体" w:hAnsi="彩虹黑体" w:eastAsia="彩虹黑体" w:cs="彩虹黑体"/>
          <w:sz w:val="32"/>
          <w:szCs w:val="32"/>
        </w:rPr>
        <w:t>五、服务供应安排</w:t>
      </w:r>
    </w:p>
    <w:p>
      <w:pPr>
        <w:adjustRightInd w:val="0"/>
        <w:snapToGrid w:val="0"/>
        <w:spacing w:line="560" w:lineRule="exact"/>
        <w:ind w:firstLine="640" w:firstLineChars="200"/>
        <w:rPr>
          <w:rFonts w:ascii="彩虹粗仿宋" w:hAnsi="宋体" w:eastAsia="彩虹粗仿宋" w:cs="Times New Roman"/>
          <w:snapToGrid w:val="0"/>
          <w:kern w:val="0"/>
          <w:sz w:val="32"/>
          <w:szCs w:val="32"/>
        </w:rPr>
      </w:pPr>
      <w:r>
        <w:rPr>
          <w:rFonts w:hint="eastAsia" w:ascii="彩虹粗仿宋" w:hAnsi="宋体" w:eastAsia="彩虹粗仿宋" w:cs="Times New Roman"/>
          <w:snapToGrid w:val="0"/>
          <w:kern w:val="0"/>
          <w:sz w:val="32"/>
          <w:szCs w:val="32"/>
        </w:rPr>
        <w:t>供应商应在每天早上根据我行营业场所营业时间之前将款箱（包）准时送到；在每天约定的时间内将营业场所营业用款箱（包）准时接回金库。押运人员执勤的工作时间与网点营业时间保持一致，接受我行的安全业务检查，每人每周工作时间符合国家法定工作时间。</w:t>
      </w:r>
    </w:p>
    <w:p>
      <w:pPr>
        <w:adjustRightInd w:val="0"/>
        <w:snapToGrid w:val="0"/>
        <w:spacing w:line="560" w:lineRule="exact"/>
        <w:ind w:firstLine="640" w:firstLineChars="200"/>
        <w:rPr>
          <w:rFonts w:ascii="彩虹粗仿宋" w:hAnsi="宋体" w:eastAsia="彩虹粗仿宋" w:cs="Times New Roman"/>
          <w:snapToGrid w:val="0"/>
          <w:kern w:val="0"/>
          <w:sz w:val="32"/>
          <w:szCs w:val="32"/>
        </w:rPr>
      </w:pPr>
      <w:r>
        <w:rPr>
          <w:rFonts w:hint="eastAsia" w:ascii="彩虹粗仿宋" w:hAnsi="宋体" w:eastAsia="彩虹粗仿宋" w:cs="Times New Roman"/>
          <w:snapToGrid w:val="0"/>
          <w:kern w:val="0"/>
          <w:sz w:val="32"/>
          <w:szCs w:val="32"/>
        </w:rPr>
        <w:t>金库守护服务设置6个岗，24小时不间断值守。</w:t>
      </w:r>
    </w:p>
    <w:p>
      <w:pPr>
        <w:adjustRightInd w:val="0"/>
        <w:snapToGrid w:val="0"/>
        <w:spacing w:line="560" w:lineRule="exact"/>
        <w:ind w:firstLine="640" w:firstLineChars="200"/>
        <w:rPr>
          <w:rFonts w:ascii="彩虹黑体" w:hAnsi="宋体" w:eastAsia="彩虹黑体" w:cs="Times New Roman"/>
          <w:snapToGrid w:val="0"/>
          <w:kern w:val="0"/>
          <w:sz w:val="32"/>
          <w:szCs w:val="32"/>
        </w:rPr>
      </w:pPr>
      <w:r>
        <w:rPr>
          <w:rFonts w:hint="eastAsia" w:ascii="彩虹粗仿宋" w:hAnsi="宋体" w:eastAsia="彩虹粗仿宋" w:cs="Times New Roman"/>
          <w:snapToGrid w:val="0"/>
          <w:kern w:val="0"/>
          <w:sz w:val="32"/>
          <w:szCs w:val="32"/>
        </w:rPr>
        <w:t>服务过程中产生的人员、车辆等费用均有供应商承担。</w:t>
      </w:r>
    </w:p>
    <w:p>
      <w:pPr>
        <w:adjustRightInd w:val="0"/>
        <w:snapToGrid w:val="0"/>
        <w:spacing w:line="560" w:lineRule="exact"/>
        <w:ind w:firstLine="640" w:firstLineChars="200"/>
        <w:rPr>
          <w:rFonts w:ascii="彩虹黑体" w:hAnsi="宋体" w:eastAsia="彩虹黑体" w:cs="Times New Roman"/>
          <w:snapToGrid w:val="0"/>
          <w:kern w:val="0"/>
          <w:sz w:val="32"/>
          <w:szCs w:val="32"/>
        </w:rPr>
      </w:pPr>
      <w:r>
        <w:rPr>
          <w:rFonts w:hint="eastAsia" w:ascii="彩虹黑体" w:hAnsi="宋体" w:eastAsia="彩虹黑体" w:cs="Times New Roman"/>
          <w:snapToGrid w:val="0"/>
          <w:kern w:val="0"/>
          <w:sz w:val="32"/>
          <w:szCs w:val="32"/>
        </w:rPr>
        <w:t>七、服务数量要求</w:t>
      </w:r>
    </w:p>
    <w:p>
      <w:pPr>
        <w:adjustRightInd w:val="0"/>
        <w:snapToGrid w:val="0"/>
        <w:spacing w:line="560" w:lineRule="exact"/>
        <w:ind w:firstLine="640" w:firstLineChars="200"/>
        <w:rPr>
          <w:rFonts w:ascii="彩虹粗仿宋" w:hAnsi="宋体" w:eastAsia="彩虹粗仿宋"/>
          <w:kern w:val="0"/>
          <w:sz w:val="32"/>
          <w:szCs w:val="32"/>
        </w:rPr>
      </w:pPr>
      <w:r>
        <w:rPr>
          <w:rFonts w:hint="eastAsia" w:ascii="彩虹粗仿宋" w:hAnsi="宋体" w:eastAsia="彩虹粗仿宋"/>
          <w:kern w:val="0"/>
          <w:sz w:val="32"/>
          <w:szCs w:val="32"/>
        </w:rPr>
        <w:t>本次拟采购的服务数量见：</w:t>
      </w:r>
      <w:r>
        <w:rPr>
          <w:rFonts w:hint="eastAsia" w:asciiTheme="minorEastAsia" w:hAnsiTheme="minorEastAsia"/>
          <w:b/>
          <w:kern w:val="0"/>
          <w:sz w:val="24"/>
          <w:szCs w:val="24"/>
        </w:rPr>
        <w:t>信阳分行武装押运、金库值守服务外包需求表</w:t>
      </w:r>
      <w:r>
        <w:rPr>
          <w:rFonts w:hint="eastAsia" w:ascii="彩虹粗仿宋" w:hAnsi="宋体" w:eastAsia="彩虹粗仿宋"/>
          <w:kern w:val="0"/>
          <w:sz w:val="32"/>
          <w:szCs w:val="32"/>
        </w:rPr>
        <w:t>。</w:t>
      </w:r>
    </w:p>
    <w:tbl>
      <w:tblPr>
        <w:tblStyle w:val="6"/>
        <w:tblW w:w="5600" w:type="pct"/>
        <w:tblInd w:w="0" w:type="dxa"/>
        <w:tblLayout w:type="autofit"/>
        <w:tblCellMar>
          <w:top w:w="0" w:type="dxa"/>
          <w:left w:w="108" w:type="dxa"/>
          <w:bottom w:w="0" w:type="dxa"/>
          <w:right w:w="108" w:type="dxa"/>
        </w:tblCellMar>
      </w:tblPr>
      <w:tblGrid>
        <w:gridCol w:w="771"/>
        <w:gridCol w:w="599"/>
        <w:gridCol w:w="633"/>
        <w:gridCol w:w="771"/>
        <w:gridCol w:w="631"/>
        <w:gridCol w:w="771"/>
        <w:gridCol w:w="772"/>
        <w:gridCol w:w="4597"/>
      </w:tblGrid>
      <w:tr>
        <w:tblPrEx>
          <w:tblCellMar>
            <w:top w:w="0" w:type="dxa"/>
            <w:left w:w="108" w:type="dxa"/>
            <w:bottom w:w="0" w:type="dxa"/>
            <w:right w:w="108" w:type="dxa"/>
          </w:tblCellMar>
        </w:tblPrEx>
        <w:trPr>
          <w:trHeight w:val="456" w:hRule="atLeast"/>
        </w:trPr>
        <w:tc>
          <w:tcPr>
            <w:tcW w:w="442" w:type="pct"/>
          </w:tcPr>
          <w:p>
            <w:pPr>
              <w:adjustRightInd w:val="0"/>
              <w:snapToGrid w:val="0"/>
              <w:spacing w:line="560" w:lineRule="exact"/>
              <w:ind w:firstLine="480" w:firstLineChars="200"/>
              <w:jc w:val="center"/>
              <w:rPr>
                <w:rFonts w:asciiTheme="minorEastAsia" w:hAnsiTheme="minorEastAsia"/>
                <w:kern w:val="0"/>
                <w:sz w:val="24"/>
                <w:szCs w:val="24"/>
              </w:rPr>
            </w:pPr>
          </w:p>
        </w:tc>
        <w:tc>
          <w:tcPr>
            <w:tcW w:w="4558" w:type="pct"/>
            <w:gridSpan w:val="7"/>
            <w:noWrap/>
            <w:vAlign w:val="bottom"/>
          </w:tcPr>
          <w:p>
            <w:pPr>
              <w:adjustRightInd w:val="0"/>
              <w:snapToGrid w:val="0"/>
              <w:spacing w:line="560" w:lineRule="exact"/>
              <w:ind w:firstLine="482" w:firstLineChars="200"/>
              <w:jc w:val="center"/>
              <w:rPr>
                <w:rFonts w:cs="宋体" w:asciiTheme="minorEastAsia" w:hAnsiTheme="minorEastAsia"/>
                <w:b/>
                <w:kern w:val="0"/>
                <w:sz w:val="24"/>
                <w:szCs w:val="24"/>
              </w:rPr>
            </w:pPr>
            <w:r>
              <w:rPr>
                <w:rFonts w:hint="eastAsia" w:asciiTheme="minorEastAsia" w:hAnsiTheme="minorEastAsia"/>
                <w:b/>
                <w:kern w:val="0"/>
                <w:sz w:val="24"/>
                <w:szCs w:val="24"/>
              </w:rPr>
              <w:t>信阳分行武装押运、金库值守服务外包需求表</w:t>
            </w:r>
          </w:p>
        </w:tc>
      </w:tr>
      <w:tr>
        <w:tblPrEx>
          <w:tblCellMar>
            <w:top w:w="0" w:type="dxa"/>
            <w:left w:w="108" w:type="dxa"/>
            <w:bottom w:w="0" w:type="dxa"/>
            <w:right w:w="108" w:type="dxa"/>
          </w:tblCellMar>
        </w:tblPrEx>
        <w:trPr>
          <w:trHeight w:val="792" w:hRule="atLeast"/>
        </w:trPr>
        <w:tc>
          <w:tcPr>
            <w:tcW w:w="794" w:type="pct"/>
            <w:gridSpan w:val="2"/>
            <w:tcBorders>
              <w:top w:val="single" w:color="auto" w:sz="8" w:space="0"/>
              <w:left w:val="single" w:color="auto" w:sz="8" w:space="0"/>
              <w:bottom w:val="single" w:color="auto" w:sz="4" w:space="0"/>
              <w:right w:val="single" w:color="auto" w:sz="4" w:space="0"/>
            </w:tcBorders>
            <w:noWrap/>
            <w:vAlign w:val="center"/>
          </w:tcPr>
          <w:p>
            <w:pPr>
              <w:widowControl/>
              <w:jc w:val="center"/>
              <w:rPr>
                <w:rFonts w:cs="宋体" w:asciiTheme="minorEastAsia" w:hAnsiTheme="minorEastAsia"/>
                <w:kern w:val="0"/>
                <w:sz w:val="24"/>
                <w:szCs w:val="24"/>
              </w:rPr>
            </w:pPr>
            <w:r>
              <w:rPr>
                <w:rFonts w:hint="eastAsia" w:cs="宋体" w:asciiTheme="minorEastAsia" w:hAnsiTheme="minorEastAsia"/>
                <w:kern w:val="0"/>
                <w:sz w:val="24"/>
                <w:szCs w:val="24"/>
              </w:rPr>
              <w:t>名称</w:t>
            </w:r>
          </w:p>
        </w:tc>
        <w:tc>
          <w:tcPr>
            <w:tcW w:w="370" w:type="pct"/>
            <w:tcBorders>
              <w:top w:val="single" w:color="auto" w:sz="8" w:space="0"/>
              <w:left w:val="nil"/>
              <w:bottom w:val="single" w:color="auto" w:sz="4" w:space="0"/>
              <w:right w:val="single" w:color="auto" w:sz="4" w:space="0"/>
            </w:tcBorders>
            <w:vAlign w:val="center"/>
          </w:tcPr>
          <w:p>
            <w:pPr>
              <w:widowControl/>
              <w:jc w:val="center"/>
              <w:rPr>
                <w:rFonts w:cs="宋体" w:asciiTheme="minorEastAsia" w:hAnsiTheme="minorEastAsia"/>
                <w:kern w:val="0"/>
                <w:sz w:val="24"/>
                <w:szCs w:val="24"/>
              </w:rPr>
            </w:pPr>
            <w:r>
              <w:rPr>
                <w:rFonts w:hint="eastAsia" w:cs="宋体" w:asciiTheme="minorEastAsia" w:hAnsiTheme="minorEastAsia"/>
                <w:kern w:val="0"/>
                <w:sz w:val="24"/>
                <w:szCs w:val="24"/>
              </w:rPr>
              <w:t>营业场所</w:t>
            </w:r>
          </w:p>
        </w:tc>
        <w:tc>
          <w:tcPr>
            <w:tcW w:w="442" w:type="pct"/>
            <w:tcBorders>
              <w:top w:val="single" w:color="auto" w:sz="8" w:space="0"/>
              <w:left w:val="nil"/>
              <w:bottom w:val="single" w:color="auto" w:sz="4" w:space="0"/>
              <w:right w:val="single" w:color="auto" w:sz="4" w:space="0"/>
            </w:tcBorders>
            <w:vAlign w:val="center"/>
          </w:tcPr>
          <w:p>
            <w:pPr>
              <w:widowControl/>
              <w:jc w:val="center"/>
              <w:rPr>
                <w:rFonts w:cs="宋体" w:asciiTheme="minorEastAsia" w:hAnsiTheme="minorEastAsia"/>
                <w:kern w:val="0"/>
                <w:sz w:val="24"/>
                <w:szCs w:val="24"/>
              </w:rPr>
            </w:pPr>
            <w:r>
              <w:rPr>
                <w:rFonts w:hint="eastAsia" w:cs="宋体" w:asciiTheme="minorEastAsia" w:hAnsiTheme="minorEastAsia"/>
                <w:kern w:val="0"/>
                <w:sz w:val="24"/>
                <w:szCs w:val="24"/>
              </w:rPr>
              <w:t>离行自助银行</w:t>
            </w:r>
          </w:p>
        </w:tc>
        <w:tc>
          <w:tcPr>
            <w:tcW w:w="369" w:type="pct"/>
            <w:tcBorders>
              <w:top w:val="single" w:color="auto" w:sz="8" w:space="0"/>
              <w:left w:val="nil"/>
              <w:bottom w:val="single" w:color="auto" w:sz="4" w:space="0"/>
              <w:right w:val="single" w:color="auto" w:sz="4" w:space="0"/>
            </w:tcBorders>
            <w:vAlign w:val="center"/>
          </w:tcPr>
          <w:p>
            <w:pPr>
              <w:widowControl/>
              <w:jc w:val="center"/>
              <w:rPr>
                <w:rFonts w:cs="宋体" w:asciiTheme="minorEastAsia" w:hAnsiTheme="minorEastAsia"/>
                <w:kern w:val="0"/>
                <w:sz w:val="24"/>
                <w:szCs w:val="24"/>
              </w:rPr>
            </w:pPr>
          </w:p>
        </w:tc>
        <w:tc>
          <w:tcPr>
            <w:tcW w:w="442" w:type="pct"/>
            <w:tcBorders>
              <w:top w:val="single" w:color="auto" w:sz="4" w:space="0"/>
              <w:left w:val="nil"/>
              <w:bottom w:val="single" w:color="auto" w:sz="4" w:space="0"/>
              <w:right w:val="single" w:color="auto" w:sz="4" w:space="0"/>
            </w:tcBorders>
          </w:tcPr>
          <w:p>
            <w:pPr>
              <w:widowControl/>
              <w:jc w:val="center"/>
              <w:rPr>
                <w:rFonts w:cs="宋体" w:asciiTheme="minorEastAsia" w:hAnsiTheme="minorEastAsia"/>
                <w:kern w:val="0"/>
                <w:sz w:val="24"/>
                <w:szCs w:val="24"/>
              </w:rPr>
            </w:pPr>
          </w:p>
          <w:p>
            <w:pPr>
              <w:widowControl/>
              <w:jc w:val="center"/>
              <w:rPr>
                <w:rFonts w:cs="宋体" w:asciiTheme="minorEastAsia" w:hAnsiTheme="minorEastAsia"/>
                <w:kern w:val="0"/>
                <w:sz w:val="24"/>
                <w:szCs w:val="24"/>
              </w:rPr>
            </w:pPr>
            <w:r>
              <w:rPr>
                <w:rFonts w:hint="eastAsia" w:cs="宋体" w:asciiTheme="minorEastAsia" w:hAnsiTheme="minorEastAsia"/>
                <w:kern w:val="0"/>
                <w:sz w:val="24"/>
                <w:szCs w:val="24"/>
              </w:rPr>
              <w:t>金库值守</w:t>
            </w:r>
          </w:p>
        </w:tc>
        <w:tc>
          <w:tcPr>
            <w:tcW w:w="442" w:type="pct"/>
            <w:tcBorders>
              <w:top w:val="single" w:color="auto" w:sz="8" w:space="0"/>
              <w:left w:val="single" w:color="auto" w:sz="4" w:space="0"/>
              <w:bottom w:val="single" w:color="auto" w:sz="4" w:space="0"/>
              <w:right w:val="single" w:color="auto" w:sz="4" w:space="0"/>
            </w:tcBorders>
            <w:vAlign w:val="center"/>
          </w:tcPr>
          <w:p>
            <w:pPr>
              <w:widowControl/>
              <w:jc w:val="center"/>
              <w:rPr>
                <w:rFonts w:cs="宋体" w:asciiTheme="minorEastAsia" w:hAnsiTheme="minorEastAsia"/>
                <w:kern w:val="0"/>
                <w:sz w:val="24"/>
                <w:szCs w:val="24"/>
              </w:rPr>
            </w:pPr>
            <w:r>
              <w:rPr>
                <w:rFonts w:hint="eastAsia" w:cs="宋体" w:asciiTheme="minorEastAsia" w:hAnsiTheme="minorEastAsia"/>
                <w:kern w:val="0"/>
                <w:sz w:val="24"/>
                <w:szCs w:val="24"/>
              </w:rPr>
              <w:t>上门服务</w:t>
            </w:r>
          </w:p>
        </w:tc>
        <w:tc>
          <w:tcPr>
            <w:tcW w:w="2141" w:type="pct"/>
            <w:tcBorders>
              <w:top w:val="single" w:color="auto" w:sz="8" w:space="0"/>
              <w:left w:val="nil"/>
              <w:bottom w:val="single" w:color="auto" w:sz="4" w:space="0"/>
              <w:right w:val="single" w:color="auto" w:sz="8" w:space="0"/>
            </w:tcBorders>
            <w:vAlign w:val="center"/>
          </w:tcPr>
          <w:p>
            <w:pPr>
              <w:widowControl/>
              <w:jc w:val="center"/>
              <w:rPr>
                <w:rFonts w:cs="宋体" w:asciiTheme="minorEastAsia" w:hAnsiTheme="minorEastAsia"/>
                <w:kern w:val="0"/>
                <w:sz w:val="24"/>
                <w:szCs w:val="24"/>
              </w:rPr>
            </w:pPr>
            <w:r>
              <w:rPr>
                <w:rFonts w:hint="eastAsia" w:cs="宋体" w:asciiTheme="minorEastAsia" w:hAnsiTheme="minorEastAsia"/>
                <w:kern w:val="0"/>
                <w:sz w:val="24"/>
                <w:szCs w:val="24"/>
              </w:rPr>
              <w:t>备注</w:t>
            </w:r>
          </w:p>
        </w:tc>
      </w:tr>
      <w:tr>
        <w:tblPrEx>
          <w:tblCellMar>
            <w:top w:w="0" w:type="dxa"/>
            <w:left w:w="108" w:type="dxa"/>
            <w:bottom w:w="0" w:type="dxa"/>
            <w:right w:w="108" w:type="dxa"/>
          </w:tblCellMar>
        </w:tblPrEx>
        <w:trPr>
          <w:trHeight w:val="1140" w:hRule="atLeast"/>
        </w:trPr>
        <w:tc>
          <w:tcPr>
            <w:tcW w:w="794" w:type="pct"/>
            <w:gridSpan w:val="2"/>
            <w:tcBorders>
              <w:top w:val="nil"/>
              <w:left w:val="single" w:color="auto" w:sz="8" w:space="0"/>
              <w:bottom w:val="single" w:color="auto" w:sz="4" w:space="0"/>
              <w:right w:val="nil"/>
            </w:tcBorders>
            <w:vAlign w:val="center"/>
          </w:tcPr>
          <w:p>
            <w:pPr>
              <w:widowControl/>
              <w:jc w:val="center"/>
              <w:rPr>
                <w:rFonts w:cs="宋体" w:asciiTheme="minorEastAsia" w:hAnsiTheme="minorEastAsia"/>
                <w:kern w:val="0"/>
                <w:sz w:val="24"/>
                <w:szCs w:val="24"/>
              </w:rPr>
            </w:pPr>
            <w:r>
              <w:rPr>
                <w:rFonts w:hint="eastAsia" w:cs="宋体" w:asciiTheme="minorEastAsia" w:hAnsiTheme="minorEastAsia"/>
                <w:kern w:val="0"/>
                <w:sz w:val="24"/>
                <w:szCs w:val="24"/>
              </w:rPr>
              <w:t>城区支行、县支行出入库（按需）押运服务</w:t>
            </w:r>
          </w:p>
        </w:tc>
        <w:tc>
          <w:tcPr>
            <w:tcW w:w="370" w:type="pct"/>
            <w:tcBorders>
              <w:top w:val="nil"/>
              <w:left w:val="single" w:color="auto" w:sz="4" w:space="0"/>
              <w:bottom w:val="single" w:color="auto" w:sz="4" w:space="0"/>
              <w:right w:val="single" w:color="auto" w:sz="4" w:space="0"/>
            </w:tcBorders>
            <w:noWrap/>
            <w:vAlign w:val="center"/>
          </w:tcPr>
          <w:p>
            <w:pPr>
              <w:widowControl/>
              <w:jc w:val="center"/>
              <w:rPr>
                <w:rFonts w:cs="宋体" w:asciiTheme="minorEastAsia" w:hAnsiTheme="minorEastAsia"/>
                <w:kern w:val="0"/>
                <w:sz w:val="24"/>
                <w:szCs w:val="24"/>
              </w:rPr>
            </w:pPr>
            <w:r>
              <w:rPr>
                <w:rFonts w:hint="eastAsia" w:cs="宋体" w:asciiTheme="minorEastAsia" w:hAnsiTheme="minorEastAsia"/>
                <w:kern w:val="0"/>
                <w:sz w:val="24"/>
                <w:szCs w:val="24"/>
              </w:rPr>
              <w:t>16</w:t>
            </w:r>
          </w:p>
        </w:tc>
        <w:tc>
          <w:tcPr>
            <w:tcW w:w="442" w:type="pct"/>
            <w:tcBorders>
              <w:top w:val="nil"/>
              <w:left w:val="nil"/>
              <w:bottom w:val="single" w:color="auto" w:sz="4" w:space="0"/>
              <w:right w:val="single" w:color="auto" w:sz="4" w:space="0"/>
            </w:tcBorders>
            <w:noWrap/>
            <w:vAlign w:val="center"/>
          </w:tcPr>
          <w:p>
            <w:pPr>
              <w:widowControl/>
              <w:jc w:val="center"/>
              <w:rPr>
                <w:rFonts w:cs="宋体" w:asciiTheme="minorEastAsia" w:hAnsiTheme="minorEastAsia"/>
                <w:kern w:val="0"/>
                <w:sz w:val="24"/>
                <w:szCs w:val="24"/>
              </w:rPr>
            </w:pPr>
            <w:r>
              <w:rPr>
                <w:rFonts w:hint="eastAsia" w:cs="宋体" w:asciiTheme="minorEastAsia" w:hAnsiTheme="minorEastAsia"/>
                <w:kern w:val="0"/>
                <w:sz w:val="24"/>
                <w:szCs w:val="24"/>
              </w:rPr>
              <w:t>14</w:t>
            </w:r>
          </w:p>
        </w:tc>
        <w:tc>
          <w:tcPr>
            <w:tcW w:w="369" w:type="pct"/>
            <w:tcBorders>
              <w:top w:val="nil"/>
              <w:left w:val="nil"/>
              <w:bottom w:val="single" w:color="auto" w:sz="4" w:space="0"/>
              <w:right w:val="single" w:color="auto" w:sz="4" w:space="0"/>
            </w:tcBorders>
            <w:vAlign w:val="center"/>
          </w:tcPr>
          <w:p>
            <w:pPr>
              <w:widowControl/>
              <w:jc w:val="center"/>
              <w:rPr>
                <w:rFonts w:cs="宋体" w:asciiTheme="minorEastAsia" w:hAnsiTheme="minorEastAsia"/>
                <w:kern w:val="0"/>
                <w:sz w:val="24"/>
                <w:szCs w:val="24"/>
              </w:rPr>
            </w:pPr>
            <w:r>
              <w:rPr>
                <w:rFonts w:hint="eastAsia" w:cs="宋体" w:asciiTheme="minorEastAsia" w:hAnsiTheme="minorEastAsia"/>
                <w:kern w:val="0"/>
                <w:sz w:val="24"/>
                <w:szCs w:val="24"/>
              </w:rPr>
              <w:t>　</w:t>
            </w:r>
          </w:p>
        </w:tc>
        <w:tc>
          <w:tcPr>
            <w:tcW w:w="442" w:type="pct"/>
            <w:tcBorders>
              <w:top w:val="single" w:color="auto" w:sz="4" w:space="0"/>
              <w:left w:val="nil"/>
              <w:bottom w:val="single" w:color="auto" w:sz="4" w:space="0"/>
              <w:right w:val="single" w:color="auto" w:sz="4" w:space="0"/>
            </w:tcBorders>
          </w:tcPr>
          <w:p>
            <w:pPr>
              <w:widowControl/>
              <w:jc w:val="center"/>
              <w:rPr>
                <w:rFonts w:cs="宋体" w:asciiTheme="minorEastAsia" w:hAnsiTheme="minorEastAsia"/>
                <w:kern w:val="0"/>
                <w:sz w:val="24"/>
                <w:szCs w:val="24"/>
              </w:rPr>
            </w:pPr>
          </w:p>
        </w:tc>
        <w:tc>
          <w:tcPr>
            <w:tcW w:w="442" w:type="pct"/>
            <w:tcBorders>
              <w:top w:val="nil"/>
              <w:left w:val="single" w:color="auto" w:sz="4" w:space="0"/>
              <w:bottom w:val="single" w:color="auto" w:sz="4" w:space="0"/>
              <w:right w:val="single" w:color="auto" w:sz="4" w:space="0"/>
            </w:tcBorders>
            <w:vAlign w:val="center"/>
          </w:tcPr>
          <w:p>
            <w:pPr>
              <w:widowControl/>
              <w:jc w:val="center"/>
              <w:rPr>
                <w:rFonts w:cs="宋体" w:asciiTheme="minorEastAsia" w:hAnsiTheme="minorEastAsia"/>
                <w:kern w:val="0"/>
                <w:sz w:val="24"/>
                <w:szCs w:val="24"/>
              </w:rPr>
            </w:pPr>
            <w:r>
              <w:rPr>
                <w:rFonts w:hint="eastAsia" w:cs="宋体" w:asciiTheme="minorEastAsia" w:hAnsiTheme="minorEastAsia"/>
                <w:kern w:val="0"/>
                <w:sz w:val="24"/>
                <w:szCs w:val="24"/>
              </w:rPr>
              <w:t>1</w:t>
            </w:r>
          </w:p>
        </w:tc>
        <w:tc>
          <w:tcPr>
            <w:tcW w:w="2141" w:type="pct"/>
            <w:tcBorders>
              <w:top w:val="nil"/>
              <w:left w:val="nil"/>
              <w:bottom w:val="single" w:color="auto" w:sz="4" w:space="0"/>
              <w:right w:val="single" w:color="auto" w:sz="8" w:space="0"/>
            </w:tcBorders>
            <w:vAlign w:val="bottom"/>
          </w:tcPr>
          <w:p>
            <w:pPr>
              <w:widowControl/>
              <w:jc w:val="left"/>
              <w:rPr>
                <w:rFonts w:cs="宋体" w:asciiTheme="minorEastAsia" w:hAnsiTheme="minorEastAsia"/>
                <w:kern w:val="0"/>
                <w:sz w:val="24"/>
                <w:szCs w:val="24"/>
              </w:rPr>
            </w:pPr>
            <w:r>
              <w:rPr>
                <w:rFonts w:hint="eastAsia" w:cs="宋体" w:asciiTheme="minorEastAsia" w:hAnsiTheme="minorEastAsia"/>
                <w:kern w:val="0"/>
                <w:sz w:val="24"/>
                <w:szCs w:val="24"/>
              </w:rPr>
              <w:t>城区营业场所早晚款箱接送3条线路，自助加钞1条线路，1个上门收款。行政县支行出入库2条线路、不定时押运工作延时服务。</w:t>
            </w:r>
          </w:p>
        </w:tc>
      </w:tr>
      <w:tr>
        <w:tblPrEx>
          <w:tblCellMar>
            <w:top w:w="0" w:type="dxa"/>
            <w:left w:w="108" w:type="dxa"/>
            <w:bottom w:w="0" w:type="dxa"/>
            <w:right w:w="108" w:type="dxa"/>
          </w:tblCellMar>
        </w:tblPrEx>
        <w:trPr>
          <w:trHeight w:val="469" w:hRule="atLeast"/>
        </w:trPr>
        <w:tc>
          <w:tcPr>
            <w:tcW w:w="794" w:type="pct"/>
            <w:gridSpan w:val="2"/>
            <w:tcBorders>
              <w:top w:val="nil"/>
              <w:left w:val="single" w:color="auto" w:sz="8" w:space="0"/>
              <w:bottom w:val="single" w:color="auto" w:sz="4" w:space="0"/>
              <w:right w:val="nil"/>
            </w:tcBorders>
            <w:vAlign w:val="center"/>
          </w:tcPr>
          <w:p>
            <w:pPr>
              <w:widowControl/>
              <w:jc w:val="center"/>
              <w:rPr>
                <w:rFonts w:cs="宋体" w:asciiTheme="minorEastAsia" w:hAnsiTheme="minorEastAsia"/>
                <w:kern w:val="0"/>
                <w:sz w:val="24"/>
                <w:szCs w:val="24"/>
              </w:rPr>
            </w:pPr>
            <w:r>
              <w:rPr>
                <w:rFonts w:hint="eastAsia" w:cs="宋体" w:asciiTheme="minorEastAsia" w:hAnsiTheme="minorEastAsia"/>
                <w:kern w:val="0"/>
                <w:sz w:val="24"/>
                <w:szCs w:val="24"/>
              </w:rPr>
              <w:t>金库值守</w:t>
            </w:r>
          </w:p>
        </w:tc>
        <w:tc>
          <w:tcPr>
            <w:tcW w:w="370" w:type="pct"/>
            <w:tcBorders>
              <w:top w:val="nil"/>
              <w:left w:val="single" w:color="auto" w:sz="4" w:space="0"/>
              <w:bottom w:val="single" w:color="auto" w:sz="4" w:space="0"/>
              <w:right w:val="single" w:color="auto" w:sz="4" w:space="0"/>
            </w:tcBorders>
            <w:noWrap/>
            <w:vAlign w:val="center"/>
          </w:tcPr>
          <w:p>
            <w:pPr>
              <w:widowControl/>
              <w:jc w:val="center"/>
              <w:rPr>
                <w:rFonts w:cs="宋体" w:asciiTheme="minorEastAsia" w:hAnsiTheme="minorEastAsia"/>
                <w:kern w:val="0"/>
                <w:sz w:val="24"/>
                <w:szCs w:val="24"/>
              </w:rPr>
            </w:pPr>
          </w:p>
        </w:tc>
        <w:tc>
          <w:tcPr>
            <w:tcW w:w="442" w:type="pct"/>
            <w:tcBorders>
              <w:top w:val="nil"/>
              <w:left w:val="nil"/>
              <w:bottom w:val="single" w:color="auto" w:sz="4" w:space="0"/>
              <w:right w:val="single" w:color="auto" w:sz="4" w:space="0"/>
            </w:tcBorders>
            <w:noWrap/>
            <w:vAlign w:val="center"/>
          </w:tcPr>
          <w:p>
            <w:pPr>
              <w:widowControl/>
              <w:jc w:val="center"/>
              <w:rPr>
                <w:rFonts w:cs="宋体" w:asciiTheme="minorEastAsia" w:hAnsiTheme="minorEastAsia"/>
                <w:kern w:val="0"/>
                <w:sz w:val="24"/>
                <w:szCs w:val="24"/>
              </w:rPr>
            </w:pPr>
          </w:p>
        </w:tc>
        <w:tc>
          <w:tcPr>
            <w:tcW w:w="369" w:type="pct"/>
            <w:tcBorders>
              <w:top w:val="nil"/>
              <w:left w:val="nil"/>
              <w:bottom w:val="single" w:color="auto" w:sz="4" w:space="0"/>
              <w:right w:val="single" w:color="auto" w:sz="4" w:space="0"/>
            </w:tcBorders>
            <w:vAlign w:val="center"/>
          </w:tcPr>
          <w:p>
            <w:pPr>
              <w:widowControl/>
              <w:jc w:val="center"/>
              <w:rPr>
                <w:rFonts w:cs="宋体" w:asciiTheme="minorEastAsia" w:hAnsiTheme="minorEastAsia"/>
                <w:kern w:val="0"/>
                <w:sz w:val="24"/>
                <w:szCs w:val="24"/>
              </w:rPr>
            </w:pPr>
          </w:p>
        </w:tc>
        <w:tc>
          <w:tcPr>
            <w:tcW w:w="442" w:type="pct"/>
            <w:tcBorders>
              <w:top w:val="single" w:color="auto" w:sz="4" w:space="0"/>
              <w:left w:val="nil"/>
              <w:bottom w:val="single" w:color="auto" w:sz="4" w:space="0"/>
              <w:right w:val="single" w:color="auto" w:sz="4" w:space="0"/>
            </w:tcBorders>
          </w:tcPr>
          <w:p>
            <w:pPr>
              <w:widowControl/>
              <w:jc w:val="center"/>
              <w:rPr>
                <w:rFonts w:cs="宋体" w:asciiTheme="minorEastAsia" w:hAnsiTheme="minorEastAsia"/>
                <w:kern w:val="0"/>
                <w:sz w:val="24"/>
                <w:szCs w:val="24"/>
              </w:rPr>
            </w:pPr>
          </w:p>
          <w:p>
            <w:pPr>
              <w:widowControl/>
              <w:jc w:val="center"/>
              <w:rPr>
                <w:rFonts w:cs="宋体" w:asciiTheme="minorEastAsia" w:hAnsiTheme="minorEastAsia"/>
                <w:kern w:val="0"/>
                <w:sz w:val="24"/>
                <w:szCs w:val="24"/>
              </w:rPr>
            </w:pPr>
            <w:r>
              <w:rPr>
                <w:rFonts w:hint="eastAsia" w:cs="宋体" w:asciiTheme="minorEastAsia" w:hAnsiTheme="minorEastAsia"/>
                <w:kern w:val="0"/>
                <w:sz w:val="24"/>
                <w:szCs w:val="24"/>
              </w:rPr>
              <w:t>1</w:t>
            </w:r>
          </w:p>
        </w:tc>
        <w:tc>
          <w:tcPr>
            <w:tcW w:w="442" w:type="pct"/>
            <w:tcBorders>
              <w:top w:val="nil"/>
              <w:left w:val="single" w:color="auto" w:sz="4" w:space="0"/>
              <w:bottom w:val="single" w:color="auto" w:sz="4" w:space="0"/>
              <w:right w:val="single" w:color="auto" w:sz="4" w:space="0"/>
            </w:tcBorders>
            <w:vAlign w:val="center"/>
          </w:tcPr>
          <w:p>
            <w:pPr>
              <w:widowControl/>
              <w:jc w:val="center"/>
              <w:rPr>
                <w:rFonts w:cs="宋体" w:asciiTheme="minorEastAsia" w:hAnsiTheme="minorEastAsia"/>
                <w:kern w:val="0"/>
                <w:sz w:val="24"/>
                <w:szCs w:val="24"/>
              </w:rPr>
            </w:pPr>
          </w:p>
        </w:tc>
        <w:tc>
          <w:tcPr>
            <w:tcW w:w="2141" w:type="pct"/>
            <w:tcBorders>
              <w:top w:val="nil"/>
              <w:left w:val="nil"/>
              <w:bottom w:val="single" w:color="auto" w:sz="4" w:space="0"/>
              <w:right w:val="single" w:color="auto" w:sz="8" w:space="0"/>
            </w:tcBorders>
            <w:vAlign w:val="bottom"/>
          </w:tcPr>
          <w:p>
            <w:pPr>
              <w:widowControl/>
              <w:jc w:val="left"/>
              <w:rPr>
                <w:rFonts w:cs="宋体" w:asciiTheme="minorEastAsia" w:hAnsiTheme="minorEastAsia"/>
                <w:kern w:val="0"/>
                <w:sz w:val="24"/>
                <w:szCs w:val="24"/>
              </w:rPr>
            </w:pPr>
            <w:r>
              <w:rPr>
                <w:rFonts w:hint="eastAsia" w:cs="宋体" w:asciiTheme="minorEastAsia" w:hAnsiTheme="minorEastAsia"/>
                <w:kern w:val="0"/>
                <w:sz w:val="24"/>
                <w:szCs w:val="24"/>
              </w:rPr>
              <w:t>分行中心金库值守</w:t>
            </w:r>
          </w:p>
        </w:tc>
      </w:tr>
      <w:tr>
        <w:tblPrEx>
          <w:tblCellMar>
            <w:top w:w="0" w:type="dxa"/>
            <w:left w:w="108" w:type="dxa"/>
            <w:bottom w:w="0" w:type="dxa"/>
            <w:right w:w="108" w:type="dxa"/>
          </w:tblCellMar>
        </w:tblPrEx>
        <w:trPr>
          <w:trHeight w:val="696" w:hRule="atLeast"/>
        </w:trPr>
        <w:tc>
          <w:tcPr>
            <w:tcW w:w="794" w:type="pct"/>
            <w:gridSpan w:val="2"/>
            <w:tcBorders>
              <w:top w:val="nil"/>
              <w:left w:val="single" w:color="auto" w:sz="8" w:space="0"/>
              <w:bottom w:val="single" w:color="auto" w:sz="4" w:space="0"/>
              <w:right w:val="single" w:color="auto" w:sz="4" w:space="0"/>
            </w:tcBorders>
            <w:noWrap/>
            <w:vAlign w:val="center"/>
          </w:tcPr>
          <w:p>
            <w:pPr>
              <w:widowControl/>
              <w:jc w:val="center"/>
              <w:rPr>
                <w:rFonts w:cs="宋体" w:asciiTheme="minorEastAsia" w:hAnsiTheme="minorEastAsia"/>
                <w:kern w:val="0"/>
                <w:sz w:val="24"/>
                <w:szCs w:val="24"/>
              </w:rPr>
            </w:pPr>
            <w:r>
              <w:rPr>
                <w:rFonts w:hint="eastAsia" w:cs="宋体" w:asciiTheme="minorEastAsia" w:hAnsiTheme="minorEastAsia"/>
                <w:kern w:val="0"/>
                <w:sz w:val="24"/>
                <w:szCs w:val="24"/>
              </w:rPr>
              <w:t>罗山支行</w:t>
            </w:r>
          </w:p>
        </w:tc>
        <w:tc>
          <w:tcPr>
            <w:tcW w:w="370" w:type="pct"/>
            <w:tcBorders>
              <w:top w:val="nil"/>
              <w:left w:val="nil"/>
              <w:bottom w:val="single" w:color="auto" w:sz="4" w:space="0"/>
              <w:right w:val="single" w:color="auto" w:sz="4" w:space="0"/>
            </w:tcBorders>
            <w:noWrap/>
            <w:vAlign w:val="center"/>
          </w:tcPr>
          <w:p>
            <w:pPr>
              <w:widowControl/>
              <w:jc w:val="center"/>
              <w:rPr>
                <w:rFonts w:cs="宋体" w:asciiTheme="minorEastAsia" w:hAnsiTheme="minorEastAsia"/>
                <w:kern w:val="0"/>
                <w:sz w:val="24"/>
                <w:szCs w:val="24"/>
              </w:rPr>
            </w:pPr>
            <w:r>
              <w:rPr>
                <w:rFonts w:hint="eastAsia" w:cs="宋体" w:asciiTheme="minorEastAsia" w:hAnsiTheme="minorEastAsia"/>
                <w:kern w:val="0"/>
                <w:sz w:val="24"/>
                <w:szCs w:val="24"/>
              </w:rPr>
              <w:t>2</w:t>
            </w:r>
          </w:p>
        </w:tc>
        <w:tc>
          <w:tcPr>
            <w:tcW w:w="442" w:type="pct"/>
            <w:tcBorders>
              <w:top w:val="nil"/>
              <w:left w:val="nil"/>
              <w:bottom w:val="single" w:color="auto" w:sz="4" w:space="0"/>
              <w:right w:val="single" w:color="auto" w:sz="4" w:space="0"/>
            </w:tcBorders>
            <w:noWrap/>
            <w:vAlign w:val="center"/>
          </w:tcPr>
          <w:p>
            <w:pPr>
              <w:widowControl/>
              <w:jc w:val="center"/>
              <w:rPr>
                <w:rFonts w:cs="宋体" w:asciiTheme="minorEastAsia" w:hAnsiTheme="minorEastAsia"/>
                <w:kern w:val="0"/>
                <w:sz w:val="24"/>
                <w:szCs w:val="24"/>
              </w:rPr>
            </w:pPr>
            <w:r>
              <w:rPr>
                <w:rFonts w:hint="eastAsia" w:cs="宋体" w:asciiTheme="minorEastAsia" w:hAnsiTheme="minorEastAsia"/>
                <w:kern w:val="0"/>
                <w:sz w:val="24"/>
                <w:szCs w:val="24"/>
              </w:rPr>
              <w:t>1</w:t>
            </w:r>
          </w:p>
        </w:tc>
        <w:tc>
          <w:tcPr>
            <w:tcW w:w="369" w:type="pct"/>
            <w:tcBorders>
              <w:top w:val="nil"/>
              <w:left w:val="nil"/>
              <w:bottom w:val="single" w:color="auto" w:sz="4" w:space="0"/>
              <w:right w:val="single" w:color="auto" w:sz="4" w:space="0"/>
            </w:tcBorders>
            <w:vAlign w:val="center"/>
          </w:tcPr>
          <w:p>
            <w:pPr>
              <w:widowControl/>
              <w:jc w:val="center"/>
              <w:rPr>
                <w:rFonts w:cs="宋体" w:asciiTheme="minorEastAsia" w:hAnsiTheme="minorEastAsia"/>
                <w:kern w:val="0"/>
                <w:sz w:val="24"/>
                <w:szCs w:val="24"/>
              </w:rPr>
            </w:pPr>
          </w:p>
        </w:tc>
        <w:tc>
          <w:tcPr>
            <w:tcW w:w="442" w:type="pct"/>
            <w:tcBorders>
              <w:top w:val="single" w:color="auto" w:sz="4" w:space="0"/>
              <w:left w:val="nil"/>
              <w:bottom w:val="single" w:color="auto" w:sz="4" w:space="0"/>
              <w:right w:val="single" w:color="auto" w:sz="4" w:space="0"/>
            </w:tcBorders>
          </w:tcPr>
          <w:p>
            <w:pPr>
              <w:widowControl/>
              <w:jc w:val="center"/>
              <w:rPr>
                <w:rFonts w:cs="宋体" w:asciiTheme="minorEastAsia" w:hAnsiTheme="minorEastAsia"/>
                <w:kern w:val="0"/>
                <w:sz w:val="24"/>
                <w:szCs w:val="24"/>
              </w:rPr>
            </w:pPr>
          </w:p>
        </w:tc>
        <w:tc>
          <w:tcPr>
            <w:tcW w:w="442" w:type="pct"/>
            <w:tcBorders>
              <w:top w:val="nil"/>
              <w:left w:val="single" w:color="auto" w:sz="4" w:space="0"/>
              <w:bottom w:val="single" w:color="auto" w:sz="4" w:space="0"/>
              <w:right w:val="single" w:color="auto" w:sz="4" w:space="0"/>
            </w:tcBorders>
            <w:vAlign w:val="center"/>
          </w:tcPr>
          <w:p>
            <w:pPr>
              <w:widowControl/>
              <w:jc w:val="center"/>
              <w:rPr>
                <w:rFonts w:cs="宋体" w:asciiTheme="minorEastAsia" w:hAnsiTheme="minorEastAsia"/>
                <w:kern w:val="0"/>
                <w:sz w:val="24"/>
                <w:szCs w:val="24"/>
              </w:rPr>
            </w:pPr>
            <w:r>
              <w:rPr>
                <w:rFonts w:hint="eastAsia" w:cs="宋体" w:asciiTheme="minorEastAsia" w:hAnsiTheme="minorEastAsia"/>
                <w:kern w:val="0"/>
                <w:sz w:val="24"/>
                <w:szCs w:val="24"/>
              </w:rPr>
              <w:t>　</w:t>
            </w:r>
          </w:p>
        </w:tc>
        <w:tc>
          <w:tcPr>
            <w:tcW w:w="2141" w:type="pct"/>
            <w:tcBorders>
              <w:top w:val="nil"/>
              <w:left w:val="nil"/>
              <w:bottom w:val="single" w:color="auto" w:sz="4" w:space="0"/>
              <w:right w:val="single" w:color="auto" w:sz="8" w:space="0"/>
            </w:tcBorders>
            <w:noWrap/>
            <w:vAlign w:val="bottom"/>
          </w:tcPr>
          <w:p>
            <w:pPr>
              <w:widowControl/>
              <w:jc w:val="center"/>
              <w:rPr>
                <w:rFonts w:cs="宋体" w:asciiTheme="minorEastAsia" w:hAnsiTheme="minorEastAsia"/>
                <w:kern w:val="0"/>
                <w:sz w:val="24"/>
                <w:szCs w:val="24"/>
              </w:rPr>
            </w:pPr>
            <w:r>
              <w:rPr>
                <w:rFonts w:hint="eastAsia" w:cs="宋体" w:asciiTheme="minorEastAsia" w:hAnsiTheme="minorEastAsia"/>
                <w:kern w:val="0"/>
                <w:sz w:val="24"/>
                <w:szCs w:val="24"/>
              </w:rPr>
              <w:t>2个营业场所、1个离行　</w:t>
            </w:r>
          </w:p>
        </w:tc>
      </w:tr>
      <w:tr>
        <w:tblPrEx>
          <w:tblCellMar>
            <w:top w:w="0" w:type="dxa"/>
            <w:left w:w="108" w:type="dxa"/>
            <w:bottom w:w="0" w:type="dxa"/>
            <w:right w:w="108" w:type="dxa"/>
          </w:tblCellMar>
        </w:tblPrEx>
        <w:trPr>
          <w:trHeight w:val="696" w:hRule="atLeast"/>
        </w:trPr>
        <w:tc>
          <w:tcPr>
            <w:tcW w:w="794" w:type="pct"/>
            <w:gridSpan w:val="2"/>
            <w:tcBorders>
              <w:top w:val="nil"/>
              <w:left w:val="single" w:color="auto" w:sz="8" w:space="0"/>
              <w:bottom w:val="single" w:color="auto" w:sz="4" w:space="0"/>
              <w:right w:val="single" w:color="auto" w:sz="4" w:space="0"/>
            </w:tcBorders>
            <w:noWrap/>
            <w:vAlign w:val="center"/>
          </w:tcPr>
          <w:p>
            <w:pPr>
              <w:widowControl/>
              <w:jc w:val="center"/>
              <w:rPr>
                <w:rFonts w:cs="宋体" w:asciiTheme="minorEastAsia" w:hAnsiTheme="minorEastAsia"/>
                <w:kern w:val="0"/>
                <w:sz w:val="24"/>
                <w:szCs w:val="24"/>
              </w:rPr>
            </w:pPr>
            <w:r>
              <w:rPr>
                <w:rFonts w:hint="eastAsia" w:cs="宋体" w:asciiTheme="minorEastAsia" w:hAnsiTheme="minorEastAsia"/>
                <w:kern w:val="0"/>
                <w:sz w:val="24"/>
                <w:szCs w:val="24"/>
              </w:rPr>
              <w:t xml:space="preserve"> 淮滨支行</w:t>
            </w:r>
          </w:p>
        </w:tc>
        <w:tc>
          <w:tcPr>
            <w:tcW w:w="370" w:type="pct"/>
            <w:tcBorders>
              <w:top w:val="nil"/>
              <w:left w:val="nil"/>
              <w:bottom w:val="single" w:color="auto" w:sz="4" w:space="0"/>
              <w:right w:val="single" w:color="auto" w:sz="4" w:space="0"/>
            </w:tcBorders>
            <w:noWrap/>
            <w:vAlign w:val="center"/>
          </w:tcPr>
          <w:p>
            <w:pPr>
              <w:widowControl/>
              <w:jc w:val="center"/>
              <w:rPr>
                <w:rFonts w:cs="宋体" w:asciiTheme="minorEastAsia" w:hAnsiTheme="minorEastAsia"/>
                <w:kern w:val="0"/>
                <w:sz w:val="24"/>
                <w:szCs w:val="24"/>
              </w:rPr>
            </w:pPr>
            <w:r>
              <w:rPr>
                <w:rFonts w:hint="eastAsia" w:cs="宋体" w:asciiTheme="minorEastAsia" w:hAnsiTheme="minorEastAsia"/>
                <w:kern w:val="0"/>
                <w:sz w:val="24"/>
                <w:szCs w:val="24"/>
              </w:rPr>
              <w:t>1</w:t>
            </w:r>
          </w:p>
        </w:tc>
        <w:tc>
          <w:tcPr>
            <w:tcW w:w="442" w:type="pct"/>
            <w:tcBorders>
              <w:top w:val="nil"/>
              <w:left w:val="nil"/>
              <w:bottom w:val="single" w:color="auto" w:sz="4" w:space="0"/>
              <w:right w:val="single" w:color="auto" w:sz="4" w:space="0"/>
            </w:tcBorders>
            <w:noWrap/>
            <w:vAlign w:val="center"/>
          </w:tcPr>
          <w:p>
            <w:pPr>
              <w:widowControl/>
              <w:jc w:val="center"/>
              <w:rPr>
                <w:rFonts w:cs="宋体" w:asciiTheme="minorEastAsia" w:hAnsiTheme="minorEastAsia"/>
                <w:kern w:val="0"/>
                <w:sz w:val="24"/>
                <w:szCs w:val="24"/>
              </w:rPr>
            </w:pPr>
          </w:p>
        </w:tc>
        <w:tc>
          <w:tcPr>
            <w:tcW w:w="369" w:type="pct"/>
            <w:tcBorders>
              <w:top w:val="nil"/>
              <w:left w:val="nil"/>
              <w:bottom w:val="single" w:color="auto" w:sz="4" w:space="0"/>
              <w:right w:val="single" w:color="auto" w:sz="4" w:space="0"/>
            </w:tcBorders>
            <w:vAlign w:val="center"/>
          </w:tcPr>
          <w:p>
            <w:pPr>
              <w:widowControl/>
              <w:jc w:val="center"/>
              <w:rPr>
                <w:rFonts w:cs="宋体" w:asciiTheme="minorEastAsia" w:hAnsiTheme="minorEastAsia"/>
                <w:kern w:val="0"/>
                <w:sz w:val="24"/>
                <w:szCs w:val="24"/>
              </w:rPr>
            </w:pPr>
          </w:p>
        </w:tc>
        <w:tc>
          <w:tcPr>
            <w:tcW w:w="442" w:type="pct"/>
            <w:tcBorders>
              <w:top w:val="single" w:color="auto" w:sz="4" w:space="0"/>
              <w:left w:val="nil"/>
              <w:bottom w:val="single" w:color="auto" w:sz="4" w:space="0"/>
              <w:right w:val="single" w:color="auto" w:sz="4" w:space="0"/>
            </w:tcBorders>
          </w:tcPr>
          <w:p>
            <w:pPr>
              <w:widowControl/>
              <w:jc w:val="center"/>
              <w:rPr>
                <w:rFonts w:cs="宋体" w:asciiTheme="minorEastAsia" w:hAnsiTheme="minorEastAsia"/>
                <w:kern w:val="0"/>
                <w:sz w:val="24"/>
                <w:szCs w:val="24"/>
              </w:rPr>
            </w:pPr>
          </w:p>
        </w:tc>
        <w:tc>
          <w:tcPr>
            <w:tcW w:w="442" w:type="pct"/>
            <w:tcBorders>
              <w:top w:val="nil"/>
              <w:left w:val="single" w:color="auto" w:sz="4" w:space="0"/>
              <w:bottom w:val="single" w:color="auto" w:sz="4" w:space="0"/>
              <w:right w:val="single" w:color="auto" w:sz="4" w:space="0"/>
            </w:tcBorders>
            <w:vAlign w:val="center"/>
          </w:tcPr>
          <w:p>
            <w:pPr>
              <w:widowControl/>
              <w:jc w:val="center"/>
              <w:rPr>
                <w:rFonts w:cs="宋体" w:asciiTheme="minorEastAsia" w:hAnsiTheme="minorEastAsia"/>
                <w:kern w:val="0"/>
                <w:sz w:val="24"/>
                <w:szCs w:val="24"/>
              </w:rPr>
            </w:pPr>
            <w:r>
              <w:rPr>
                <w:rFonts w:hint="eastAsia" w:cs="宋体" w:asciiTheme="minorEastAsia" w:hAnsiTheme="minorEastAsia"/>
                <w:kern w:val="0"/>
                <w:sz w:val="24"/>
                <w:szCs w:val="24"/>
              </w:rPr>
              <w:t>　</w:t>
            </w:r>
          </w:p>
        </w:tc>
        <w:tc>
          <w:tcPr>
            <w:tcW w:w="2141" w:type="pct"/>
            <w:tcBorders>
              <w:top w:val="nil"/>
              <w:left w:val="nil"/>
              <w:bottom w:val="single" w:color="auto" w:sz="4" w:space="0"/>
              <w:right w:val="single" w:color="auto" w:sz="8" w:space="0"/>
            </w:tcBorders>
            <w:noWrap/>
            <w:vAlign w:val="bottom"/>
          </w:tcPr>
          <w:p>
            <w:pPr>
              <w:widowControl/>
              <w:jc w:val="center"/>
              <w:rPr>
                <w:rFonts w:cs="宋体" w:asciiTheme="minorEastAsia" w:hAnsiTheme="minorEastAsia"/>
                <w:kern w:val="0"/>
                <w:sz w:val="24"/>
                <w:szCs w:val="24"/>
              </w:rPr>
            </w:pPr>
            <w:r>
              <w:rPr>
                <w:rFonts w:hint="eastAsia" w:cs="宋体" w:asciiTheme="minorEastAsia" w:hAnsiTheme="minorEastAsia"/>
                <w:kern w:val="0"/>
                <w:sz w:val="24"/>
                <w:szCs w:val="24"/>
              </w:rPr>
              <w:t>1个营业场所　</w:t>
            </w:r>
          </w:p>
        </w:tc>
      </w:tr>
      <w:tr>
        <w:tblPrEx>
          <w:tblCellMar>
            <w:top w:w="0" w:type="dxa"/>
            <w:left w:w="108" w:type="dxa"/>
            <w:bottom w:w="0" w:type="dxa"/>
            <w:right w:w="108" w:type="dxa"/>
          </w:tblCellMar>
        </w:tblPrEx>
        <w:trPr>
          <w:trHeight w:val="696" w:hRule="atLeast"/>
        </w:trPr>
        <w:tc>
          <w:tcPr>
            <w:tcW w:w="794" w:type="pct"/>
            <w:gridSpan w:val="2"/>
            <w:tcBorders>
              <w:top w:val="nil"/>
              <w:left w:val="single" w:color="auto" w:sz="8" w:space="0"/>
              <w:bottom w:val="single" w:color="auto" w:sz="4" w:space="0"/>
              <w:right w:val="single" w:color="auto" w:sz="4" w:space="0"/>
            </w:tcBorders>
            <w:noWrap/>
            <w:vAlign w:val="center"/>
          </w:tcPr>
          <w:p>
            <w:pPr>
              <w:widowControl/>
              <w:jc w:val="center"/>
              <w:rPr>
                <w:rFonts w:cs="宋体" w:asciiTheme="minorEastAsia" w:hAnsiTheme="minorEastAsia"/>
                <w:kern w:val="0"/>
                <w:sz w:val="24"/>
                <w:szCs w:val="24"/>
              </w:rPr>
            </w:pPr>
            <w:r>
              <w:rPr>
                <w:rFonts w:hint="eastAsia" w:cs="宋体" w:asciiTheme="minorEastAsia" w:hAnsiTheme="minorEastAsia"/>
                <w:kern w:val="0"/>
                <w:sz w:val="24"/>
                <w:szCs w:val="24"/>
              </w:rPr>
              <w:t>息县支行</w:t>
            </w:r>
          </w:p>
        </w:tc>
        <w:tc>
          <w:tcPr>
            <w:tcW w:w="370" w:type="pct"/>
            <w:tcBorders>
              <w:top w:val="nil"/>
              <w:left w:val="nil"/>
              <w:bottom w:val="single" w:color="auto" w:sz="4" w:space="0"/>
              <w:right w:val="single" w:color="auto" w:sz="4" w:space="0"/>
            </w:tcBorders>
            <w:noWrap/>
            <w:vAlign w:val="center"/>
          </w:tcPr>
          <w:p>
            <w:pPr>
              <w:widowControl/>
              <w:jc w:val="center"/>
              <w:rPr>
                <w:rFonts w:cs="宋体" w:asciiTheme="minorEastAsia" w:hAnsiTheme="minorEastAsia"/>
                <w:kern w:val="0"/>
                <w:sz w:val="24"/>
                <w:szCs w:val="24"/>
              </w:rPr>
            </w:pPr>
            <w:r>
              <w:rPr>
                <w:rFonts w:hint="eastAsia" w:cs="宋体" w:asciiTheme="minorEastAsia" w:hAnsiTheme="minorEastAsia"/>
                <w:kern w:val="0"/>
                <w:sz w:val="24"/>
                <w:szCs w:val="24"/>
              </w:rPr>
              <w:t>2</w:t>
            </w:r>
          </w:p>
        </w:tc>
        <w:tc>
          <w:tcPr>
            <w:tcW w:w="442" w:type="pct"/>
            <w:tcBorders>
              <w:top w:val="nil"/>
              <w:left w:val="nil"/>
              <w:bottom w:val="single" w:color="auto" w:sz="4" w:space="0"/>
              <w:right w:val="single" w:color="auto" w:sz="4" w:space="0"/>
            </w:tcBorders>
            <w:noWrap/>
            <w:vAlign w:val="center"/>
          </w:tcPr>
          <w:p>
            <w:pPr>
              <w:widowControl/>
              <w:jc w:val="center"/>
              <w:rPr>
                <w:rFonts w:cs="宋体" w:asciiTheme="minorEastAsia" w:hAnsiTheme="minorEastAsia"/>
                <w:kern w:val="0"/>
                <w:sz w:val="24"/>
                <w:szCs w:val="24"/>
              </w:rPr>
            </w:pPr>
            <w:r>
              <w:rPr>
                <w:rFonts w:hint="eastAsia" w:cs="宋体" w:asciiTheme="minorEastAsia" w:hAnsiTheme="minorEastAsia"/>
                <w:kern w:val="0"/>
                <w:sz w:val="24"/>
                <w:szCs w:val="24"/>
              </w:rPr>
              <w:t>3</w:t>
            </w:r>
          </w:p>
        </w:tc>
        <w:tc>
          <w:tcPr>
            <w:tcW w:w="369" w:type="pct"/>
            <w:tcBorders>
              <w:top w:val="nil"/>
              <w:left w:val="nil"/>
              <w:bottom w:val="single" w:color="auto" w:sz="4" w:space="0"/>
              <w:right w:val="single" w:color="auto" w:sz="4" w:space="0"/>
            </w:tcBorders>
            <w:vAlign w:val="center"/>
          </w:tcPr>
          <w:p>
            <w:pPr>
              <w:widowControl/>
              <w:jc w:val="center"/>
              <w:rPr>
                <w:rFonts w:cs="宋体" w:asciiTheme="minorEastAsia" w:hAnsiTheme="minorEastAsia"/>
                <w:kern w:val="0"/>
                <w:sz w:val="24"/>
                <w:szCs w:val="24"/>
              </w:rPr>
            </w:pPr>
          </w:p>
        </w:tc>
        <w:tc>
          <w:tcPr>
            <w:tcW w:w="442" w:type="pct"/>
            <w:tcBorders>
              <w:top w:val="single" w:color="auto" w:sz="4" w:space="0"/>
              <w:left w:val="nil"/>
              <w:bottom w:val="single" w:color="auto" w:sz="4" w:space="0"/>
              <w:right w:val="single" w:color="auto" w:sz="4" w:space="0"/>
            </w:tcBorders>
          </w:tcPr>
          <w:p>
            <w:pPr>
              <w:widowControl/>
              <w:jc w:val="center"/>
              <w:rPr>
                <w:rFonts w:cs="宋体" w:asciiTheme="minorEastAsia" w:hAnsiTheme="minorEastAsia"/>
                <w:kern w:val="0"/>
                <w:sz w:val="24"/>
                <w:szCs w:val="24"/>
              </w:rPr>
            </w:pPr>
          </w:p>
        </w:tc>
        <w:tc>
          <w:tcPr>
            <w:tcW w:w="442" w:type="pct"/>
            <w:tcBorders>
              <w:top w:val="nil"/>
              <w:left w:val="single" w:color="auto" w:sz="4" w:space="0"/>
              <w:bottom w:val="single" w:color="auto" w:sz="4" w:space="0"/>
              <w:right w:val="single" w:color="auto" w:sz="4" w:space="0"/>
            </w:tcBorders>
            <w:vAlign w:val="center"/>
          </w:tcPr>
          <w:p>
            <w:pPr>
              <w:widowControl/>
              <w:jc w:val="center"/>
              <w:rPr>
                <w:rFonts w:cs="宋体" w:asciiTheme="minorEastAsia" w:hAnsiTheme="minorEastAsia"/>
                <w:kern w:val="0"/>
                <w:sz w:val="24"/>
                <w:szCs w:val="24"/>
              </w:rPr>
            </w:pPr>
            <w:r>
              <w:rPr>
                <w:rFonts w:hint="eastAsia" w:cs="宋体" w:asciiTheme="minorEastAsia" w:hAnsiTheme="minorEastAsia"/>
                <w:kern w:val="0"/>
                <w:sz w:val="24"/>
                <w:szCs w:val="24"/>
              </w:rPr>
              <w:t>2</w:t>
            </w:r>
          </w:p>
        </w:tc>
        <w:tc>
          <w:tcPr>
            <w:tcW w:w="2141" w:type="pct"/>
            <w:tcBorders>
              <w:top w:val="nil"/>
              <w:left w:val="nil"/>
              <w:bottom w:val="single" w:color="auto" w:sz="4" w:space="0"/>
              <w:right w:val="single" w:color="auto" w:sz="8" w:space="0"/>
            </w:tcBorders>
            <w:noWrap/>
            <w:vAlign w:val="bottom"/>
          </w:tcPr>
          <w:p>
            <w:pPr>
              <w:widowControl/>
              <w:jc w:val="center"/>
              <w:rPr>
                <w:rFonts w:cs="宋体" w:asciiTheme="minorEastAsia" w:hAnsiTheme="minorEastAsia"/>
                <w:kern w:val="0"/>
                <w:sz w:val="24"/>
                <w:szCs w:val="24"/>
              </w:rPr>
            </w:pPr>
            <w:r>
              <w:rPr>
                <w:rFonts w:hint="eastAsia" w:cs="宋体" w:asciiTheme="minorEastAsia" w:hAnsiTheme="minorEastAsia"/>
                <w:kern w:val="0"/>
                <w:sz w:val="24"/>
                <w:szCs w:val="24"/>
              </w:rPr>
              <w:t>2个营业场所、3个离行、2个上门收款、　　</w:t>
            </w:r>
          </w:p>
        </w:tc>
      </w:tr>
      <w:tr>
        <w:tblPrEx>
          <w:tblCellMar>
            <w:top w:w="0" w:type="dxa"/>
            <w:left w:w="108" w:type="dxa"/>
            <w:bottom w:w="0" w:type="dxa"/>
            <w:right w:w="108" w:type="dxa"/>
          </w:tblCellMar>
        </w:tblPrEx>
        <w:trPr>
          <w:trHeight w:val="696" w:hRule="atLeast"/>
        </w:trPr>
        <w:tc>
          <w:tcPr>
            <w:tcW w:w="794" w:type="pct"/>
            <w:gridSpan w:val="2"/>
            <w:tcBorders>
              <w:top w:val="nil"/>
              <w:left w:val="single" w:color="auto" w:sz="8" w:space="0"/>
              <w:bottom w:val="single" w:color="auto" w:sz="4" w:space="0"/>
              <w:right w:val="single" w:color="auto" w:sz="4" w:space="0"/>
            </w:tcBorders>
            <w:noWrap/>
            <w:vAlign w:val="center"/>
          </w:tcPr>
          <w:p>
            <w:pPr>
              <w:widowControl/>
              <w:jc w:val="center"/>
              <w:rPr>
                <w:rFonts w:cs="宋体" w:asciiTheme="minorEastAsia" w:hAnsiTheme="minorEastAsia"/>
                <w:kern w:val="0"/>
                <w:sz w:val="24"/>
                <w:szCs w:val="24"/>
              </w:rPr>
            </w:pPr>
            <w:r>
              <w:rPr>
                <w:rFonts w:hint="eastAsia" w:cs="宋体" w:asciiTheme="minorEastAsia" w:hAnsiTheme="minorEastAsia"/>
                <w:kern w:val="0"/>
                <w:sz w:val="24"/>
                <w:szCs w:val="24"/>
              </w:rPr>
              <w:t>新县支行</w:t>
            </w:r>
          </w:p>
        </w:tc>
        <w:tc>
          <w:tcPr>
            <w:tcW w:w="370" w:type="pct"/>
            <w:tcBorders>
              <w:top w:val="nil"/>
              <w:left w:val="nil"/>
              <w:bottom w:val="single" w:color="auto" w:sz="4" w:space="0"/>
              <w:right w:val="single" w:color="auto" w:sz="4" w:space="0"/>
            </w:tcBorders>
            <w:noWrap/>
            <w:vAlign w:val="center"/>
          </w:tcPr>
          <w:p>
            <w:pPr>
              <w:widowControl/>
              <w:jc w:val="center"/>
              <w:rPr>
                <w:rFonts w:cs="宋体" w:asciiTheme="minorEastAsia" w:hAnsiTheme="minorEastAsia"/>
                <w:kern w:val="0"/>
                <w:sz w:val="24"/>
                <w:szCs w:val="24"/>
              </w:rPr>
            </w:pPr>
            <w:r>
              <w:rPr>
                <w:rFonts w:hint="eastAsia" w:cs="宋体" w:asciiTheme="minorEastAsia" w:hAnsiTheme="minorEastAsia"/>
                <w:kern w:val="0"/>
                <w:sz w:val="24"/>
                <w:szCs w:val="24"/>
              </w:rPr>
              <w:t>2</w:t>
            </w:r>
          </w:p>
        </w:tc>
        <w:tc>
          <w:tcPr>
            <w:tcW w:w="442" w:type="pct"/>
            <w:tcBorders>
              <w:top w:val="nil"/>
              <w:left w:val="nil"/>
              <w:bottom w:val="single" w:color="auto" w:sz="4" w:space="0"/>
              <w:right w:val="single" w:color="auto" w:sz="4" w:space="0"/>
            </w:tcBorders>
            <w:noWrap/>
            <w:vAlign w:val="center"/>
          </w:tcPr>
          <w:p>
            <w:pPr>
              <w:widowControl/>
              <w:jc w:val="center"/>
              <w:rPr>
                <w:rFonts w:cs="宋体" w:asciiTheme="minorEastAsia" w:hAnsiTheme="minorEastAsia"/>
                <w:kern w:val="0"/>
                <w:sz w:val="24"/>
                <w:szCs w:val="24"/>
              </w:rPr>
            </w:pPr>
            <w:r>
              <w:rPr>
                <w:rFonts w:hint="eastAsia" w:cs="宋体" w:asciiTheme="minorEastAsia" w:hAnsiTheme="minorEastAsia"/>
                <w:kern w:val="0"/>
                <w:sz w:val="24"/>
                <w:szCs w:val="24"/>
              </w:rPr>
              <w:t>1</w:t>
            </w:r>
          </w:p>
        </w:tc>
        <w:tc>
          <w:tcPr>
            <w:tcW w:w="369" w:type="pct"/>
            <w:tcBorders>
              <w:top w:val="nil"/>
              <w:left w:val="nil"/>
              <w:bottom w:val="single" w:color="auto" w:sz="4" w:space="0"/>
              <w:right w:val="single" w:color="auto" w:sz="4" w:space="0"/>
            </w:tcBorders>
            <w:vAlign w:val="center"/>
          </w:tcPr>
          <w:p>
            <w:pPr>
              <w:widowControl/>
              <w:jc w:val="center"/>
              <w:rPr>
                <w:rFonts w:cs="宋体" w:asciiTheme="minorEastAsia" w:hAnsiTheme="minorEastAsia"/>
                <w:kern w:val="0"/>
                <w:sz w:val="24"/>
                <w:szCs w:val="24"/>
              </w:rPr>
            </w:pPr>
          </w:p>
        </w:tc>
        <w:tc>
          <w:tcPr>
            <w:tcW w:w="442" w:type="pct"/>
            <w:tcBorders>
              <w:top w:val="single" w:color="auto" w:sz="4" w:space="0"/>
              <w:left w:val="nil"/>
              <w:bottom w:val="single" w:color="auto" w:sz="4" w:space="0"/>
              <w:right w:val="single" w:color="auto" w:sz="4" w:space="0"/>
            </w:tcBorders>
          </w:tcPr>
          <w:p>
            <w:pPr>
              <w:widowControl/>
              <w:jc w:val="center"/>
              <w:rPr>
                <w:rFonts w:cs="宋体" w:asciiTheme="minorEastAsia" w:hAnsiTheme="minorEastAsia"/>
                <w:kern w:val="0"/>
                <w:sz w:val="24"/>
                <w:szCs w:val="24"/>
              </w:rPr>
            </w:pPr>
          </w:p>
        </w:tc>
        <w:tc>
          <w:tcPr>
            <w:tcW w:w="442" w:type="pct"/>
            <w:tcBorders>
              <w:top w:val="nil"/>
              <w:left w:val="single" w:color="auto" w:sz="4" w:space="0"/>
              <w:bottom w:val="single" w:color="auto" w:sz="4" w:space="0"/>
              <w:right w:val="single" w:color="auto" w:sz="4" w:space="0"/>
            </w:tcBorders>
            <w:vAlign w:val="center"/>
          </w:tcPr>
          <w:p>
            <w:pPr>
              <w:widowControl/>
              <w:jc w:val="center"/>
              <w:rPr>
                <w:rFonts w:cs="宋体" w:asciiTheme="minorEastAsia" w:hAnsiTheme="minorEastAsia"/>
                <w:kern w:val="0"/>
                <w:sz w:val="24"/>
                <w:szCs w:val="24"/>
              </w:rPr>
            </w:pPr>
            <w:r>
              <w:rPr>
                <w:rFonts w:hint="eastAsia" w:cs="宋体" w:asciiTheme="minorEastAsia" w:hAnsiTheme="minorEastAsia"/>
                <w:kern w:val="0"/>
                <w:sz w:val="24"/>
                <w:szCs w:val="24"/>
              </w:rPr>
              <w:t>　</w:t>
            </w:r>
          </w:p>
        </w:tc>
        <w:tc>
          <w:tcPr>
            <w:tcW w:w="2141" w:type="pct"/>
            <w:tcBorders>
              <w:top w:val="nil"/>
              <w:left w:val="nil"/>
              <w:bottom w:val="single" w:color="auto" w:sz="4" w:space="0"/>
              <w:right w:val="single" w:color="auto" w:sz="8" w:space="0"/>
            </w:tcBorders>
            <w:noWrap/>
            <w:vAlign w:val="bottom"/>
          </w:tcPr>
          <w:p>
            <w:pPr>
              <w:widowControl/>
              <w:jc w:val="center"/>
              <w:rPr>
                <w:rFonts w:cs="宋体" w:asciiTheme="minorEastAsia" w:hAnsiTheme="minorEastAsia"/>
                <w:kern w:val="0"/>
                <w:sz w:val="24"/>
                <w:szCs w:val="24"/>
              </w:rPr>
            </w:pPr>
            <w:r>
              <w:rPr>
                <w:rFonts w:hint="eastAsia" w:cs="宋体" w:asciiTheme="minorEastAsia" w:hAnsiTheme="minorEastAsia"/>
                <w:kern w:val="0"/>
                <w:sz w:val="24"/>
                <w:szCs w:val="24"/>
              </w:rPr>
              <w:t>2个营业场所、1个离行</w:t>
            </w:r>
          </w:p>
        </w:tc>
      </w:tr>
      <w:tr>
        <w:tblPrEx>
          <w:tblCellMar>
            <w:top w:w="0" w:type="dxa"/>
            <w:left w:w="108" w:type="dxa"/>
            <w:bottom w:w="0" w:type="dxa"/>
            <w:right w:w="108" w:type="dxa"/>
          </w:tblCellMar>
        </w:tblPrEx>
        <w:trPr>
          <w:trHeight w:val="461" w:hRule="atLeast"/>
        </w:trPr>
        <w:tc>
          <w:tcPr>
            <w:tcW w:w="794" w:type="pct"/>
            <w:gridSpan w:val="2"/>
            <w:tcBorders>
              <w:top w:val="nil"/>
              <w:left w:val="single" w:color="auto" w:sz="8" w:space="0"/>
              <w:bottom w:val="single" w:color="auto" w:sz="4" w:space="0"/>
              <w:right w:val="single" w:color="auto" w:sz="4" w:space="0"/>
            </w:tcBorders>
            <w:noWrap/>
            <w:vAlign w:val="center"/>
          </w:tcPr>
          <w:p>
            <w:pPr>
              <w:widowControl/>
              <w:jc w:val="center"/>
              <w:rPr>
                <w:rFonts w:cs="宋体" w:asciiTheme="minorEastAsia" w:hAnsiTheme="minorEastAsia"/>
                <w:kern w:val="0"/>
                <w:sz w:val="24"/>
                <w:szCs w:val="24"/>
              </w:rPr>
            </w:pPr>
            <w:r>
              <w:rPr>
                <w:rFonts w:hint="eastAsia" w:cs="宋体" w:asciiTheme="minorEastAsia" w:hAnsiTheme="minorEastAsia"/>
                <w:kern w:val="0"/>
                <w:sz w:val="24"/>
                <w:szCs w:val="24"/>
              </w:rPr>
              <w:t>潢川支行</w:t>
            </w:r>
          </w:p>
        </w:tc>
        <w:tc>
          <w:tcPr>
            <w:tcW w:w="370" w:type="pct"/>
            <w:tcBorders>
              <w:top w:val="nil"/>
              <w:left w:val="nil"/>
              <w:bottom w:val="single" w:color="auto" w:sz="4" w:space="0"/>
              <w:right w:val="single" w:color="auto" w:sz="4" w:space="0"/>
            </w:tcBorders>
            <w:noWrap/>
            <w:vAlign w:val="center"/>
          </w:tcPr>
          <w:p>
            <w:pPr>
              <w:widowControl/>
              <w:jc w:val="center"/>
              <w:rPr>
                <w:rFonts w:cs="宋体" w:asciiTheme="minorEastAsia" w:hAnsiTheme="minorEastAsia"/>
                <w:kern w:val="0"/>
                <w:sz w:val="24"/>
                <w:szCs w:val="24"/>
              </w:rPr>
            </w:pPr>
            <w:r>
              <w:rPr>
                <w:rFonts w:hint="eastAsia" w:cs="宋体" w:asciiTheme="minorEastAsia" w:hAnsiTheme="minorEastAsia"/>
                <w:kern w:val="0"/>
                <w:sz w:val="24"/>
                <w:szCs w:val="24"/>
              </w:rPr>
              <w:t>1</w:t>
            </w:r>
          </w:p>
        </w:tc>
        <w:tc>
          <w:tcPr>
            <w:tcW w:w="442" w:type="pct"/>
            <w:tcBorders>
              <w:top w:val="nil"/>
              <w:left w:val="nil"/>
              <w:bottom w:val="single" w:color="auto" w:sz="4" w:space="0"/>
              <w:right w:val="single" w:color="auto" w:sz="4" w:space="0"/>
            </w:tcBorders>
            <w:noWrap/>
            <w:vAlign w:val="center"/>
          </w:tcPr>
          <w:p>
            <w:pPr>
              <w:widowControl/>
              <w:jc w:val="center"/>
              <w:rPr>
                <w:rFonts w:cs="宋体" w:asciiTheme="minorEastAsia" w:hAnsiTheme="minorEastAsia"/>
                <w:kern w:val="0"/>
                <w:sz w:val="24"/>
                <w:szCs w:val="24"/>
              </w:rPr>
            </w:pPr>
            <w:r>
              <w:rPr>
                <w:rFonts w:hint="eastAsia" w:cs="宋体" w:asciiTheme="minorEastAsia" w:hAnsiTheme="minorEastAsia"/>
                <w:kern w:val="0"/>
                <w:sz w:val="24"/>
                <w:szCs w:val="24"/>
              </w:rPr>
              <w:t>0</w:t>
            </w:r>
          </w:p>
        </w:tc>
        <w:tc>
          <w:tcPr>
            <w:tcW w:w="369" w:type="pct"/>
            <w:tcBorders>
              <w:top w:val="nil"/>
              <w:left w:val="nil"/>
              <w:bottom w:val="single" w:color="auto" w:sz="4" w:space="0"/>
              <w:right w:val="single" w:color="auto" w:sz="4" w:space="0"/>
            </w:tcBorders>
            <w:vAlign w:val="center"/>
          </w:tcPr>
          <w:p>
            <w:pPr>
              <w:widowControl/>
              <w:jc w:val="center"/>
              <w:rPr>
                <w:rFonts w:cs="宋体" w:asciiTheme="minorEastAsia" w:hAnsiTheme="minorEastAsia"/>
                <w:kern w:val="0"/>
                <w:sz w:val="24"/>
                <w:szCs w:val="24"/>
              </w:rPr>
            </w:pPr>
            <w:r>
              <w:rPr>
                <w:rFonts w:hint="eastAsia" w:cs="宋体" w:asciiTheme="minorEastAsia" w:hAnsiTheme="minorEastAsia"/>
                <w:kern w:val="0"/>
                <w:sz w:val="24"/>
                <w:szCs w:val="24"/>
              </w:rPr>
              <w:t>0</w:t>
            </w:r>
          </w:p>
        </w:tc>
        <w:tc>
          <w:tcPr>
            <w:tcW w:w="442" w:type="pct"/>
            <w:tcBorders>
              <w:top w:val="single" w:color="auto" w:sz="4" w:space="0"/>
              <w:left w:val="nil"/>
              <w:bottom w:val="single" w:color="auto" w:sz="4" w:space="0"/>
              <w:right w:val="single" w:color="auto" w:sz="4" w:space="0"/>
            </w:tcBorders>
          </w:tcPr>
          <w:p>
            <w:pPr>
              <w:widowControl/>
              <w:jc w:val="center"/>
              <w:rPr>
                <w:rFonts w:cs="宋体" w:asciiTheme="minorEastAsia" w:hAnsiTheme="minorEastAsia"/>
                <w:kern w:val="0"/>
                <w:sz w:val="24"/>
                <w:szCs w:val="24"/>
              </w:rPr>
            </w:pPr>
          </w:p>
        </w:tc>
        <w:tc>
          <w:tcPr>
            <w:tcW w:w="442" w:type="pct"/>
            <w:tcBorders>
              <w:top w:val="nil"/>
              <w:left w:val="single" w:color="auto" w:sz="4" w:space="0"/>
              <w:bottom w:val="single" w:color="auto" w:sz="4" w:space="0"/>
              <w:right w:val="single" w:color="auto" w:sz="4" w:space="0"/>
            </w:tcBorders>
            <w:vAlign w:val="center"/>
          </w:tcPr>
          <w:p>
            <w:pPr>
              <w:widowControl/>
              <w:jc w:val="center"/>
              <w:rPr>
                <w:rFonts w:cs="宋体" w:asciiTheme="minorEastAsia" w:hAnsiTheme="minorEastAsia"/>
                <w:kern w:val="0"/>
                <w:sz w:val="24"/>
                <w:szCs w:val="24"/>
              </w:rPr>
            </w:pPr>
            <w:r>
              <w:rPr>
                <w:rFonts w:hint="eastAsia" w:cs="宋体" w:asciiTheme="minorEastAsia" w:hAnsiTheme="minorEastAsia"/>
                <w:kern w:val="0"/>
                <w:sz w:val="24"/>
                <w:szCs w:val="24"/>
              </w:rPr>
              <w:t>　</w:t>
            </w:r>
          </w:p>
        </w:tc>
        <w:tc>
          <w:tcPr>
            <w:tcW w:w="2141" w:type="pct"/>
            <w:tcBorders>
              <w:top w:val="nil"/>
              <w:left w:val="nil"/>
              <w:bottom w:val="single" w:color="auto" w:sz="4" w:space="0"/>
              <w:right w:val="single" w:color="auto" w:sz="8" w:space="0"/>
            </w:tcBorders>
            <w:noWrap/>
            <w:vAlign w:val="bottom"/>
          </w:tcPr>
          <w:p>
            <w:pPr>
              <w:widowControl/>
              <w:jc w:val="center"/>
              <w:rPr>
                <w:rFonts w:cs="宋体" w:asciiTheme="minorEastAsia" w:hAnsiTheme="minorEastAsia"/>
                <w:kern w:val="0"/>
                <w:sz w:val="24"/>
                <w:szCs w:val="24"/>
              </w:rPr>
            </w:pPr>
            <w:r>
              <w:rPr>
                <w:rFonts w:hint="eastAsia" w:cs="宋体" w:asciiTheme="minorEastAsia" w:hAnsiTheme="minorEastAsia"/>
                <w:kern w:val="0"/>
                <w:sz w:val="24"/>
                <w:szCs w:val="24"/>
              </w:rPr>
              <w:t>1个营业场所、自有金库</w:t>
            </w:r>
          </w:p>
        </w:tc>
      </w:tr>
      <w:tr>
        <w:tblPrEx>
          <w:tblCellMar>
            <w:top w:w="0" w:type="dxa"/>
            <w:left w:w="108" w:type="dxa"/>
            <w:bottom w:w="0" w:type="dxa"/>
            <w:right w:w="108" w:type="dxa"/>
          </w:tblCellMar>
        </w:tblPrEx>
        <w:trPr>
          <w:trHeight w:val="612" w:hRule="atLeast"/>
        </w:trPr>
        <w:tc>
          <w:tcPr>
            <w:tcW w:w="794" w:type="pct"/>
            <w:gridSpan w:val="2"/>
            <w:tcBorders>
              <w:top w:val="nil"/>
              <w:left w:val="single" w:color="auto" w:sz="8" w:space="0"/>
              <w:bottom w:val="single" w:color="auto" w:sz="4" w:space="0"/>
              <w:right w:val="single" w:color="auto" w:sz="4" w:space="0"/>
            </w:tcBorders>
            <w:noWrap/>
            <w:vAlign w:val="center"/>
          </w:tcPr>
          <w:p>
            <w:pPr>
              <w:widowControl/>
              <w:jc w:val="center"/>
              <w:rPr>
                <w:rFonts w:cs="宋体" w:asciiTheme="minorEastAsia" w:hAnsiTheme="minorEastAsia"/>
                <w:kern w:val="0"/>
                <w:sz w:val="24"/>
                <w:szCs w:val="24"/>
              </w:rPr>
            </w:pPr>
            <w:r>
              <w:rPr>
                <w:rFonts w:hint="eastAsia" w:cs="宋体" w:asciiTheme="minorEastAsia" w:hAnsiTheme="minorEastAsia"/>
                <w:kern w:val="0"/>
                <w:sz w:val="24"/>
                <w:szCs w:val="24"/>
              </w:rPr>
              <w:t>光山支行</w:t>
            </w:r>
          </w:p>
        </w:tc>
        <w:tc>
          <w:tcPr>
            <w:tcW w:w="370" w:type="pct"/>
            <w:tcBorders>
              <w:top w:val="nil"/>
              <w:left w:val="nil"/>
              <w:bottom w:val="single" w:color="auto" w:sz="4" w:space="0"/>
              <w:right w:val="single" w:color="auto" w:sz="4" w:space="0"/>
            </w:tcBorders>
            <w:noWrap/>
            <w:vAlign w:val="center"/>
          </w:tcPr>
          <w:p>
            <w:pPr>
              <w:widowControl/>
              <w:jc w:val="center"/>
              <w:rPr>
                <w:rFonts w:cs="宋体" w:asciiTheme="minorEastAsia" w:hAnsiTheme="minorEastAsia"/>
                <w:kern w:val="0"/>
                <w:sz w:val="24"/>
                <w:szCs w:val="24"/>
              </w:rPr>
            </w:pPr>
            <w:r>
              <w:rPr>
                <w:rFonts w:hint="eastAsia" w:cs="宋体" w:asciiTheme="minorEastAsia" w:hAnsiTheme="minorEastAsia"/>
                <w:kern w:val="0"/>
                <w:sz w:val="24"/>
                <w:szCs w:val="24"/>
              </w:rPr>
              <w:t>1</w:t>
            </w:r>
          </w:p>
        </w:tc>
        <w:tc>
          <w:tcPr>
            <w:tcW w:w="442" w:type="pct"/>
            <w:tcBorders>
              <w:top w:val="nil"/>
              <w:left w:val="nil"/>
              <w:bottom w:val="single" w:color="auto" w:sz="4" w:space="0"/>
              <w:right w:val="single" w:color="auto" w:sz="4" w:space="0"/>
            </w:tcBorders>
            <w:noWrap/>
            <w:vAlign w:val="center"/>
          </w:tcPr>
          <w:p>
            <w:pPr>
              <w:widowControl/>
              <w:jc w:val="center"/>
              <w:rPr>
                <w:rFonts w:cs="宋体" w:asciiTheme="minorEastAsia" w:hAnsiTheme="minorEastAsia"/>
                <w:kern w:val="0"/>
                <w:sz w:val="24"/>
                <w:szCs w:val="24"/>
              </w:rPr>
            </w:pPr>
            <w:r>
              <w:rPr>
                <w:rFonts w:hint="eastAsia" w:cs="宋体" w:asciiTheme="minorEastAsia" w:hAnsiTheme="minorEastAsia"/>
                <w:kern w:val="0"/>
                <w:sz w:val="24"/>
                <w:szCs w:val="24"/>
              </w:rPr>
              <w:t>0</w:t>
            </w:r>
          </w:p>
        </w:tc>
        <w:tc>
          <w:tcPr>
            <w:tcW w:w="369" w:type="pct"/>
            <w:tcBorders>
              <w:top w:val="nil"/>
              <w:left w:val="nil"/>
              <w:bottom w:val="single" w:color="auto" w:sz="4" w:space="0"/>
              <w:right w:val="single" w:color="auto" w:sz="4" w:space="0"/>
            </w:tcBorders>
            <w:vAlign w:val="center"/>
          </w:tcPr>
          <w:p>
            <w:pPr>
              <w:widowControl/>
              <w:jc w:val="center"/>
              <w:rPr>
                <w:rFonts w:cs="宋体" w:asciiTheme="minorEastAsia" w:hAnsiTheme="minorEastAsia"/>
                <w:kern w:val="0"/>
                <w:sz w:val="24"/>
                <w:szCs w:val="24"/>
              </w:rPr>
            </w:pPr>
            <w:r>
              <w:rPr>
                <w:rFonts w:hint="eastAsia" w:cs="宋体" w:asciiTheme="minorEastAsia" w:hAnsiTheme="minorEastAsia"/>
                <w:kern w:val="0"/>
                <w:sz w:val="24"/>
                <w:szCs w:val="24"/>
              </w:rPr>
              <w:t>0</w:t>
            </w:r>
          </w:p>
        </w:tc>
        <w:tc>
          <w:tcPr>
            <w:tcW w:w="442" w:type="pct"/>
            <w:tcBorders>
              <w:top w:val="single" w:color="auto" w:sz="4" w:space="0"/>
              <w:left w:val="nil"/>
              <w:bottom w:val="single" w:color="auto" w:sz="4" w:space="0"/>
              <w:right w:val="single" w:color="auto" w:sz="4" w:space="0"/>
            </w:tcBorders>
          </w:tcPr>
          <w:p>
            <w:pPr>
              <w:widowControl/>
              <w:jc w:val="center"/>
              <w:rPr>
                <w:rFonts w:cs="宋体" w:asciiTheme="minorEastAsia" w:hAnsiTheme="minorEastAsia"/>
                <w:kern w:val="0"/>
                <w:sz w:val="24"/>
                <w:szCs w:val="24"/>
              </w:rPr>
            </w:pPr>
          </w:p>
        </w:tc>
        <w:tc>
          <w:tcPr>
            <w:tcW w:w="442" w:type="pct"/>
            <w:tcBorders>
              <w:top w:val="nil"/>
              <w:left w:val="single" w:color="auto" w:sz="4" w:space="0"/>
              <w:bottom w:val="single" w:color="auto" w:sz="4" w:space="0"/>
              <w:right w:val="single" w:color="auto" w:sz="4" w:space="0"/>
            </w:tcBorders>
            <w:vAlign w:val="center"/>
          </w:tcPr>
          <w:p>
            <w:pPr>
              <w:widowControl/>
              <w:jc w:val="center"/>
              <w:rPr>
                <w:rFonts w:cs="宋体" w:asciiTheme="minorEastAsia" w:hAnsiTheme="minorEastAsia"/>
                <w:kern w:val="0"/>
                <w:sz w:val="24"/>
                <w:szCs w:val="24"/>
              </w:rPr>
            </w:pPr>
            <w:r>
              <w:rPr>
                <w:rFonts w:hint="eastAsia" w:cs="宋体" w:asciiTheme="minorEastAsia" w:hAnsiTheme="minorEastAsia"/>
                <w:kern w:val="0"/>
                <w:sz w:val="24"/>
                <w:szCs w:val="24"/>
              </w:rPr>
              <w:t>　</w:t>
            </w:r>
          </w:p>
        </w:tc>
        <w:tc>
          <w:tcPr>
            <w:tcW w:w="2141" w:type="pct"/>
            <w:tcBorders>
              <w:top w:val="nil"/>
              <w:left w:val="nil"/>
              <w:bottom w:val="single" w:color="auto" w:sz="4" w:space="0"/>
              <w:right w:val="single" w:color="auto" w:sz="8" w:space="0"/>
            </w:tcBorders>
            <w:noWrap/>
            <w:vAlign w:val="bottom"/>
          </w:tcPr>
          <w:p>
            <w:pPr>
              <w:widowControl/>
              <w:jc w:val="center"/>
              <w:rPr>
                <w:rFonts w:cs="宋体" w:asciiTheme="minorEastAsia" w:hAnsiTheme="minorEastAsia"/>
                <w:kern w:val="0"/>
                <w:sz w:val="24"/>
                <w:szCs w:val="24"/>
              </w:rPr>
            </w:pPr>
            <w:r>
              <w:rPr>
                <w:rFonts w:hint="eastAsia" w:cs="宋体" w:asciiTheme="minorEastAsia" w:hAnsiTheme="minorEastAsia"/>
                <w:kern w:val="0"/>
                <w:sz w:val="24"/>
                <w:szCs w:val="24"/>
              </w:rPr>
              <w:t>1个营业场所、自有金库</w:t>
            </w:r>
          </w:p>
        </w:tc>
      </w:tr>
      <w:tr>
        <w:tblPrEx>
          <w:tblCellMar>
            <w:top w:w="0" w:type="dxa"/>
            <w:left w:w="108" w:type="dxa"/>
            <w:bottom w:w="0" w:type="dxa"/>
            <w:right w:w="108" w:type="dxa"/>
          </w:tblCellMar>
        </w:tblPrEx>
        <w:trPr>
          <w:trHeight w:val="480" w:hRule="atLeast"/>
        </w:trPr>
        <w:tc>
          <w:tcPr>
            <w:tcW w:w="794" w:type="pct"/>
            <w:gridSpan w:val="2"/>
            <w:tcBorders>
              <w:top w:val="nil"/>
              <w:left w:val="single" w:color="auto" w:sz="8" w:space="0"/>
              <w:bottom w:val="single" w:color="auto" w:sz="4" w:space="0"/>
              <w:right w:val="single" w:color="auto" w:sz="4" w:space="0"/>
            </w:tcBorders>
            <w:noWrap/>
            <w:vAlign w:val="center"/>
          </w:tcPr>
          <w:p>
            <w:pPr>
              <w:widowControl/>
              <w:jc w:val="center"/>
              <w:rPr>
                <w:rFonts w:cs="宋体" w:asciiTheme="minorEastAsia" w:hAnsiTheme="minorEastAsia"/>
                <w:kern w:val="0"/>
                <w:sz w:val="24"/>
                <w:szCs w:val="24"/>
              </w:rPr>
            </w:pPr>
            <w:r>
              <w:rPr>
                <w:rFonts w:hint="eastAsia" w:cs="宋体" w:asciiTheme="minorEastAsia" w:hAnsiTheme="minorEastAsia"/>
                <w:kern w:val="0"/>
                <w:sz w:val="24"/>
                <w:szCs w:val="24"/>
              </w:rPr>
              <w:t>固始支行</w:t>
            </w:r>
          </w:p>
        </w:tc>
        <w:tc>
          <w:tcPr>
            <w:tcW w:w="370" w:type="pct"/>
            <w:tcBorders>
              <w:top w:val="nil"/>
              <w:left w:val="nil"/>
              <w:bottom w:val="single" w:color="auto" w:sz="4" w:space="0"/>
              <w:right w:val="single" w:color="auto" w:sz="4" w:space="0"/>
            </w:tcBorders>
            <w:noWrap/>
            <w:vAlign w:val="center"/>
          </w:tcPr>
          <w:p>
            <w:pPr>
              <w:widowControl/>
              <w:jc w:val="center"/>
              <w:rPr>
                <w:rFonts w:cs="宋体" w:asciiTheme="minorEastAsia" w:hAnsiTheme="minorEastAsia"/>
                <w:kern w:val="0"/>
                <w:sz w:val="24"/>
                <w:szCs w:val="24"/>
              </w:rPr>
            </w:pPr>
            <w:r>
              <w:rPr>
                <w:rFonts w:hint="eastAsia" w:cs="宋体" w:asciiTheme="minorEastAsia" w:hAnsiTheme="minorEastAsia"/>
                <w:kern w:val="0"/>
                <w:sz w:val="24"/>
                <w:szCs w:val="24"/>
              </w:rPr>
              <w:t>2</w:t>
            </w:r>
          </w:p>
        </w:tc>
        <w:tc>
          <w:tcPr>
            <w:tcW w:w="442" w:type="pct"/>
            <w:tcBorders>
              <w:top w:val="nil"/>
              <w:left w:val="nil"/>
              <w:bottom w:val="single" w:color="auto" w:sz="4" w:space="0"/>
              <w:right w:val="single" w:color="auto" w:sz="4" w:space="0"/>
            </w:tcBorders>
            <w:noWrap/>
            <w:vAlign w:val="center"/>
          </w:tcPr>
          <w:p>
            <w:pPr>
              <w:widowControl/>
              <w:jc w:val="center"/>
              <w:rPr>
                <w:rFonts w:cs="宋体" w:asciiTheme="minorEastAsia" w:hAnsiTheme="minorEastAsia"/>
                <w:kern w:val="0"/>
                <w:sz w:val="24"/>
                <w:szCs w:val="24"/>
              </w:rPr>
            </w:pPr>
            <w:r>
              <w:rPr>
                <w:rFonts w:hint="eastAsia" w:cs="宋体" w:asciiTheme="minorEastAsia" w:hAnsiTheme="minorEastAsia"/>
                <w:kern w:val="0"/>
                <w:sz w:val="24"/>
                <w:szCs w:val="24"/>
              </w:rPr>
              <w:t>1</w:t>
            </w:r>
          </w:p>
        </w:tc>
        <w:tc>
          <w:tcPr>
            <w:tcW w:w="369" w:type="pct"/>
            <w:tcBorders>
              <w:top w:val="nil"/>
              <w:left w:val="nil"/>
              <w:bottom w:val="single" w:color="auto" w:sz="4" w:space="0"/>
              <w:right w:val="single" w:color="auto" w:sz="4" w:space="0"/>
            </w:tcBorders>
            <w:vAlign w:val="center"/>
          </w:tcPr>
          <w:p>
            <w:pPr>
              <w:widowControl/>
              <w:jc w:val="center"/>
              <w:rPr>
                <w:rFonts w:cs="宋体" w:asciiTheme="minorEastAsia" w:hAnsiTheme="minorEastAsia"/>
                <w:kern w:val="0"/>
                <w:sz w:val="24"/>
                <w:szCs w:val="24"/>
              </w:rPr>
            </w:pPr>
            <w:r>
              <w:rPr>
                <w:rFonts w:hint="eastAsia" w:cs="宋体" w:asciiTheme="minorEastAsia" w:hAnsiTheme="minorEastAsia"/>
                <w:kern w:val="0"/>
                <w:sz w:val="24"/>
                <w:szCs w:val="24"/>
              </w:rPr>
              <w:t>　</w:t>
            </w:r>
          </w:p>
        </w:tc>
        <w:tc>
          <w:tcPr>
            <w:tcW w:w="442" w:type="pct"/>
            <w:tcBorders>
              <w:top w:val="single" w:color="auto" w:sz="4" w:space="0"/>
              <w:left w:val="nil"/>
              <w:bottom w:val="single" w:color="auto" w:sz="4" w:space="0"/>
              <w:right w:val="single" w:color="auto" w:sz="4" w:space="0"/>
            </w:tcBorders>
          </w:tcPr>
          <w:p>
            <w:pPr>
              <w:widowControl/>
              <w:jc w:val="center"/>
              <w:rPr>
                <w:rFonts w:cs="宋体" w:asciiTheme="minorEastAsia" w:hAnsiTheme="minorEastAsia"/>
                <w:kern w:val="0"/>
                <w:sz w:val="24"/>
                <w:szCs w:val="24"/>
              </w:rPr>
            </w:pPr>
          </w:p>
        </w:tc>
        <w:tc>
          <w:tcPr>
            <w:tcW w:w="442" w:type="pct"/>
            <w:tcBorders>
              <w:top w:val="nil"/>
              <w:left w:val="single" w:color="auto" w:sz="4" w:space="0"/>
              <w:bottom w:val="single" w:color="auto" w:sz="4" w:space="0"/>
              <w:right w:val="single" w:color="auto" w:sz="4" w:space="0"/>
            </w:tcBorders>
            <w:vAlign w:val="center"/>
          </w:tcPr>
          <w:p>
            <w:pPr>
              <w:widowControl/>
              <w:jc w:val="center"/>
              <w:rPr>
                <w:rFonts w:cs="宋体" w:asciiTheme="minorEastAsia" w:hAnsiTheme="minorEastAsia"/>
                <w:kern w:val="0"/>
                <w:sz w:val="24"/>
                <w:szCs w:val="24"/>
              </w:rPr>
            </w:pPr>
            <w:r>
              <w:rPr>
                <w:rFonts w:hint="eastAsia" w:cs="宋体" w:asciiTheme="minorEastAsia" w:hAnsiTheme="minorEastAsia"/>
                <w:kern w:val="0"/>
                <w:sz w:val="24"/>
                <w:szCs w:val="24"/>
              </w:rPr>
              <w:t>　</w:t>
            </w:r>
          </w:p>
        </w:tc>
        <w:tc>
          <w:tcPr>
            <w:tcW w:w="2141" w:type="pct"/>
            <w:tcBorders>
              <w:top w:val="nil"/>
              <w:left w:val="nil"/>
              <w:bottom w:val="single" w:color="auto" w:sz="4" w:space="0"/>
              <w:right w:val="single" w:color="auto" w:sz="8" w:space="0"/>
            </w:tcBorders>
            <w:noWrap/>
            <w:vAlign w:val="bottom"/>
          </w:tcPr>
          <w:p>
            <w:pPr>
              <w:widowControl/>
              <w:jc w:val="center"/>
              <w:rPr>
                <w:rFonts w:cs="宋体" w:asciiTheme="minorEastAsia" w:hAnsiTheme="minorEastAsia"/>
                <w:kern w:val="0"/>
                <w:sz w:val="24"/>
                <w:szCs w:val="24"/>
              </w:rPr>
            </w:pPr>
            <w:r>
              <w:rPr>
                <w:rFonts w:hint="eastAsia" w:cs="宋体" w:asciiTheme="minorEastAsia" w:hAnsiTheme="minorEastAsia"/>
                <w:kern w:val="0"/>
                <w:sz w:val="24"/>
                <w:szCs w:val="24"/>
              </w:rPr>
              <w:t>2个营业场所（含2024计划新增1个）、</w:t>
            </w:r>
          </w:p>
          <w:p>
            <w:pPr>
              <w:widowControl/>
              <w:jc w:val="center"/>
              <w:rPr>
                <w:rFonts w:cs="宋体" w:asciiTheme="minorEastAsia" w:hAnsiTheme="minorEastAsia"/>
                <w:kern w:val="0"/>
                <w:sz w:val="24"/>
                <w:szCs w:val="24"/>
              </w:rPr>
            </w:pPr>
            <w:r>
              <w:rPr>
                <w:rFonts w:hint="eastAsia" w:cs="宋体" w:asciiTheme="minorEastAsia" w:hAnsiTheme="minorEastAsia"/>
                <w:kern w:val="0"/>
                <w:sz w:val="24"/>
                <w:szCs w:val="24"/>
              </w:rPr>
              <w:t>1个离行、自有金库</w:t>
            </w:r>
          </w:p>
        </w:tc>
      </w:tr>
      <w:tr>
        <w:tblPrEx>
          <w:tblCellMar>
            <w:top w:w="0" w:type="dxa"/>
            <w:left w:w="108" w:type="dxa"/>
            <w:bottom w:w="0" w:type="dxa"/>
            <w:right w:w="108" w:type="dxa"/>
          </w:tblCellMar>
        </w:tblPrEx>
        <w:trPr>
          <w:trHeight w:val="696" w:hRule="atLeast"/>
        </w:trPr>
        <w:tc>
          <w:tcPr>
            <w:tcW w:w="794" w:type="pct"/>
            <w:gridSpan w:val="2"/>
            <w:tcBorders>
              <w:top w:val="nil"/>
              <w:left w:val="single" w:color="auto" w:sz="8" w:space="0"/>
              <w:bottom w:val="single" w:color="auto" w:sz="8" w:space="0"/>
              <w:right w:val="single" w:color="auto" w:sz="4" w:space="0"/>
            </w:tcBorders>
            <w:noWrap/>
            <w:vAlign w:val="center"/>
          </w:tcPr>
          <w:p>
            <w:pPr>
              <w:widowControl/>
              <w:jc w:val="center"/>
              <w:rPr>
                <w:rFonts w:cs="宋体" w:asciiTheme="minorEastAsia" w:hAnsiTheme="minorEastAsia"/>
                <w:kern w:val="0"/>
                <w:sz w:val="24"/>
                <w:szCs w:val="24"/>
              </w:rPr>
            </w:pPr>
            <w:r>
              <w:rPr>
                <w:rFonts w:hint="eastAsia" w:cs="宋体" w:asciiTheme="minorEastAsia" w:hAnsiTheme="minorEastAsia"/>
                <w:kern w:val="0"/>
                <w:sz w:val="24"/>
                <w:szCs w:val="24"/>
              </w:rPr>
              <w:t>商城支行</w:t>
            </w:r>
          </w:p>
        </w:tc>
        <w:tc>
          <w:tcPr>
            <w:tcW w:w="370" w:type="pct"/>
            <w:tcBorders>
              <w:top w:val="nil"/>
              <w:left w:val="nil"/>
              <w:bottom w:val="single" w:color="auto" w:sz="8" w:space="0"/>
              <w:right w:val="single" w:color="auto" w:sz="4" w:space="0"/>
            </w:tcBorders>
            <w:noWrap/>
            <w:vAlign w:val="center"/>
          </w:tcPr>
          <w:p>
            <w:pPr>
              <w:widowControl/>
              <w:jc w:val="center"/>
              <w:rPr>
                <w:rFonts w:cs="宋体" w:asciiTheme="minorEastAsia" w:hAnsiTheme="minorEastAsia"/>
                <w:kern w:val="0"/>
                <w:sz w:val="24"/>
                <w:szCs w:val="24"/>
              </w:rPr>
            </w:pPr>
            <w:r>
              <w:rPr>
                <w:rFonts w:hint="eastAsia" w:cs="宋体" w:asciiTheme="minorEastAsia" w:hAnsiTheme="minorEastAsia"/>
                <w:kern w:val="0"/>
                <w:sz w:val="24"/>
                <w:szCs w:val="24"/>
              </w:rPr>
              <w:t>1</w:t>
            </w:r>
          </w:p>
        </w:tc>
        <w:tc>
          <w:tcPr>
            <w:tcW w:w="442" w:type="pct"/>
            <w:tcBorders>
              <w:top w:val="nil"/>
              <w:left w:val="nil"/>
              <w:bottom w:val="single" w:color="auto" w:sz="8" w:space="0"/>
              <w:right w:val="single" w:color="auto" w:sz="4" w:space="0"/>
            </w:tcBorders>
            <w:noWrap/>
            <w:vAlign w:val="center"/>
          </w:tcPr>
          <w:p>
            <w:pPr>
              <w:widowControl/>
              <w:jc w:val="center"/>
              <w:rPr>
                <w:rFonts w:cs="宋体" w:asciiTheme="minorEastAsia" w:hAnsiTheme="minorEastAsia"/>
                <w:kern w:val="0"/>
                <w:sz w:val="24"/>
                <w:szCs w:val="24"/>
              </w:rPr>
            </w:pPr>
            <w:r>
              <w:rPr>
                <w:rFonts w:hint="eastAsia" w:cs="宋体" w:asciiTheme="minorEastAsia" w:hAnsiTheme="minorEastAsia"/>
                <w:kern w:val="0"/>
                <w:sz w:val="24"/>
                <w:szCs w:val="24"/>
              </w:rPr>
              <w:t>1</w:t>
            </w:r>
          </w:p>
        </w:tc>
        <w:tc>
          <w:tcPr>
            <w:tcW w:w="369" w:type="pct"/>
            <w:tcBorders>
              <w:top w:val="nil"/>
              <w:left w:val="nil"/>
              <w:bottom w:val="single" w:color="auto" w:sz="8" w:space="0"/>
              <w:right w:val="single" w:color="auto" w:sz="4" w:space="0"/>
            </w:tcBorders>
            <w:vAlign w:val="center"/>
          </w:tcPr>
          <w:p>
            <w:pPr>
              <w:widowControl/>
              <w:jc w:val="center"/>
              <w:rPr>
                <w:rFonts w:cs="宋体" w:asciiTheme="minorEastAsia" w:hAnsiTheme="minorEastAsia"/>
                <w:kern w:val="0"/>
                <w:sz w:val="24"/>
                <w:szCs w:val="24"/>
              </w:rPr>
            </w:pPr>
            <w:r>
              <w:rPr>
                <w:rFonts w:hint="eastAsia" w:cs="宋体" w:asciiTheme="minorEastAsia" w:hAnsiTheme="minorEastAsia"/>
                <w:kern w:val="0"/>
                <w:sz w:val="24"/>
                <w:szCs w:val="24"/>
              </w:rPr>
              <w:t>0</w:t>
            </w:r>
          </w:p>
        </w:tc>
        <w:tc>
          <w:tcPr>
            <w:tcW w:w="442" w:type="pct"/>
            <w:tcBorders>
              <w:top w:val="single" w:color="auto" w:sz="4" w:space="0"/>
              <w:left w:val="nil"/>
              <w:bottom w:val="single" w:color="auto" w:sz="4" w:space="0"/>
              <w:right w:val="single" w:color="auto" w:sz="4" w:space="0"/>
            </w:tcBorders>
          </w:tcPr>
          <w:p>
            <w:pPr>
              <w:widowControl/>
              <w:jc w:val="center"/>
              <w:rPr>
                <w:rFonts w:cs="宋体" w:asciiTheme="minorEastAsia" w:hAnsiTheme="minorEastAsia"/>
                <w:kern w:val="0"/>
                <w:sz w:val="24"/>
                <w:szCs w:val="24"/>
              </w:rPr>
            </w:pPr>
          </w:p>
        </w:tc>
        <w:tc>
          <w:tcPr>
            <w:tcW w:w="442" w:type="pct"/>
            <w:tcBorders>
              <w:top w:val="nil"/>
              <w:left w:val="single" w:color="auto" w:sz="4" w:space="0"/>
              <w:bottom w:val="single" w:color="auto" w:sz="8" w:space="0"/>
              <w:right w:val="single" w:color="auto" w:sz="4" w:space="0"/>
            </w:tcBorders>
            <w:vAlign w:val="center"/>
          </w:tcPr>
          <w:p>
            <w:pPr>
              <w:widowControl/>
              <w:jc w:val="center"/>
              <w:rPr>
                <w:rFonts w:cs="宋体" w:asciiTheme="minorEastAsia" w:hAnsiTheme="minorEastAsia"/>
                <w:kern w:val="0"/>
                <w:sz w:val="24"/>
                <w:szCs w:val="24"/>
              </w:rPr>
            </w:pPr>
            <w:r>
              <w:rPr>
                <w:rFonts w:hint="eastAsia" w:cs="宋体" w:asciiTheme="minorEastAsia" w:hAnsiTheme="minorEastAsia"/>
                <w:kern w:val="0"/>
                <w:sz w:val="24"/>
                <w:szCs w:val="24"/>
              </w:rPr>
              <w:t>　</w:t>
            </w:r>
          </w:p>
        </w:tc>
        <w:tc>
          <w:tcPr>
            <w:tcW w:w="2141" w:type="pct"/>
            <w:tcBorders>
              <w:top w:val="nil"/>
              <w:left w:val="nil"/>
              <w:bottom w:val="single" w:color="auto" w:sz="8" w:space="0"/>
              <w:right w:val="single" w:color="auto" w:sz="8" w:space="0"/>
            </w:tcBorders>
            <w:noWrap/>
            <w:vAlign w:val="bottom"/>
          </w:tcPr>
          <w:p>
            <w:pPr>
              <w:widowControl/>
              <w:jc w:val="center"/>
              <w:rPr>
                <w:rFonts w:cs="宋体" w:asciiTheme="minorEastAsia" w:hAnsiTheme="minorEastAsia"/>
                <w:kern w:val="0"/>
                <w:sz w:val="24"/>
                <w:szCs w:val="24"/>
              </w:rPr>
            </w:pPr>
            <w:r>
              <w:rPr>
                <w:rFonts w:hint="eastAsia" w:cs="宋体" w:asciiTheme="minorEastAsia" w:hAnsiTheme="minorEastAsia"/>
                <w:kern w:val="0"/>
                <w:sz w:val="24"/>
                <w:szCs w:val="24"/>
              </w:rPr>
              <w:t>1个营业场所、1个离行、自有金库</w:t>
            </w:r>
          </w:p>
        </w:tc>
      </w:tr>
    </w:tbl>
    <w:p>
      <w:pPr>
        <w:adjustRightInd w:val="0"/>
        <w:snapToGrid w:val="0"/>
        <w:spacing w:line="560" w:lineRule="exact"/>
        <w:ind w:firstLine="640" w:firstLineChars="200"/>
        <w:rPr>
          <w:rFonts w:ascii="彩虹粗仿宋" w:hAnsi="彩虹粗仿宋" w:eastAsia="彩虹粗仿宋" w:cs="彩虹粗仿宋"/>
          <w:snapToGrid w:val="0"/>
          <w:kern w:val="0"/>
          <w:sz w:val="32"/>
          <w:szCs w:val="32"/>
        </w:rPr>
      </w:pPr>
      <w:r>
        <w:rPr>
          <w:rFonts w:hint="eastAsia" w:ascii="彩虹粗仿宋" w:hAnsi="彩虹粗仿宋" w:eastAsia="彩虹粗仿宋" w:cs="彩虹粗仿宋"/>
          <w:snapToGrid w:val="0"/>
          <w:kern w:val="0"/>
          <w:sz w:val="32"/>
          <w:szCs w:val="32"/>
        </w:rPr>
        <w:t>武装押运服务：提供12辆运钞车组，服务信阳分行辖属所有营业网点、自助设备和上门收款服务；</w:t>
      </w:r>
    </w:p>
    <w:p>
      <w:pPr>
        <w:adjustRightInd w:val="0"/>
        <w:snapToGrid w:val="0"/>
        <w:spacing w:line="560" w:lineRule="exact"/>
        <w:ind w:firstLine="640" w:firstLineChars="200"/>
        <w:rPr>
          <w:rFonts w:ascii="彩虹粗仿宋" w:hAnsi="彩虹粗仿宋" w:eastAsia="彩虹粗仿宋" w:cs="彩虹粗仿宋"/>
          <w:snapToGrid w:val="0"/>
          <w:kern w:val="0"/>
          <w:sz w:val="32"/>
          <w:szCs w:val="32"/>
        </w:rPr>
      </w:pPr>
      <w:r>
        <w:rPr>
          <w:rFonts w:hint="eastAsia" w:ascii="彩虹粗仿宋" w:hAnsi="彩虹粗仿宋" w:eastAsia="彩虹粗仿宋" w:cs="彩虹粗仿宋"/>
          <w:snapToGrid w:val="0"/>
          <w:kern w:val="0"/>
          <w:sz w:val="32"/>
          <w:szCs w:val="32"/>
        </w:rPr>
        <w:t>金库值守：提供6个岗位需要的武装守护服务。</w:t>
      </w:r>
    </w:p>
    <w:p>
      <w:pPr>
        <w:adjustRightInd w:val="0"/>
        <w:snapToGrid w:val="0"/>
        <w:spacing w:line="560" w:lineRule="exact"/>
        <w:ind w:firstLine="640" w:firstLineChars="200"/>
        <w:rPr>
          <w:rFonts w:ascii="彩虹黑体" w:hAnsi="宋体" w:eastAsia="彩虹黑体" w:cs="Times New Roman"/>
          <w:snapToGrid w:val="0"/>
          <w:kern w:val="0"/>
          <w:sz w:val="32"/>
          <w:szCs w:val="32"/>
        </w:rPr>
      </w:pPr>
    </w:p>
    <w:p>
      <w:pPr>
        <w:adjustRightInd w:val="0"/>
        <w:snapToGrid w:val="0"/>
        <w:spacing w:line="560" w:lineRule="exact"/>
        <w:ind w:firstLine="640" w:firstLineChars="200"/>
        <w:rPr>
          <w:rFonts w:ascii="彩虹黑体" w:hAnsi="宋体" w:eastAsia="彩虹黑体" w:cs="Times New Roman"/>
          <w:snapToGrid w:val="0"/>
          <w:kern w:val="0"/>
          <w:sz w:val="32"/>
          <w:szCs w:val="32"/>
        </w:rPr>
      </w:pPr>
      <w:r>
        <w:rPr>
          <w:rFonts w:hint="eastAsia" w:ascii="彩虹黑体" w:hAnsi="宋体" w:eastAsia="彩虹黑体" w:cs="Times New Roman"/>
          <w:snapToGrid w:val="0"/>
          <w:kern w:val="0"/>
          <w:sz w:val="32"/>
          <w:szCs w:val="32"/>
        </w:rPr>
        <w:t>八、款项支付要求</w:t>
      </w:r>
    </w:p>
    <w:p>
      <w:pPr>
        <w:spacing w:line="360" w:lineRule="auto"/>
        <w:ind w:firstLine="640" w:firstLineChars="200"/>
        <w:rPr>
          <w:rFonts w:ascii="彩虹粗仿宋" w:hAnsi="宋体" w:eastAsia="彩虹粗仿宋"/>
          <w:sz w:val="32"/>
          <w:szCs w:val="32"/>
        </w:rPr>
      </w:pPr>
      <w:r>
        <w:rPr>
          <w:rFonts w:hint="eastAsia" w:ascii="彩虹粗仿宋" w:hAnsi="宋体" w:eastAsia="彩虹粗仿宋"/>
          <w:sz w:val="32"/>
          <w:szCs w:val="32"/>
        </w:rPr>
        <w:t>根据合同约定按月付款，付款金额为年度价格的1/12，每月向服务方支付服务费用。我行在收到服务方提供的正规增值税专用发票、付款申请后，通过转账方式向服务方支付当月服务费用。</w:t>
      </w:r>
    </w:p>
    <w:p>
      <w:pPr>
        <w:adjustRightInd w:val="0"/>
        <w:snapToGrid w:val="0"/>
        <w:spacing w:line="560" w:lineRule="exact"/>
        <w:ind w:firstLine="640" w:firstLineChars="200"/>
        <w:rPr>
          <w:rFonts w:ascii="彩虹黑体" w:hAnsi="宋体" w:eastAsia="彩虹黑体" w:cs="Times New Roman"/>
          <w:snapToGrid w:val="0"/>
          <w:kern w:val="0"/>
          <w:sz w:val="32"/>
          <w:szCs w:val="32"/>
        </w:rPr>
      </w:pPr>
      <w:r>
        <w:rPr>
          <w:rFonts w:hint="eastAsia" w:ascii="彩虹黑体" w:hAnsi="宋体" w:eastAsia="彩虹黑体" w:cs="Times New Roman"/>
          <w:snapToGrid w:val="0"/>
          <w:kern w:val="0"/>
          <w:sz w:val="32"/>
          <w:szCs w:val="32"/>
        </w:rPr>
        <w:t>九、报价要求</w:t>
      </w:r>
    </w:p>
    <w:p>
      <w:pPr>
        <w:ind w:firstLine="640" w:firstLineChars="200"/>
        <w:rPr>
          <w:rFonts w:ascii="彩虹粗仿宋" w:eastAsia="彩虹粗仿宋"/>
          <w:sz w:val="32"/>
        </w:rPr>
      </w:pPr>
      <w:r>
        <w:rPr>
          <w:rFonts w:hint="eastAsia" w:ascii="彩虹粗仿宋" w:eastAsia="彩虹粗仿宋"/>
          <w:sz w:val="32"/>
        </w:rPr>
        <w:t>（1）报价按月进行报价，每月每车组费用预算为</w:t>
      </w:r>
      <w:r>
        <w:rPr>
          <w:rFonts w:hint="eastAsia" w:ascii="彩虹粗仿宋" w:eastAsia="彩虹粗仿宋"/>
          <w:sz w:val="32"/>
          <w:highlight w:val="yellow"/>
        </w:rPr>
        <w:t>30763</w:t>
      </w:r>
      <w:r>
        <w:rPr>
          <w:rFonts w:hint="eastAsia" w:ascii="彩虹粗仿宋" w:eastAsia="彩虹粗仿宋"/>
          <w:sz w:val="32"/>
        </w:rPr>
        <w:t>元</w:t>
      </w:r>
      <w:r>
        <w:rPr>
          <w:rFonts w:hint="eastAsia" w:ascii="彩虹粗仿宋" w:hAnsi="宋体" w:eastAsia="彩虹粗仿宋"/>
          <w:sz w:val="32"/>
          <w:szCs w:val="32"/>
        </w:rPr>
        <w:t>（含税价），报价超出预算价为无效报价</w:t>
      </w:r>
      <w:r>
        <w:rPr>
          <w:rFonts w:hint="eastAsia" w:ascii="彩虹粗仿宋" w:eastAsia="彩虹粗仿宋"/>
          <w:sz w:val="32"/>
        </w:rPr>
        <w:t>；</w:t>
      </w:r>
    </w:p>
    <w:p>
      <w:pPr>
        <w:ind w:firstLine="640" w:firstLineChars="200"/>
        <w:rPr>
          <w:rFonts w:ascii="彩虹粗仿宋" w:eastAsia="彩虹粗仿宋"/>
          <w:sz w:val="32"/>
        </w:rPr>
      </w:pPr>
      <w:r>
        <w:rPr>
          <w:rFonts w:hint="eastAsia" w:ascii="彩虹粗仿宋" w:eastAsia="彩虹粗仿宋"/>
          <w:sz w:val="32"/>
        </w:rPr>
        <w:t>（2）中心金库武装值守每月每岗2777元</w:t>
      </w:r>
      <w:r>
        <w:rPr>
          <w:rFonts w:hint="eastAsia" w:ascii="彩虹粗仿宋" w:hAnsi="宋体" w:eastAsia="彩虹粗仿宋"/>
          <w:sz w:val="32"/>
          <w:szCs w:val="32"/>
        </w:rPr>
        <w:t>（含税价），每月服务费16662元，报价超出预算价为无效报价</w:t>
      </w:r>
      <w:r>
        <w:rPr>
          <w:rFonts w:hint="eastAsia" w:ascii="彩虹粗仿宋" w:eastAsia="彩虹粗仿宋"/>
          <w:sz w:val="32"/>
        </w:rPr>
        <w:t>。</w:t>
      </w:r>
    </w:p>
    <w:p>
      <w:pPr>
        <w:adjustRightInd w:val="0"/>
        <w:snapToGrid w:val="0"/>
        <w:spacing w:line="560" w:lineRule="exact"/>
        <w:ind w:firstLine="640" w:firstLineChars="200"/>
        <w:rPr>
          <w:rFonts w:ascii="彩虹黑体" w:hAnsi="宋体" w:eastAsia="彩虹黑体" w:cs="Times New Roman"/>
          <w:snapToGrid w:val="0"/>
          <w:kern w:val="0"/>
          <w:sz w:val="32"/>
          <w:szCs w:val="32"/>
        </w:rPr>
      </w:pPr>
      <w:r>
        <w:rPr>
          <w:rFonts w:hint="eastAsia" w:ascii="彩虹黑体" w:hAnsi="宋体" w:eastAsia="彩虹黑体" w:cs="Times New Roman"/>
          <w:snapToGrid w:val="0"/>
          <w:kern w:val="0"/>
          <w:sz w:val="32"/>
          <w:szCs w:val="32"/>
        </w:rPr>
        <w:t>十、其他要求</w:t>
      </w:r>
    </w:p>
    <w:p>
      <w:pPr>
        <w:adjustRightInd w:val="0"/>
        <w:snapToGrid w:val="0"/>
        <w:spacing w:line="560" w:lineRule="exact"/>
        <w:ind w:firstLine="640" w:firstLineChars="200"/>
        <w:rPr>
          <w:rFonts w:ascii="彩虹粗仿宋" w:hAnsi="宋体" w:eastAsia="彩虹粗仿宋"/>
          <w:sz w:val="32"/>
          <w:szCs w:val="32"/>
        </w:rPr>
      </w:pPr>
      <w:r>
        <w:rPr>
          <w:rFonts w:hint="eastAsia" w:ascii="彩虹粗仿宋" w:hAnsi="宋体" w:eastAsia="彩虹粗仿宋"/>
          <w:sz w:val="32"/>
          <w:szCs w:val="32"/>
        </w:rPr>
        <w:t>无</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彩虹黑体">
    <w:panose1 w:val="03000509000000000000"/>
    <w:charset w:val="86"/>
    <w:family w:val="script"/>
    <w:pitch w:val="default"/>
    <w:sig w:usb0="00000001" w:usb1="080E0000" w:usb2="00000000" w:usb3="00000000" w:csb0="00040000" w:csb1="00000000"/>
  </w:font>
  <w:font w:name="彩虹粗仿宋">
    <w:panose1 w:val="03000509000000000000"/>
    <w:charset w:val="86"/>
    <w:family w:val="script"/>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彩虹楷体">
    <w:panose1 w:val="03000509000000000000"/>
    <w:charset w:val="86"/>
    <w:family w:val="script"/>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characterSpacingControl w:val="doNotCompress"/>
  <w:compat>
    <w:useFELayout/>
    <w:compatSetting w:name="compatibilityMode" w:uri="http://schemas.microsoft.com/office/word" w:val="12"/>
  </w:compat>
  <w:rsids>
    <w:rsidRoot w:val="00D54A80"/>
    <w:rsid w:val="00006767"/>
    <w:rsid w:val="00641F5A"/>
    <w:rsid w:val="00B536BF"/>
    <w:rsid w:val="00BD1407"/>
    <w:rsid w:val="00C91C59"/>
    <w:rsid w:val="00D54A80"/>
    <w:rsid w:val="00DE19F1"/>
    <w:rsid w:val="271C2E4D"/>
    <w:rsid w:val="62241F2F"/>
    <w:rsid w:val="7EA366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0"/>
    <w:qFormat/>
    <w:uiPriority w:val="9"/>
    <w:pPr>
      <w:keepNext/>
      <w:keepLines/>
      <w:spacing w:before="340" w:after="330" w:line="578" w:lineRule="auto"/>
      <w:outlineLvl w:val="0"/>
    </w:pPr>
    <w:rPr>
      <w:b/>
      <w:bCs/>
      <w:kern w:val="44"/>
      <w:sz w:val="44"/>
      <w:szCs w:val="44"/>
    </w:rPr>
  </w:style>
  <w:style w:type="character" w:default="1" w:styleId="8">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3">
    <w:name w:val="Plain Text"/>
    <w:basedOn w:val="1"/>
    <w:link w:val="11"/>
    <w:qFormat/>
    <w:uiPriority w:val="0"/>
    <w:rPr>
      <w:rFonts w:ascii="宋体" w:hAnsi="Courier New" w:cs="Courier New"/>
      <w:szCs w:val="21"/>
    </w:rPr>
  </w:style>
  <w:style w:type="paragraph" w:styleId="4">
    <w:name w:val="footer"/>
    <w:basedOn w:val="1"/>
    <w:link w:val="12"/>
    <w:unhideWhenUsed/>
    <w:qFormat/>
    <w:uiPriority w:val="99"/>
    <w:pPr>
      <w:tabs>
        <w:tab w:val="center" w:pos="4153"/>
        <w:tab w:val="right" w:pos="8306"/>
      </w:tabs>
      <w:snapToGrid w:val="0"/>
      <w:jc w:val="left"/>
    </w:pPr>
    <w:rPr>
      <w:sz w:val="18"/>
      <w:szCs w:val="18"/>
    </w:rPr>
  </w:style>
  <w:style w:type="paragraph" w:styleId="5">
    <w:name w:val="header"/>
    <w:basedOn w:val="1"/>
    <w:link w:val="13"/>
    <w:unhideWhenUsed/>
    <w:qFormat/>
    <w:uiPriority w:val="99"/>
    <w:pPr>
      <w:tabs>
        <w:tab w:val="center" w:pos="4153"/>
        <w:tab w:val="right" w:pos="8306"/>
      </w:tabs>
      <w:snapToGrid w:val="0"/>
      <w:jc w:val="center"/>
    </w:pPr>
    <w:rPr>
      <w:sz w:val="18"/>
      <w:szCs w:val="18"/>
    </w:rPr>
  </w:style>
  <w:style w:type="table" w:styleId="7">
    <w:name w:val="Table Grid"/>
    <w:basedOn w:val="6"/>
    <w:qFormat/>
    <w:uiPriority w:val="59"/>
    <w:pPr>
      <w:widowControl w:val="0"/>
      <w:jc w:val="both"/>
    </w:pPr>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9">
    <w:name w:val="List Paragraph"/>
    <w:basedOn w:val="1"/>
    <w:qFormat/>
    <w:uiPriority w:val="34"/>
    <w:pPr>
      <w:ind w:firstLine="420" w:firstLineChars="200"/>
    </w:pPr>
  </w:style>
  <w:style w:type="character" w:customStyle="1" w:styleId="10">
    <w:name w:val="标题 1 Char"/>
    <w:basedOn w:val="8"/>
    <w:link w:val="2"/>
    <w:qFormat/>
    <w:uiPriority w:val="9"/>
    <w:rPr>
      <w:b/>
      <w:bCs/>
      <w:kern w:val="44"/>
      <w:sz w:val="44"/>
      <w:szCs w:val="44"/>
    </w:rPr>
  </w:style>
  <w:style w:type="character" w:customStyle="1" w:styleId="11">
    <w:name w:val="纯文本 Char"/>
    <w:basedOn w:val="8"/>
    <w:link w:val="3"/>
    <w:uiPriority w:val="0"/>
    <w:rPr>
      <w:rFonts w:ascii="宋体" w:hAnsi="Courier New" w:cs="Courier New"/>
      <w:szCs w:val="21"/>
    </w:rPr>
  </w:style>
  <w:style w:type="character" w:customStyle="1" w:styleId="12">
    <w:name w:val="页脚 Char"/>
    <w:basedOn w:val="8"/>
    <w:link w:val="4"/>
    <w:qFormat/>
    <w:uiPriority w:val="99"/>
    <w:rPr>
      <w:sz w:val="18"/>
      <w:szCs w:val="18"/>
    </w:rPr>
  </w:style>
  <w:style w:type="character" w:customStyle="1" w:styleId="13">
    <w:name w:val="页眉 Char"/>
    <w:basedOn w:val="8"/>
    <w:link w:val="5"/>
    <w:qFormat/>
    <w:uiPriority w:val="99"/>
    <w:rPr>
      <w:sz w:val="18"/>
      <w:szCs w:val="18"/>
    </w:rPr>
  </w:style>
  <w:style w:type="character" w:customStyle="1" w:styleId="14">
    <w:name w:val="im-content1"/>
    <w:basedOn w:val="8"/>
    <w:qFormat/>
    <w:uiPriority w:val="0"/>
    <w:rPr>
      <w:color w:val="00000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中国建设银行股份有限公司河南省分行</Company>
  <Pages>44</Pages>
  <Words>19249</Words>
  <Characters>20192</Characters>
  <Lines>704</Lines>
  <Paragraphs>845</Paragraphs>
  <TotalTime>0</TotalTime>
  <ScaleCrop>false</ScaleCrop>
  <LinksUpToDate>false</LinksUpToDate>
  <CharactersWithSpaces>20389</CharactersWithSpaces>
  <Application>WPS Office_12.8.2.15209_F1E327BC-269C-435d-A152-05C5408002CA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2019-08-30T07:17:00Z</dcterms:created>
  <dc:creator>Apache POI</dc:creator>
  <cp:lastModifiedBy>haccb</cp:lastModifiedBy>
  <dcterms:modified xsi:type="dcterms:W3CDTF">2024-05-24T01:11:46Z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2052-12.8.2.15209</vt:lpwstr>
  </property>
  <property fmtid="{D5CDD505-2E9C-101B-9397-08002B2CF9AE}" pid="3" name="ICV">
    <vt:lpwstr>B20AF769E85945028E367539F4DCEA13_12</vt:lpwstr>
  </property>
</Properties>
</file>