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彩虹粗仿宋" w:hAnsi="宋体" w:eastAsia="彩虹粗仿宋" w:cs="Times New Roman"/>
          <w:b/>
          <w:snapToGrid w:val="0"/>
          <w:color w:val="auto"/>
          <w:kern w:val="0"/>
          <w:sz w:val="32"/>
          <w:szCs w:val="32"/>
          <w:highlight w:val="none"/>
        </w:rPr>
      </w:pPr>
      <w:bookmarkStart w:id="0" w:name="PO_NEED_DEPT"/>
      <w:r>
        <w:rPr>
          <w:rFonts w:hint="eastAsia" w:ascii="彩虹小标宋" w:hAnsi="宋体" w:eastAsia="彩虹小标宋" w:cs="Times New Roman"/>
          <w:bCs/>
          <w:snapToGrid w:val="0"/>
          <w:color w:val="auto"/>
          <w:kern w:val="0"/>
          <w:sz w:val="44"/>
          <w:szCs w:val="44"/>
          <w:highlight w:val="none"/>
        </w:rPr>
        <w:t>关于安阳分行汤阴支行、汤阴光明路支行四类金库采购需求</w:t>
      </w:r>
      <w:bookmarkEnd w:id="0"/>
    </w:p>
    <w:p>
      <w:pPr>
        <w:spacing w:line="52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rPr>
        <w:t>一、设备明细和技术参数</w:t>
      </w:r>
    </w:p>
    <w:p>
      <w:pPr>
        <w:spacing w:line="560" w:lineRule="exact"/>
        <w:ind w:firstLine="643" w:firstLineChars="200"/>
        <w:rPr>
          <w:rFonts w:ascii="彩虹粗仿宋" w:hAnsi="宋体" w:eastAsia="彩虹粗仿宋" w:cs="Times New Roman"/>
          <w:b/>
          <w:snapToGrid w:val="0"/>
          <w:color w:val="auto"/>
          <w:kern w:val="0"/>
          <w:sz w:val="32"/>
          <w:szCs w:val="32"/>
          <w:highlight w:val="none"/>
        </w:rPr>
      </w:pPr>
      <w:r>
        <w:rPr>
          <w:rFonts w:hint="eastAsia" w:ascii="彩虹粗仿宋" w:hAnsi="宋体" w:eastAsia="彩虹粗仿宋" w:cs="Times New Roman"/>
          <w:b/>
          <w:snapToGrid w:val="0"/>
          <w:color w:val="auto"/>
          <w:kern w:val="0"/>
          <w:sz w:val="32"/>
          <w:szCs w:val="32"/>
          <w:highlight w:val="none"/>
        </w:rPr>
        <w:t>（一）基本情况</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 xml:space="preserve">项目名称：安阳分行汤阴支行、汤阴光明路支行四类金库项目                         </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 xml:space="preserve">项目地址：安阳市汤阴县政通路东段路北、汤阴县光明路与文博街交叉路口往西北约70米。        </w:t>
      </w:r>
      <w:r>
        <w:rPr>
          <w:rFonts w:hint="eastAsia" w:ascii="彩虹粗仿宋" w:hAnsi="宋体" w:eastAsia="彩虹粗仿宋" w:cs="Times New Roman"/>
          <w:snapToGrid w:val="0"/>
          <w:color w:val="auto"/>
          <w:kern w:val="0"/>
          <w:sz w:val="32"/>
          <w:szCs w:val="32"/>
          <w:highlight w:val="none"/>
          <w:u w:val="single"/>
        </w:rPr>
        <w:t xml:space="preserve">                       </w:t>
      </w:r>
    </w:p>
    <w:p>
      <w:pPr>
        <w:spacing w:line="560" w:lineRule="exact"/>
        <w:ind w:firstLine="640" w:firstLineChars="200"/>
        <w:rPr>
          <w:rFonts w:ascii="彩虹粗仿宋" w:hAnsi="宋体" w:eastAsia="彩虹粗仿宋" w:cs="Times New Roman"/>
          <w:snapToGrid w:val="0"/>
          <w:color w:val="auto"/>
          <w:kern w:val="0"/>
          <w:sz w:val="32"/>
          <w:szCs w:val="32"/>
          <w:highlight w:val="none"/>
          <w:u w:val="single"/>
        </w:rPr>
      </w:pPr>
      <w:r>
        <w:rPr>
          <w:rFonts w:hint="eastAsia" w:ascii="彩虹粗仿宋" w:hAnsi="宋体" w:eastAsia="彩虹粗仿宋" w:cs="Times New Roman"/>
          <w:snapToGrid w:val="0"/>
          <w:color w:val="auto"/>
          <w:kern w:val="0"/>
          <w:sz w:val="32"/>
          <w:szCs w:val="32"/>
          <w:highlight w:val="none"/>
        </w:rPr>
        <w:t>项目项目概况和设备：本项目包括建设外形尺寸</w:t>
      </w:r>
      <w:r>
        <w:rPr>
          <w:rFonts w:ascii="彩虹粗仿宋" w:hAnsi="宋体" w:eastAsia="彩虹粗仿宋" w:cs="Times New Roman"/>
          <w:snapToGrid w:val="0"/>
          <w:color w:val="auto"/>
          <w:kern w:val="0"/>
          <w:sz w:val="32"/>
          <w:szCs w:val="32"/>
          <w:highlight w:val="none"/>
        </w:rPr>
        <w:t>1300mm*1210mm*2400mm</w:t>
      </w:r>
      <w:r>
        <w:rPr>
          <w:rFonts w:hint="eastAsia" w:ascii="彩虹粗仿宋" w:hAnsi="宋体" w:eastAsia="彩虹粗仿宋" w:cs="Times New Roman"/>
          <w:snapToGrid w:val="0"/>
          <w:color w:val="auto"/>
          <w:kern w:val="0"/>
          <w:sz w:val="32"/>
          <w:szCs w:val="32"/>
          <w:highlight w:val="none"/>
        </w:rPr>
        <w:t>（参考）国标整体四类库房两座及配套库门，附属外业务库隔离墙和防控隔离门及控制系统的安装。</w:t>
      </w:r>
      <w:r>
        <w:rPr>
          <w:rFonts w:hint="eastAsia" w:ascii="彩虹粗仿宋" w:hAnsi="宋体" w:eastAsia="彩虹粗仿宋" w:cs="Times New Roman"/>
          <w:snapToGrid w:val="0"/>
          <w:color w:val="auto"/>
          <w:kern w:val="0"/>
          <w:sz w:val="32"/>
          <w:szCs w:val="32"/>
          <w:highlight w:val="none"/>
          <w:u w:val="single"/>
        </w:rPr>
        <w:t xml:space="preserve">                   </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库房为六面体全封闭结构，库体墙、顶板、地板结构均为：4.0mm厚钢板+240</w:t>
      </w:r>
      <w:r>
        <w:rPr>
          <w:rFonts w:ascii="彩虹粗仿宋" w:hAnsi="宋体" w:eastAsia="彩虹粗仿宋" w:cs="Times New Roman"/>
          <w:snapToGrid w:val="0"/>
          <w:color w:val="auto"/>
          <w:kern w:val="0"/>
          <w:sz w:val="32"/>
          <w:szCs w:val="32"/>
          <w:highlight w:val="none"/>
        </w:rPr>
        <w:t>mm</w:t>
      </w:r>
      <w:r>
        <w:rPr>
          <w:rFonts w:hint="eastAsia" w:ascii="彩虹粗仿宋" w:hAnsi="宋体" w:eastAsia="彩虹粗仿宋" w:cs="Times New Roman"/>
          <w:snapToGrid w:val="0"/>
          <w:color w:val="auto"/>
          <w:kern w:val="0"/>
          <w:sz w:val="32"/>
          <w:szCs w:val="32"/>
          <w:highlight w:val="none"/>
        </w:rPr>
        <w:t>厚C30商品混凝土层（内有直径大于或等于12mm的热扎带肋钢筋，双层双向网状排列，网络间距应小于或等于150mm*150mm）现浇结构+4.0mm厚钢板，库体的金库门为B级单扇平开金库门。本范围内未标明事项，以设备清单为准。</w:t>
      </w:r>
    </w:p>
    <w:p>
      <w:pPr>
        <w:spacing w:line="560" w:lineRule="exact"/>
        <w:ind w:firstLine="643" w:firstLineChars="200"/>
        <w:rPr>
          <w:rFonts w:ascii="彩虹粗仿宋" w:hAnsi="宋体" w:eastAsia="彩虹粗仿宋" w:cs="Times New Roman"/>
          <w:b/>
          <w:snapToGrid w:val="0"/>
          <w:color w:val="auto"/>
          <w:kern w:val="0"/>
          <w:sz w:val="32"/>
          <w:szCs w:val="32"/>
          <w:highlight w:val="none"/>
        </w:rPr>
      </w:pPr>
      <w:r>
        <w:rPr>
          <w:rFonts w:hint="eastAsia" w:ascii="彩虹粗仿宋" w:hAnsi="宋体" w:eastAsia="彩虹粗仿宋" w:cs="Times New Roman"/>
          <w:b/>
          <w:snapToGrid w:val="0"/>
          <w:color w:val="auto"/>
          <w:kern w:val="0"/>
          <w:sz w:val="32"/>
          <w:szCs w:val="32"/>
          <w:highlight w:val="none"/>
        </w:rPr>
        <w:t>（二）设备清单如下：</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p>
    <w:tbl>
      <w:tblPr>
        <w:tblStyle w:val="6"/>
        <w:tblW w:w="8901" w:type="dxa"/>
        <w:jc w:val="center"/>
        <w:tblLayout w:type="fixed"/>
        <w:tblCellMar>
          <w:top w:w="0" w:type="dxa"/>
          <w:left w:w="108" w:type="dxa"/>
          <w:bottom w:w="0" w:type="dxa"/>
          <w:right w:w="108" w:type="dxa"/>
        </w:tblCellMar>
      </w:tblPr>
      <w:tblGrid>
        <w:gridCol w:w="456"/>
        <w:gridCol w:w="705"/>
        <w:gridCol w:w="4723"/>
        <w:gridCol w:w="765"/>
        <w:gridCol w:w="945"/>
        <w:gridCol w:w="1307"/>
      </w:tblGrid>
      <w:tr>
        <w:tblPrEx>
          <w:tblCellMar>
            <w:top w:w="0" w:type="dxa"/>
            <w:left w:w="108" w:type="dxa"/>
            <w:bottom w:w="0" w:type="dxa"/>
            <w:right w:w="108" w:type="dxa"/>
          </w:tblCellMar>
        </w:tblPrEx>
        <w:trPr>
          <w:trHeight w:val="1650" w:hRule="atLeast"/>
          <w:jc w:val="center"/>
        </w:trPr>
        <w:tc>
          <w:tcPr>
            <w:tcW w:w="456"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auto"/>
                <w:kern w:val="0"/>
                <w:sz w:val="20"/>
                <w:szCs w:val="20"/>
                <w:highlight w:val="none"/>
              </w:rPr>
            </w:pPr>
            <w:r>
              <w:rPr>
                <w:rFonts w:hint="eastAsia" w:ascii="仿宋" w:hAnsi="仿宋" w:eastAsia="仿宋" w:cs="宋体"/>
                <w:b/>
                <w:bCs/>
                <w:color w:val="auto"/>
                <w:kern w:val="0"/>
                <w:sz w:val="20"/>
                <w:szCs w:val="20"/>
                <w:highlight w:val="none"/>
              </w:rPr>
              <w:t>序号</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auto"/>
                <w:kern w:val="0"/>
                <w:sz w:val="20"/>
                <w:szCs w:val="20"/>
                <w:highlight w:val="none"/>
              </w:rPr>
            </w:pPr>
            <w:r>
              <w:rPr>
                <w:rFonts w:hint="eastAsia" w:ascii="仿宋" w:hAnsi="仿宋" w:eastAsia="仿宋" w:cs="宋体"/>
                <w:b/>
                <w:bCs/>
                <w:color w:val="auto"/>
                <w:kern w:val="0"/>
                <w:sz w:val="20"/>
                <w:szCs w:val="20"/>
                <w:highlight w:val="none"/>
              </w:rPr>
              <w:t>设施名称/系列</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auto"/>
                <w:kern w:val="0"/>
                <w:sz w:val="20"/>
                <w:szCs w:val="20"/>
                <w:highlight w:val="none"/>
              </w:rPr>
            </w:pPr>
            <w:r>
              <w:rPr>
                <w:rFonts w:hint="eastAsia" w:ascii="仿宋" w:hAnsi="仿宋" w:eastAsia="仿宋" w:cs="宋体"/>
                <w:b/>
                <w:bCs/>
                <w:color w:val="auto"/>
                <w:kern w:val="0"/>
                <w:sz w:val="20"/>
                <w:szCs w:val="20"/>
                <w:highlight w:val="none"/>
              </w:rPr>
              <w:t>主要技术参数</w:t>
            </w:r>
          </w:p>
        </w:tc>
        <w:tc>
          <w:tcPr>
            <w:tcW w:w="7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auto"/>
                <w:kern w:val="0"/>
                <w:sz w:val="20"/>
                <w:szCs w:val="20"/>
                <w:highlight w:val="none"/>
              </w:rPr>
            </w:pPr>
            <w:r>
              <w:rPr>
                <w:rFonts w:hint="eastAsia" w:ascii="仿宋" w:hAnsi="仿宋" w:eastAsia="仿宋" w:cs="宋体"/>
                <w:b/>
                <w:bCs/>
                <w:color w:val="auto"/>
                <w:kern w:val="0"/>
                <w:sz w:val="20"/>
                <w:szCs w:val="20"/>
                <w:highlight w:val="none"/>
              </w:rPr>
              <w:t>数量</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auto"/>
                <w:kern w:val="0"/>
                <w:sz w:val="20"/>
                <w:szCs w:val="20"/>
                <w:highlight w:val="none"/>
              </w:rPr>
            </w:pPr>
            <w:r>
              <w:rPr>
                <w:rFonts w:hint="eastAsia" w:ascii="仿宋" w:hAnsi="仿宋" w:eastAsia="仿宋" w:cs="宋体"/>
                <w:b/>
                <w:bCs/>
                <w:color w:val="auto"/>
                <w:kern w:val="0"/>
                <w:sz w:val="20"/>
                <w:szCs w:val="20"/>
                <w:highlight w:val="none"/>
              </w:rPr>
              <w:t>单位</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auto"/>
                <w:kern w:val="0"/>
                <w:sz w:val="20"/>
                <w:szCs w:val="20"/>
                <w:highlight w:val="none"/>
              </w:rPr>
            </w:pPr>
            <w:r>
              <w:rPr>
                <w:rFonts w:hint="eastAsia" w:ascii="仿宋" w:hAnsi="仿宋" w:eastAsia="仿宋" w:cs="宋体"/>
                <w:b/>
                <w:bCs/>
                <w:color w:val="auto"/>
                <w:kern w:val="0"/>
                <w:sz w:val="20"/>
                <w:szCs w:val="20"/>
                <w:highlight w:val="none"/>
              </w:rPr>
              <w:t>备注</w:t>
            </w:r>
          </w:p>
        </w:tc>
      </w:tr>
      <w:tr>
        <w:tblPrEx>
          <w:tblCellMar>
            <w:top w:w="0" w:type="dxa"/>
            <w:left w:w="108" w:type="dxa"/>
            <w:bottom w:w="0" w:type="dxa"/>
            <w:right w:w="108" w:type="dxa"/>
          </w:tblCellMar>
        </w:tblPrEx>
        <w:trPr>
          <w:trHeight w:val="405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智能业务库</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1、库体结构：墙、顶、底板均采用C30以上商品混凝土浇灌的厚度不低于240mm且中间采用双向双层网格间距小于或等于150mm的公称直径大于或等于12mm的热轧带肋钢筋密布的整体六面体.2、库体符合GA38-2021 相关的要求，并提供公安部门出具的</w:t>
            </w:r>
            <w:r>
              <w:rPr>
                <w:rFonts w:hint="eastAsia" w:ascii="宋体" w:hAnsi="宋体" w:eastAsia="宋体" w:cs="宋体"/>
                <w:color w:val="auto"/>
                <w:kern w:val="0"/>
                <w:sz w:val="24"/>
                <w:szCs w:val="24"/>
                <w:highlight w:val="none"/>
              </w:rPr>
              <w:t>在有效期内的</w:t>
            </w:r>
            <w:r>
              <w:rPr>
                <w:rFonts w:hint="eastAsia" w:ascii="宋体" w:hAnsi="宋体" w:eastAsia="宋体" w:cs="宋体"/>
                <w:color w:val="auto"/>
                <w:kern w:val="0"/>
                <w:sz w:val="24"/>
                <w:szCs w:val="24"/>
                <w:highlight w:val="none"/>
              </w:rPr>
              <w:t>检测报告原件的扫描件；3、业务库正面采用不锈钢金属外壳，预留前端一体机安装位置；4、业务库内</w:t>
            </w:r>
            <w:r>
              <w:rPr>
                <w:rFonts w:hint="eastAsia" w:ascii="宋体" w:hAnsi="宋体" w:eastAsia="宋体" w:cs="宋体"/>
                <w:color w:val="auto"/>
                <w:kern w:val="0"/>
                <w:sz w:val="24"/>
                <w:szCs w:val="24"/>
                <w:highlight w:val="none"/>
              </w:rPr>
              <w:t>设置不少4个仓位</w:t>
            </w:r>
            <w:r>
              <w:rPr>
                <w:rFonts w:hint="eastAsia" w:ascii="宋体" w:hAnsi="宋体" w:eastAsia="宋体" w:cs="宋体"/>
                <w:color w:val="auto"/>
                <w:kern w:val="0"/>
                <w:sz w:val="24"/>
                <w:szCs w:val="24"/>
                <w:highlight w:val="none"/>
              </w:rPr>
              <w:t>，仓位内部配置预留尾款箱识别装置安装位置；5、业务库六面应部署震动探测器（金库门、墙板、顶板、底板）；当其中任一面探测到震动时，应触发震动报警；震动探测功能应24h启用不可撤防；6、业务库应部署位移探测器，当业务库本体发生移位应触发位移报警；位移探测功能应24h启用不可撤防；7、业务库内应部署温湿度探测器，当业务库内部温湿度超过设定阀值时；应触发超温超湿报警；8、应部署覆盖整个业务库有效区域的入侵报警探测器，在布防期间内，有人闯入时应触发入侵报警；9、业务库应部署水浸探测器，当水位超过水浸探头的位置时，应触发水浸报警；10、业务库还应具备以下报警功能：a)、业务库系统发生断网报警时，应触发断网报警；b)、业务库主电掉电时，应触发主电断电报警；c)、业务库备电电量不足时，应触发备电电量不足报警；d)、尾款箱未按时出库、入库；应触发盘库报警；e)、仓门非法打开时，应触发非法开仓报警；f)、尾款箱误存、误取时，应触发误存、误取报警；g)、使用胁迫密码时，应触发胁迫报警；</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30.4</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平方米</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规格尺寸：规格尺寸：1300mm*1210mm*2400mm两个大小一样库体</w:t>
            </w:r>
          </w:p>
        </w:tc>
      </w:tr>
      <w:tr>
        <w:tblPrEx>
          <w:tblCellMar>
            <w:top w:w="0" w:type="dxa"/>
            <w:left w:w="108" w:type="dxa"/>
            <w:bottom w:w="0" w:type="dxa"/>
            <w:right w:w="108" w:type="dxa"/>
          </w:tblCellMar>
        </w:tblPrEx>
        <w:trPr>
          <w:trHeight w:val="89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业务库门</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1、业务库门符合GB 37481-2019 B级及以上要求，需提供供公安部门出具的检测报告原件扫描件；2、库门上安装双目人脸识别功能模块、指纹识别功能模块、</w:t>
            </w:r>
            <w:r>
              <w:rPr>
                <w:rFonts w:hint="eastAsia" w:ascii="宋体" w:hAnsi="宋体" w:eastAsia="宋体" w:cs="宋体"/>
                <w:color w:val="auto"/>
                <w:kern w:val="0"/>
                <w:sz w:val="24"/>
                <w:szCs w:val="24"/>
                <w:highlight w:val="none"/>
              </w:rPr>
              <w:t>3套动态密码锁，</w:t>
            </w:r>
            <w:r>
              <w:rPr>
                <w:rFonts w:hint="eastAsia" w:ascii="宋体" w:hAnsi="宋体" w:eastAsia="宋体" w:cs="宋体"/>
                <w:color w:val="auto"/>
                <w:kern w:val="0"/>
                <w:sz w:val="24"/>
                <w:szCs w:val="24"/>
                <w:highlight w:val="none"/>
              </w:rPr>
              <w:t xml:space="preserve">操作显示屏。独立开启2套动态密码锁即可开启金库门，剩余1套动态密码锁为应急锁具。应急时可通过远程授权动态密码开锁，断电时可使用外接电池。要保证在任何一把锁具损坏的情况下均可正常开启库门，符合我行的应急管理流程。双人认证，支持人脸、指纹、动态密码锁及其组合的方式。电子锁具应符合《GB37481-2019金库门通用技术要求》、《GAT 73-2015 机械防盗锁》及《GA374-2019电子防盗锁》的相关要求；3、电子锁具需与一体机进行绑定操作，未进行绑定操作的一体机不能开锁；绑定操作需在打开金库门的情况下才可进行。4、动态密码锁，支持接入新一代系统，并且满足公安部GA374-2019 B级锁认证； </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动态密码锁锁具内必须集成国密芯片，且密钥必须写入国密芯片中，不允许将锁具密钥以明文或者密文形式存储在业务库设备端；</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工作电流:待机电流 &lt;100uA、工作电流 &lt;300mA；</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锁体内存储容量：不小于1000条开关记录；</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电源供电：USB供电（断电开锁：9V碱性电池）。</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樘</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两个库各一套</w:t>
            </w:r>
          </w:p>
        </w:tc>
      </w:tr>
      <w:tr>
        <w:tblPrEx>
          <w:tblCellMar>
            <w:top w:w="0" w:type="dxa"/>
            <w:left w:w="108" w:type="dxa"/>
            <w:bottom w:w="0" w:type="dxa"/>
            <w:right w:w="108" w:type="dxa"/>
          </w:tblCellMar>
        </w:tblPrEx>
        <w:trPr>
          <w:trHeight w:val="146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前端一体机</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CPU1.8GHz及以上、四核及以上,内存4G及以上。含电容触摸屏幕、双目摄像头，指纹仪。2、触摸显示屏采用10.1寸及以上的触摸显示屏，分辨率应不低于1280*768，应采用电容式3点触摸及以上规格；3、双目摄像头具备RGB、IR两组图像传感器，分辨率应不低于200万像素；支持活体检测、较强背光、侧光、顶光、昏暗环境等恶劣条件下均能拍摄清楚用户正脸；4、人脸注册失败率≤5%，人脸识别准确率≥99.9%，人脸识别平均响应时间≤1S；5、</w:t>
            </w:r>
            <w:r>
              <w:rPr>
                <w:rFonts w:hint="eastAsia" w:ascii="宋体" w:hAnsi="宋体" w:eastAsia="宋体" w:cs="宋体"/>
                <w:color w:val="auto"/>
                <w:kern w:val="0"/>
                <w:sz w:val="24"/>
                <w:szCs w:val="24"/>
                <w:highlight w:val="none"/>
              </w:rPr>
              <w:t>指纹采集模块</w:t>
            </w:r>
            <w:r>
              <w:rPr>
                <w:rFonts w:hint="eastAsia" w:ascii="宋体" w:hAnsi="宋体" w:eastAsia="宋体" w:cs="宋体"/>
                <w:color w:val="auto"/>
                <w:kern w:val="0"/>
                <w:sz w:val="24"/>
                <w:szCs w:val="24"/>
                <w:highlight w:val="none"/>
              </w:rPr>
              <w:t>：认假率≤0.001%;拒真率≤1.8107%，</w:t>
            </w:r>
            <w:r>
              <w:rPr>
                <w:rFonts w:hint="eastAsia" w:ascii="宋体" w:hAnsi="宋体" w:eastAsia="宋体" w:cs="宋体"/>
                <w:color w:val="auto"/>
                <w:kern w:val="0"/>
                <w:sz w:val="24"/>
                <w:szCs w:val="24"/>
                <w:highlight w:val="none"/>
              </w:rPr>
              <w:t>实现前端采集，接入新一代系统进行身份验证；</w:t>
            </w:r>
            <w:r>
              <w:rPr>
                <w:rFonts w:hint="eastAsia" w:ascii="宋体" w:hAnsi="宋体" w:eastAsia="宋体" w:cs="宋体"/>
                <w:color w:val="auto"/>
                <w:kern w:val="0"/>
                <w:sz w:val="24"/>
                <w:szCs w:val="24"/>
                <w:highlight w:val="none"/>
                <w:lang w:val="en-US" w:eastAsia="zh-CN"/>
              </w:rPr>
              <w:t>推荐</w:t>
            </w:r>
            <w:r>
              <w:rPr>
                <w:rFonts w:hint="eastAsia" w:ascii="宋体" w:hAnsi="宋体" w:eastAsia="宋体" w:cs="宋体"/>
                <w:color w:val="auto"/>
                <w:kern w:val="0"/>
                <w:sz w:val="24"/>
                <w:szCs w:val="24"/>
                <w:highlight w:val="none"/>
              </w:rPr>
              <w:t>使用北京海鑫高科指纹技术有限公司，型号</w:t>
            </w:r>
            <w:r>
              <w:rPr>
                <w:rFonts w:hint="default" w:ascii="宋体" w:hAnsi="宋体" w:eastAsia="宋体" w:cs="宋体"/>
                <w:color w:val="auto"/>
                <w:kern w:val="0"/>
                <w:sz w:val="24"/>
                <w:szCs w:val="24"/>
                <w:highlight w:val="none"/>
              </w:rPr>
              <w:t>HX-F200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北京眼神智能科技有限公司，型号TCS316N或者其他达到上述标准的指纹采集模块；</w:t>
            </w:r>
            <w:r>
              <w:rPr>
                <w:rFonts w:hint="eastAsia" w:ascii="宋体" w:hAnsi="宋体" w:eastAsia="宋体" w:cs="宋体"/>
                <w:color w:val="auto"/>
                <w:kern w:val="0"/>
                <w:sz w:val="24"/>
                <w:szCs w:val="24"/>
                <w:highlight w:val="none"/>
              </w:rPr>
              <w:t>6、前端一体机支持人脸识别、指纹识别、密码等多种识别方式；支持胁迫密码，支持多人、多人验证方式加远程授权等多种验证方式；7、前端一体机内置麦克风、扬声器；可实现：a)、业务库现场人员可呼叫异地守库室，进行可视对讲； b)、发生报警时，异地守库室可通过双目摄像头及环境摄像头看到业务库现场图像；可远程对业务库现场进行喊话；可监听业务库现场是否有异常声响（撬、敲、凿、挖的声音）；</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两个库各两套</w:t>
            </w:r>
          </w:p>
        </w:tc>
      </w:tr>
      <w:tr>
        <w:tblPrEx>
          <w:tblCellMar>
            <w:top w:w="0" w:type="dxa"/>
            <w:left w:w="108" w:type="dxa"/>
            <w:bottom w:w="0" w:type="dxa"/>
            <w:right w:w="108" w:type="dxa"/>
          </w:tblCellMar>
        </w:tblPrEx>
        <w:trPr>
          <w:trHeight w:val="213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控制系统总成</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控制系统总成12V-56Ah后备电源，锁具接口，不少于4开关量采集、不少于4输出控制、网络汇聚端口不少于5个、温湿度检测、电压、电流、频率、功率、功耗检测功能；参数规格：</w:t>
            </w:r>
            <w:r>
              <w:rPr>
                <w:rFonts w:hint="eastAsia" w:ascii="宋体" w:hAnsi="宋体" w:eastAsia="宋体" w:cs="宋体"/>
                <w:color w:val="auto"/>
                <w:kern w:val="0"/>
                <w:sz w:val="24"/>
                <w:szCs w:val="24"/>
                <w:highlight w:val="none"/>
              </w:rPr>
              <w:t>长*宽在均30CM以内，</w:t>
            </w:r>
            <w:r>
              <w:rPr>
                <w:rFonts w:hint="eastAsia" w:ascii="宋体" w:hAnsi="宋体" w:eastAsia="宋体" w:cs="宋体"/>
                <w:color w:val="auto"/>
                <w:kern w:val="0"/>
                <w:sz w:val="24"/>
                <w:szCs w:val="24"/>
                <w:highlight w:val="none"/>
              </w:rPr>
              <w:t>功率：≤5W（不带负载）、360W(最大带负载能力)，工作电源：DC12V，输入电源：AC220V,上行通信口：TCP/IP网口*1，下行通信口：RS485接口*1、TCP/IP网口*4，事件记录：不少于5万条，指示：电源状态、设备运行状态、通讯状态，内置时钟，输入接口：隔离门锁状态*1、隔离门状态*1、业务门锁状态*1、业务门状态*1、自定义输入*4，输出接口：隔离门开锁*1、业务门开锁*1、自定义输出*4，</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两个库各一套</w:t>
            </w:r>
          </w:p>
        </w:tc>
      </w:tr>
      <w:tr>
        <w:tblPrEx>
          <w:tblCellMar>
            <w:top w:w="0" w:type="dxa"/>
            <w:left w:w="108" w:type="dxa"/>
            <w:bottom w:w="0" w:type="dxa"/>
            <w:right w:w="108" w:type="dxa"/>
          </w:tblCellMar>
        </w:tblPrEx>
        <w:trPr>
          <w:trHeight w:val="2394"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款箱识别系统</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款箱识别系统包含RFID读写模块不少于4个，不少于4个200万款箱；RFID读写模块采用125KHz低频识别，工作电压:DC12V、静态电流:&lt;50mA、工作温度:-10C-+60°C；在位、离位检测记录；</w:t>
            </w:r>
            <w:r>
              <w:rPr>
                <w:rFonts w:hint="eastAsia" w:ascii="宋体" w:hAnsi="宋体" w:eastAsia="宋体" w:cs="宋体"/>
                <w:color w:val="auto"/>
                <w:kern w:val="0"/>
                <w:sz w:val="24"/>
                <w:szCs w:val="24"/>
                <w:highlight w:val="none"/>
              </w:rPr>
              <w:t>款箱参数：装100元面额人民币不低于200万、顶面印建行标识。</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两个库各一套</w:t>
            </w:r>
          </w:p>
        </w:tc>
      </w:tr>
      <w:tr>
        <w:tblPrEx>
          <w:tblCellMar>
            <w:top w:w="0" w:type="dxa"/>
            <w:left w:w="108" w:type="dxa"/>
            <w:bottom w:w="0" w:type="dxa"/>
            <w:right w:w="108" w:type="dxa"/>
          </w:tblCellMar>
        </w:tblPrEx>
        <w:trPr>
          <w:trHeight w:val="435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库门防水装置</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库门防水装置当库房受到不大于2mm深的水时，能有效的防治水大量进入库房，24小时内侵入量小于0. 05 ml。采用充气压紧密封装置，系统应支持自动方式和手动方式；自动模式下库门锁具打开后应自动启动泄压，库门关闭上锁后自动充气密封；技术参数：工作电压：DC12V、充气流量：40L/min、最大压力：550KPA、功率：50W、噪声：&gt;72dB、安全泄压值：0.3mpa、压力量程范围：0-0.6mpa、工作压力：0.15-0.25mpa。</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两个库各一套</w:t>
            </w:r>
          </w:p>
        </w:tc>
      </w:tr>
      <w:tr>
        <w:tblPrEx>
          <w:tblCellMar>
            <w:top w:w="0" w:type="dxa"/>
            <w:left w:w="108" w:type="dxa"/>
            <w:bottom w:w="0" w:type="dxa"/>
            <w:right w:w="108" w:type="dxa"/>
          </w:tblCellMar>
        </w:tblPrEx>
        <w:trPr>
          <w:trHeight w:val="369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业务库管理控制平台</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1、硬件要求；ＣＰＵ：Intel(R) Core(TM) i4/4代及以上版本内存:8GB及以上、硬盘:500GB及以上容量2、远程监控中心应部署操作终端，操作终端上应集成触摸显示屏、双目摄像头、锁屏钥匙、指纹识别模块、鹅颈麦克风、扬声器、声光报警器等设备；3、操作终端触摸显示屏采用20.1寸及以上的触摸显示屏，分辨率应不低于1920*1080，应采用电容式3点触摸及以上规格；4、操作终端具备锁屏钥匙，锁屏钥匙拔下后，操作终端禁止操作；5、双目摄像头具备RGB、IR两组图像传感器，分辨率应不低于200万像素；支持活体检测、较强背光、侧光、顶光、昏暗环境等恶劣条件下均能拍摄清楚用户正脸；6、指纹认假率≤0.001%;拒真率≤1.8107%；7、操作终端支持三级用户权限管理功能，操作“登录”、“权限管理”、“远程授权”、“设备管理”、“处理报警事件”等关键功能需进行用户验证，用户验证支持用户名密码、指纹验证方式；8、操作终端应包括人员管理（使用业务库人员权限管理）、设备管理（业务库设置、尾箱管理、监控设备管理）事件管理、（出入库日志、报警日志）、系统管理（用户权限管理）等模块；9、操作终端集成鹅颈麦克风、扬声器；可实现a)、业务库现场人员可呼叫操作终端，进行可视对讲； b)、发生报警时，操作终端可通过前端一体机双目摄像头及环境摄像头看到业务库现场图像；可远程对业务库现场进行喊话；可监听业务库现场是否有异常声响（撬、敲、凿、挖的声音）；10、发生报警事件后，操作终端应能弹出报警窗口并触发异地守库室的声光报警器。</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对下辖各网点人员、组织、业务、环境等进行整体管理控制及监控</w:t>
            </w:r>
          </w:p>
        </w:tc>
      </w:tr>
      <w:tr>
        <w:tblPrEx>
          <w:tblCellMar>
            <w:top w:w="0" w:type="dxa"/>
            <w:left w:w="108" w:type="dxa"/>
            <w:bottom w:w="0" w:type="dxa"/>
            <w:right w:w="108" w:type="dxa"/>
          </w:tblCellMar>
        </w:tblPrEx>
        <w:trPr>
          <w:trHeight w:val="313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防控隔离门</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1、防控隔离门应满足GB17565-2007 的甲级防盗门的相关要求；</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2、防控隔离门应安装出入口控制装置，记录人员的出入信息；</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3、防控隔离门的出入口控制装置应具有远程控制和实时授权的功能；</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4、出入口控制系统应能对入库日期、入库时间段进行设置；</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5、防控隔离门应安装与守库室或联网监控中心联通的全双工对讲模式的语音对讲装置，音质应清晰可辨。</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两个库各一套</w:t>
            </w:r>
          </w:p>
        </w:tc>
      </w:tr>
      <w:tr>
        <w:tblPrEx>
          <w:tblCellMar>
            <w:top w:w="0" w:type="dxa"/>
            <w:left w:w="108" w:type="dxa"/>
            <w:bottom w:w="0" w:type="dxa"/>
            <w:right w:w="108" w:type="dxa"/>
          </w:tblCellMar>
        </w:tblPrEx>
        <w:trPr>
          <w:trHeight w:val="313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鱼眼摄像机</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像素:500万(5MP)传感器类型:1/2.8"低照度CMOS传感器zui低照度:彩色:0.01Lux@F1.2/黑白: 0.001Lux@F1.2快门:1/50(1/60)秒至1/10,000秒，镜头:高清镜头2.8mm@F2.0/M12日夜转换模式:IR-CUT压缩标准：H.265AI/H.265+ (兼容 H.265/H.264)压缩输出码率：0.1Mbps~8Mbps音频压缩标准:G711a支持协议:TCP/IP,HTTP, DHCP, DNS, DDNS, PPPOE, SMTP, NTP,(HTTPS, SIP, 802.1x, IPv6 可选)通讯接口:1个10/100Mbps 自适应以太网口RJ45 接口工作温度:-10C-+60°C  工作湿度:10%-90% RH电源:DC12V2A， MAX s3w尺寸:45mm*40mm*40mm</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两个库各一套</w:t>
            </w:r>
          </w:p>
        </w:tc>
      </w:tr>
      <w:tr>
        <w:tblPrEx>
          <w:tblCellMar>
            <w:top w:w="0" w:type="dxa"/>
            <w:left w:w="108" w:type="dxa"/>
            <w:bottom w:w="0" w:type="dxa"/>
            <w:right w:w="108" w:type="dxa"/>
          </w:tblCellMar>
        </w:tblPrEx>
        <w:trPr>
          <w:trHeight w:val="220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业务库隔离墙体</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结构由外向内依次为: 6mm 厚钢板+50mm 厚钢筋复合混</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凝土层(内含防钻板、防火棉、混凝土、防火焰切割板 ) +4mm 厚钢板</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56.4</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平方米</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汤阴支行18平方米，光明路支行38.4平方米</w:t>
            </w:r>
          </w:p>
        </w:tc>
      </w:tr>
      <w:tr>
        <w:tblPrEx>
          <w:tblCellMar>
            <w:top w:w="0" w:type="dxa"/>
            <w:left w:w="108" w:type="dxa"/>
            <w:bottom w:w="0" w:type="dxa"/>
            <w:right w:w="108" w:type="dxa"/>
          </w:tblCellMar>
        </w:tblPrEx>
        <w:trPr>
          <w:trHeight w:val="211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70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墙体装饰板</w:t>
            </w:r>
          </w:p>
        </w:tc>
        <w:tc>
          <w:tcPr>
            <w:tcW w:w="4723"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竹木纤维板16丝加厚PVC膜纸板材整体厚度为9mm，表面白色拉丝。</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30.8</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平方米</w:t>
            </w:r>
          </w:p>
        </w:tc>
        <w:tc>
          <w:tcPr>
            <w:tcW w:w="130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汤阴支行16平方米，光明路支行14.8平方米</w:t>
            </w:r>
          </w:p>
        </w:tc>
      </w:tr>
    </w:tbl>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（三）设备及系统实现功能</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1.上</w:t>
      </w:r>
      <w:r>
        <w:rPr>
          <w:rFonts w:hint="eastAsia" w:ascii="彩虹粗仿宋" w:hAnsi="宋体" w:eastAsia="彩虹粗仿宋" w:cs="Times New Roman"/>
          <w:snapToGrid w:val="0"/>
          <w:color w:val="auto"/>
          <w:sz w:val="32"/>
          <w:szCs w:val="32"/>
          <w:highlight w:val="none"/>
          <w:lang w:val="en-US" w:eastAsia="zh-CN" w:bidi="ar"/>
        </w:rPr>
        <w:t>述</w:t>
      </w:r>
      <w:r>
        <w:rPr>
          <w:rFonts w:hint="eastAsia" w:ascii="彩虹粗仿宋" w:hAnsi="宋体" w:eastAsia="彩虹粗仿宋" w:cs="Times New Roman"/>
          <w:snapToGrid w:val="0"/>
          <w:color w:val="auto"/>
          <w:kern w:val="0"/>
          <w:sz w:val="32"/>
          <w:szCs w:val="32"/>
          <w:highlight w:val="none"/>
        </w:rPr>
        <w:t>产品必须做到能够接入建行新一代系统、生物识别平台、安防物联管理平台、动态密码锁平台等；</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2.必须支持人员身份生物认证、开锁权限管理及查询、开柜任务维护、箱包存取数量核对、设备注册、应急开锁等系统功能，全流程实现“机控”控制。</w:t>
      </w:r>
    </w:p>
    <w:tbl>
      <w:tblPr>
        <w:tblStyle w:val="6"/>
        <w:tblW w:w="9050" w:type="dxa"/>
        <w:tblInd w:w="-145" w:type="dxa"/>
        <w:tblLayout w:type="fixed"/>
        <w:tblCellMar>
          <w:top w:w="0" w:type="dxa"/>
          <w:left w:w="108" w:type="dxa"/>
          <w:bottom w:w="0" w:type="dxa"/>
          <w:right w:w="108" w:type="dxa"/>
        </w:tblCellMar>
      </w:tblPr>
      <w:tblGrid>
        <w:gridCol w:w="856"/>
        <w:gridCol w:w="1665"/>
        <w:gridCol w:w="6529"/>
      </w:tblGrid>
      <w:tr>
        <w:tblPrEx>
          <w:tblCellMar>
            <w:top w:w="0" w:type="dxa"/>
            <w:left w:w="108" w:type="dxa"/>
            <w:bottom w:w="0" w:type="dxa"/>
            <w:right w:w="108" w:type="dxa"/>
          </w:tblCellMar>
        </w:tblPrEx>
        <w:trPr>
          <w:trHeight w:val="68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b/>
                <w:bCs/>
                <w:color w:val="auto"/>
                <w:sz w:val="24"/>
                <w:szCs w:val="24"/>
                <w:highlight w:val="none"/>
              </w:rPr>
            </w:pPr>
            <w:r>
              <w:rPr>
                <w:rFonts w:hint="eastAsia" w:ascii="彩虹粗仿宋" w:hAnsi="微软雅黑" w:eastAsia="彩虹粗仿宋" w:cs="微软雅黑"/>
                <w:b/>
                <w:bCs/>
                <w:color w:val="auto"/>
                <w:sz w:val="24"/>
                <w:szCs w:val="24"/>
                <w:highlight w:val="none"/>
              </w:rPr>
              <w:t>序号</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b/>
                <w:bCs/>
                <w:color w:val="auto"/>
                <w:sz w:val="24"/>
                <w:szCs w:val="24"/>
                <w:highlight w:val="none"/>
              </w:rPr>
            </w:pPr>
            <w:r>
              <w:rPr>
                <w:rFonts w:hint="eastAsia" w:ascii="彩虹粗仿宋" w:hAnsi="微软雅黑" w:eastAsia="彩虹粗仿宋" w:cs="微软雅黑"/>
                <w:b/>
                <w:bCs/>
                <w:color w:val="auto"/>
                <w:sz w:val="24"/>
                <w:szCs w:val="24"/>
                <w:highlight w:val="none"/>
              </w:rPr>
              <w:t>系统功能</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b/>
                <w:bCs/>
                <w:color w:val="auto"/>
                <w:sz w:val="24"/>
                <w:szCs w:val="24"/>
                <w:highlight w:val="none"/>
              </w:rPr>
            </w:pPr>
            <w:r>
              <w:rPr>
                <w:rFonts w:hint="eastAsia" w:ascii="彩虹粗仿宋" w:hAnsi="微软雅黑" w:eastAsia="彩虹粗仿宋" w:cs="微软雅黑"/>
                <w:b/>
                <w:bCs/>
                <w:color w:val="auto"/>
                <w:sz w:val="24"/>
                <w:szCs w:val="24"/>
                <w:highlight w:val="none"/>
              </w:rPr>
              <w:t>功能描述</w:t>
            </w:r>
          </w:p>
        </w:tc>
      </w:tr>
      <w:tr>
        <w:tblPrEx>
          <w:tblCellMar>
            <w:top w:w="0" w:type="dxa"/>
            <w:left w:w="108" w:type="dxa"/>
            <w:bottom w:w="0" w:type="dxa"/>
            <w:right w:w="108" w:type="dxa"/>
          </w:tblCellMar>
        </w:tblPrEx>
        <w:trPr>
          <w:trHeight w:val="1268"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系统配置</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 xml:space="preserve">1、具有系统运行参数配置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 xml:space="preserve">2、具有机构和网点进行配置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 xml:space="preserve">3、具有尾箱进行配置和管理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4、具有用户和权限进行配置和管理</w:t>
            </w:r>
          </w:p>
        </w:tc>
      </w:tr>
      <w:tr>
        <w:tblPrEx>
          <w:tblCellMar>
            <w:top w:w="0" w:type="dxa"/>
            <w:left w:w="108" w:type="dxa"/>
            <w:bottom w:w="0" w:type="dxa"/>
            <w:right w:w="108" w:type="dxa"/>
          </w:tblCellMar>
        </w:tblPrEx>
        <w:trPr>
          <w:trHeight w:val="472"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2</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信息采集</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1、具有设备前端用户指纹生物信息采集和识别功能；</w:t>
            </w:r>
          </w:p>
          <w:p>
            <w:pPr>
              <w:keepNext w:val="0"/>
              <w:keepLines w:val="0"/>
              <w:suppressLineNumbers w:val="0"/>
              <w:spacing w:before="0" w:beforeAutospacing="0" w:after="0" w:afterAutospacing="0"/>
              <w:ind w:left="0" w:right="0"/>
              <w:rPr>
                <w:rFonts w:hint="default" w:ascii="彩虹粗仿宋" w:eastAsia="彩虹粗仿宋"/>
                <w:color w:val="auto"/>
                <w:sz w:val="24"/>
                <w:szCs w:val="24"/>
                <w:highlight w:val="none"/>
              </w:rPr>
            </w:pPr>
            <w:r>
              <w:rPr>
                <w:rFonts w:hint="default" w:ascii="彩虹粗仿宋" w:hAnsi="微软雅黑" w:eastAsia="彩虹粗仿宋" w:cs="微软雅黑"/>
                <w:color w:val="auto"/>
                <w:sz w:val="24"/>
                <w:szCs w:val="24"/>
                <w:highlight w:val="none"/>
              </w:rPr>
              <w:t>2、具有设备前端用户人脸双目摄像头生物信息采集和识别功能。</w:t>
            </w:r>
          </w:p>
        </w:tc>
      </w:tr>
      <w:tr>
        <w:tblPrEx>
          <w:tblCellMar>
            <w:top w:w="0" w:type="dxa"/>
            <w:left w:w="108" w:type="dxa"/>
            <w:bottom w:w="0" w:type="dxa"/>
            <w:right w:w="108" w:type="dxa"/>
          </w:tblCellMar>
        </w:tblPrEx>
        <w:trPr>
          <w:trHeight w:val="538"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3</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尾箱存取</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1、尾箱存取操作</w:t>
            </w:r>
          </w:p>
          <w:p>
            <w:pPr>
              <w:pStyle w:val="2"/>
              <w:keepNext w:val="0"/>
              <w:keepLines w:val="0"/>
              <w:suppressLineNumbers w:val="0"/>
              <w:spacing w:before="0" w:beforeAutospacing="0" w:after="0" w:afterAutospacing="0"/>
              <w:ind w:left="0" w:right="0" w:firstLine="0" w:firstLineChars="0"/>
              <w:rPr>
                <w:rFonts w:hint="default" w:ascii="彩虹粗仿宋" w:eastAsia="彩虹粗仿宋"/>
                <w:color w:val="auto"/>
                <w:sz w:val="24"/>
                <w:highlight w:val="none"/>
              </w:rPr>
            </w:pPr>
            <w:r>
              <w:rPr>
                <w:rFonts w:hint="eastAsia" w:ascii="彩虹粗仿宋" w:eastAsia="彩虹粗仿宋"/>
                <w:color w:val="auto"/>
                <w:sz w:val="24"/>
                <w:highlight w:val="none"/>
              </w:rPr>
              <w:t>2、</w:t>
            </w:r>
            <w:r>
              <w:rPr>
                <w:rFonts w:hint="eastAsia" w:ascii="彩虹粗仿宋" w:hAnsi="微软雅黑" w:eastAsia="彩虹粗仿宋" w:cs="微软雅黑"/>
                <w:color w:val="auto"/>
                <w:sz w:val="24"/>
                <w:highlight w:val="none"/>
              </w:rPr>
              <w:t>尾箱存取数量核对</w:t>
            </w:r>
          </w:p>
        </w:tc>
      </w:tr>
      <w:tr>
        <w:tblPrEx>
          <w:tblCellMar>
            <w:top w:w="0" w:type="dxa"/>
            <w:left w:w="108" w:type="dxa"/>
            <w:bottom w:w="0" w:type="dxa"/>
            <w:right w:w="108" w:type="dxa"/>
          </w:tblCellMar>
        </w:tblPrEx>
        <w:trPr>
          <w:trHeight w:val="648"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4</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异常处理</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1、存取</w:t>
            </w:r>
            <w:r>
              <w:rPr>
                <w:rFonts w:hint="eastAsia" w:ascii="彩虹粗仿宋" w:hAnsi="微软雅黑" w:eastAsia="彩虹粗仿宋" w:cs="微软雅黑"/>
                <w:color w:val="auto"/>
                <w:sz w:val="24"/>
                <w:szCs w:val="24"/>
                <w:highlight w:val="none"/>
              </w:rPr>
              <w:t>箱操作异常报警</w:t>
            </w:r>
            <w:r>
              <w:rPr>
                <w:rFonts w:hint="default" w:ascii="彩虹粗仿宋" w:hAnsi="微软雅黑" w:eastAsia="彩虹粗仿宋" w:cs="微软雅黑"/>
                <w:color w:val="auto"/>
                <w:sz w:val="24"/>
                <w:szCs w:val="24"/>
                <w:highlight w:val="none"/>
              </w:rPr>
              <w:t xml:space="preserve">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2、操作异常后的处理</w:t>
            </w:r>
          </w:p>
        </w:tc>
      </w:tr>
      <w:tr>
        <w:tblPrEx>
          <w:tblCellMar>
            <w:top w:w="0" w:type="dxa"/>
            <w:left w:w="108" w:type="dxa"/>
            <w:bottom w:w="0" w:type="dxa"/>
            <w:right w:w="108" w:type="dxa"/>
          </w:tblCellMar>
        </w:tblPrEx>
        <w:trPr>
          <w:trHeight w:val="4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5</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库门锁具操作</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1、开锁、闭锁记录的系统化、流程化管理</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2、金库门锁具操作权限的系统管理</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3、应急操作需通过系统内应急开锁</w:t>
            </w:r>
            <w:r>
              <w:rPr>
                <w:rFonts w:hint="eastAsia" w:ascii="彩虹粗仿宋" w:hAnsi="微软雅黑" w:eastAsia="彩虹粗仿宋" w:cs="微软雅黑"/>
                <w:color w:val="auto"/>
                <w:sz w:val="24"/>
                <w:szCs w:val="24"/>
                <w:highlight w:val="none"/>
              </w:rPr>
              <w:t>码申请流程操作</w:t>
            </w:r>
          </w:p>
        </w:tc>
      </w:tr>
      <w:tr>
        <w:tblPrEx>
          <w:tblCellMar>
            <w:top w:w="0" w:type="dxa"/>
            <w:left w:w="108" w:type="dxa"/>
            <w:bottom w:w="0" w:type="dxa"/>
            <w:right w:w="108" w:type="dxa"/>
          </w:tblCellMar>
        </w:tblPrEx>
        <w:trPr>
          <w:trHeight w:val="44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6</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盘库</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1、实时盘库</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2、定时盘库</w:t>
            </w:r>
          </w:p>
          <w:p>
            <w:pPr>
              <w:pStyle w:val="2"/>
              <w:keepNext w:val="0"/>
              <w:keepLines w:val="0"/>
              <w:suppressLineNumbers w:val="0"/>
              <w:spacing w:before="0" w:beforeAutospacing="0" w:after="0" w:afterAutospacing="0"/>
              <w:ind w:left="0" w:right="0" w:firstLine="0" w:firstLineChars="0"/>
              <w:rPr>
                <w:rFonts w:hint="default" w:ascii="彩虹粗仿宋" w:eastAsia="彩虹粗仿宋"/>
                <w:color w:val="auto"/>
                <w:sz w:val="24"/>
                <w:highlight w:val="none"/>
              </w:rPr>
            </w:pPr>
            <w:r>
              <w:rPr>
                <w:rFonts w:hint="default" w:ascii="彩虹粗仿宋" w:hAnsi="微软雅黑" w:eastAsia="彩虹粗仿宋" w:cs="微软雅黑"/>
                <w:color w:val="auto"/>
                <w:sz w:val="24"/>
                <w:highlight w:val="none"/>
              </w:rPr>
              <w:t>3、箱包存取数量和具体所在舱室位置核对</w:t>
            </w:r>
          </w:p>
        </w:tc>
      </w:tr>
      <w:tr>
        <w:tblPrEx>
          <w:tblCellMar>
            <w:top w:w="0" w:type="dxa"/>
            <w:left w:w="108" w:type="dxa"/>
            <w:bottom w:w="0" w:type="dxa"/>
            <w:right w:w="108" w:type="dxa"/>
          </w:tblCellMar>
        </w:tblPrEx>
        <w:trPr>
          <w:trHeight w:val="810"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7</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应急处理</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 xml:space="preserve">1、设备故障的应急处置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 xml:space="preserve">2、网络故障的应急处置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 xml:space="preserve">3、金库门锁具可通过应急开锁码进行应急处置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4、其他异常情况的应急处置</w:t>
            </w:r>
          </w:p>
        </w:tc>
      </w:tr>
      <w:tr>
        <w:tblPrEx>
          <w:tblCellMar>
            <w:top w:w="0" w:type="dxa"/>
            <w:left w:w="108" w:type="dxa"/>
            <w:bottom w:w="0" w:type="dxa"/>
            <w:right w:w="108" w:type="dxa"/>
          </w:tblCellMar>
        </w:tblPrEx>
        <w:trPr>
          <w:trHeight w:val="540"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8</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尾箱存取控制</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1、存取</w:t>
            </w:r>
            <w:r>
              <w:rPr>
                <w:rFonts w:hint="eastAsia" w:ascii="彩虹粗仿宋" w:hAnsi="微软雅黑" w:eastAsia="彩虹粗仿宋" w:cs="微软雅黑"/>
                <w:color w:val="auto"/>
                <w:sz w:val="24"/>
                <w:szCs w:val="24"/>
                <w:highlight w:val="none"/>
              </w:rPr>
              <w:t>箱人员的管控</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2、存取箱时间的管控</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3、存取箱次数的管控</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4、开门超时控制</w:t>
            </w:r>
          </w:p>
        </w:tc>
      </w:tr>
      <w:tr>
        <w:tblPrEx>
          <w:tblCellMar>
            <w:top w:w="0" w:type="dxa"/>
            <w:left w:w="108" w:type="dxa"/>
            <w:bottom w:w="0" w:type="dxa"/>
            <w:right w:w="108" w:type="dxa"/>
          </w:tblCellMar>
        </w:tblPrEx>
        <w:trPr>
          <w:trHeight w:val="652"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9</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日志报表</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1、系统有存取</w:t>
            </w:r>
            <w:r>
              <w:rPr>
                <w:rFonts w:hint="eastAsia" w:ascii="彩虹粗仿宋" w:hAnsi="微软雅黑" w:eastAsia="彩虹粗仿宋" w:cs="微软雅黑"/>
                <w:color w:val="auto"/>
                <w:sz w:val="24"/>
                <w:szCs w:val="24"/>
                <w:highlight w:val="none"/>
              </w:rPr>
              <w:t>箱操作日志、盘库记录和报表</w:t>
            </w:r>
            <w:r>
              <w:rPr>
                <w:rFonts w:hint="default" w:ascii="彩虹粗仿宋" w:hAnsi="微软雅黑" w:eastAsia="彩虹粗仿宋" w:cs="微软雅黑"/>
                <w:color w:val="auto"/>
                <w:sz w:val="24"/>
                <w:szCs w:val="24"/>
                <w:highlight w:val="none"/>
              </w:rPr>
              <w:t xml:space="preserve">              </w:t>
            </w:r>
          </w:p>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2、日志和报表可查询和筛选</w:t>
            </w:r>
          </w:p>
        </w:tc>
      </w:tr>
      <w:tr>
        <w:tblPrEx>
          <w:tblCellMar>
            <w:top w:w="0" w:type="dxa"/>
            <w:left w:w="108" w:type="dxa"/>
            <w:bottom w:w="0" w:type="dxa"/>
            <w:right w:w="108" w:type="dxa"/>
          </w:tblCellMar>
        </w:tblPrEx>
        <w:trPr>
          <w:trHeight w:val="90"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10</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安全防控</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配合我行安防工程商进行设备安装和联网测试</w:t>
            </w:r>
          </w:p>
        </w:tc>
      </w:tr>
      <w:tr>
        <w:tblPrEx>
          <w:tblCellMar>
            <w:top w:w="0" w:type="dxa"/>
            <w:left w:w="108" w:type="dxa"/>
            <w:bottom w:w="0" w:type="dxa"/>
            <w:right w:w="108" w:type="dxa"/>
          </w:tblCellMar>
        </w:tblPrEx>
        <w:trPr>
          <w:trHeight w:val="867"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11</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系统接入</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能与中国建设银行生物识别平台、中国建设银行新一代系统、中国建设银行安防物联管理平台和中国建设银行动态密码锁平台无缝对接，无需进行兼容性开发。</w:t>
            </w:r>
          </w:p>
        </w:tc>
      </w:tr>
      <w:tr>
        <w:tblPrEx>
          <w:tblCellMar>
            <w:top w:w="0" w:type="dxa"/>
            <w:left w:w="108" w:type="dxa"/>
            <w:bottom w:w="0" w:type="dxa"/>
            <w:right w:w="108" w:type="dxa"/>
          </w:tblCellMar>
        </w:tblPrEx>
        <w:trPr>
          <w:trHeight w:val="867" w:hRule="atLeast"/>
        </w:trPr>
        <w:tc>
          <w:tcPr>
            <w:tcW w:w="85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default" w:ascii="彩虹粗仿宋" w:hAnsi="微软雅黑" w:eastAsia="彩虹粗仿宋" w:cs="微软雅黑"/>
                <w:color w:val="auto"/>
                <w:sz w:val="24"/>
                <w:szCs w:val="24"/>
                <w:highlight w:val="none"/>
              </w:rPr>
              <w:t>12</w:t>
            </w:r>
          </w:p>
        </w:tc>
        <w:tc>
          <w:tcPr>
            <w:tcW w:w="166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四类库库门与防控隔离门联动控制</w:t>
            </w:r>
          </w:p>
        </w:tc>
        <w:tc>
          <w:tcPr>
            <w:tcW w:w="6529"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rPr>
                <w:rFonts w:hint="default" w:ascii="彩虹粗仿宋" w:hAnsi="微软雅黑" w:eastAsia="彩虹粗仿宋" w:cs="微软雅黑"/>
                <w:color w:val="auto"/>
                <w:sz w:val="24"/>
                <w:szCs w:val="24"/>
                <w:highlight w:val="none"/>
              </w:rPr>
            </w:pPr>
            <w:r>
              <w:rPr>
                <w:rFonts w:hint="eastAsia" w:ascii="彩虹粗仿宋" w:hAnsi="微软雅黑" w:eastAsia="彩虹粗仿宋" w:cs="微软雅黑"/>
                <w:color w:val="auto"/>
                <w:sz w:val="24"/>
                <w:szCs w:val="24"/>
                <w:highlight w:val="none"/>
              </w:rPr>
              <w:t>支持互锁联动，支持两门互锁功能、反潜回功能、中心远程开门功能，支持读卡器防拆报警、门未关妥报警、门被外力开起报警等功能</w:t>
            </w:r>
          </w:p>
        </w:tc>
      </w:tr>
    </w:tbl>
    <w:p>
      <w:pPr>
        <w:spacing w:line="56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lang w:val="en-US" w:eastAsia="zh-CN"/>
        </w:rPr>
        <w:t>二</w:t>
      </w:r>
      <w:r>
        <w:rPr>
          <w:rFonts w:hint="eastAsia" w:ascii="彩虹黑体" w:hAnsi="宋体" w:eastAsia="彩虹黑体" w:cs="Times New Roman"/>
          <w:snapToGrid w:val="0"/>
          <w:color w:val="auto"/>
          <w:kern w:val="0"/>
          <w:sz w:val="32"/>
          <w:szCs w:val="32"/>
          <w:highlight w:val="none"/>
        </w:rPr>
        <w:t>、质量要求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1.工期要求：工期30日历天;</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2.质量标准：合格;</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3.承包方式：按设备清点供货和安装;</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4.其他：中标人不得以任何形式将项目内容进行转包、违法分包。</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5.质量标准要求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（1）本金库建设安装相关技术规范</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 38-2021 </w:t>
      </w:r>
      <w:r>
        <w:rPr>
          <w:rFonts w:hint="eastAsia" w:ascii="彩虹粗仿宋" w:hAnsi="宋体" w:eastAsia="彩虹粗仿宋" w:cs="Times New Roman"/>
          <w:snapToGrid w:val="0"/>
          <w:color w:val="auto"/>
          <w:kern w:val="0"/>
          <w:sz w:val="32"/>
          <w:szCs w:val="32"/>
          <w:highlight w:val="none"/>
        </w:rPr>
        <w:t>银行安全防范要求》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 37481-2019 </w:t>
      </w:r>
      <w:r>
        <w:rPr>
          <w:rFonts w:hint="eastAsia" w:ascii="彩虹粗仿宋" w:hAnsi="宋体" w:eastAsia="彩虹粗仿宋" w:cs="Times New Roman"/>
          <w:snapToGrid w:val="0"/>
          <w:color w:val="auto"/>
          <w:kern w:val="0"/>
          <w:sz w:val="32"/>
          <w:szCs w:val="32"/>
          <w:highlight w:val="none"/>
        </w:rPr>
        <w:t>金库门通用技术要求》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《GB/T 1499.2-2018钢筋混凝土用钢 第2部分：热轧带肋钢筋》</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 745-2017 </w:t>
      </w:r>
      <w:r>
        <w:rPr>
          <w:rFonts w:hint="eastAsia" w:ascii="彩虹粗仿宋" w:hAnsi="宋体" w:eastAsia="彩虹粗仿宋" w:cs="Times New Roman"/>
          <w:snapToGrid w:val="0"/>
          <w:color w:val="auto"/>
          <w:kern w:val="0"/>
          <w:sz w:val="32"/>
          <w:szCs w:val="32"/>
          <w:highlight w:val="none"/>
        </w:rPr>
        <w:t>银行自助设备、自助银行安全防范要求》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 858-2010 </w:t>
      </w:r>
      <w:r>
        <w:rPr>
          <w:rFonts w:hint="eastAsia" w:ascii="彩虹粗仿宋" w:hAnsi="宋体" w:eastAsia="彩虹粗仿宋" w:cs="Times New Roman"/>
          <w:snapToGrid w:val="0"/>
          <w:color w:val="auto"/>
          <w:kern w:val="0"/>
          <w:sz w:val="32"/>
          <w:szCs w:val="32"/>
          <w:highlight w:val="none"/>
        </w:rPr>
        <w:t>银行业务库安全防范的要求》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 37078-2018 </w:t>
      </w:r>
      <w:r>
        <w:rPr>
          <w:rFonts w:hint="eastAsia" w:ascii="彩虹粗仿宋" w:hAnsi="宋体" w:eastAsia="彩虹粗仿宋" w:cs="Times New Roman"/>
          <w:snapToGrid w:val="0"/>
          <w:color w:val="auto"/>
          <w:kern w:val="0"/>
          <w:sz w:val="32"/>
          <w:szCs w:val="32"/>
          <w:highlight w:val="none"/>
        </w:rPr>
        <w:t>出入口控制系统技术要求》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GA/T 73-2015 </w:t>
      </w:r>
      <w:r>
        <w:rPr>
          <w:rFonts w:hint="eastAsia" w:ascii="彩虹粗仿宋" w:hAnsi="宋体" w:eastAsia="彩虹粗仿宋" w:cs="Times New Roman"/>
          <w:snapToGrid w:val="0"/>
          <w:color w:val="auto"/>
          <w:kern w:val="0"/>
          <w:sz w:val="32"/>
          <w:szCs w:val="32"/>
          <w:highlight w:val="none"/>
        </w:rPr>
        <w:t>机械防盗锁》</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 374-2019  </w:t>
      </w:r>
      <w:r>
        <w:rPr>
          <w:rFonts w:hint="eastAsia" w:ascii="彩虹粗仿宋" w:hAnsi="宋体" w:eastAsia="彩虹粗仿宋" w:cs="Times New Roman"/>
          <w:snapToGrid w:val="0"/>
          <w:color w:val="auto"/>
          <w:kern w:val="0"/>
          <w:sz w:val="32"/>
          <w:szCs w:val="32"/>
          <w:highlight w:val="none"/>
        </w:rPr>
        <w:t>电子防盗锁》</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GB/T 10409-2019 </w:t>
      </w:r>
      <w:r>
        <w:rPr>
          <w:rFonts w:hint="eastAsia" w:ascii="彩虹粗仿宋" w:hAnsi="宋体" w:eastAsia="彩虹粗仿宋" w:cs="Times New Roman"/>
          <w:snapToGrid w:val="0"/>
          <w:color w:val="auto"/>
          <w:kern w:val="0"/>
          <w:sz w:val="32"/>
          <w:szCs w:val="32"/>
          <w:highlight w:val="none"/>
        </w:rPr>
        <w:t>防盗保险柜》</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GA/T 405-2002 </w:t>
      </w:r>
      <w:r>
        <w:rPr>
          <w:rFonts w:hint="eastAsia" w:ascii="彩虹粗仿宋" w:hAnsi="宋体" w:eastAsia="彩虹粗仿宋" w:cs="Times New Roman"/>
          <w:snapToGrid w:val="0"/>
          <w:color w:val="auto"/>
          <w:kern w:val="0"/>
          <w:sz w:val="32"/>
          <w:szCs w:val="32"/>
          <w:highlight w:val="none"/>
        </w:rPr>
        <w:t>安全技术防范产品分类与代码》</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 17565-2007 </w:t>
      </w:r>
      <w:r>
        <w:rPr>
          <w:rFonts w:hint="eastAsia" w:ascii="彩虹粗仿宋" w:hAnsi="宋体" w:eastAsia="彩虹粗仿宋" w:cs="Times New Roman"/>
          <w:snapToGrid w:val="0"/>
          <w:color w:val="auto"/>
          <w:kern w:val="0"/>
          <w:sz w:val="32"/>
          <w:szCs w:val="32"/>
          <w:highlight w:val="none"/>
        </w:rPr>
        <w:t>防盗安全门通用技术条件》</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 50348-2018 </w:t>
      </w:r>
      <w:r>
        <w:rPr>
          <w:rFonts w:hint="eastAsia" w:ascii="彩虹粗仿宋" w:hAnsi="宋体" w:eastAsia="彩虹粗仿宋" w:cs="Times New Roman"/>
          <w:snapToGrid w:val="0"/>
          <w:color w:val="auto"/>
          <w:kern w:val="0"/>
          <w:sz w:val="32"/>
          <w:szCs w:val="32"/>
          <w:highlight w:val="none"/>
        </w:rPr>
        <w:t>安全防范工程技术标准》</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GB/T 15211-2013  </w:t>
      </w:r>
      <w:r>
        <w:rPr>
          <w:rFonts w:hint="eastAsia" w:ascii="彩虹粗仿宋" w:hAnsi="宋体" w:eastAsia="彩虹粗仿宋" w:cs="Times New Roman"/>
          <w:snapToGrid w:val="0"/>
          <w:color w:val="auto"/>
          <w:kern w:val="0"/>
          <w:sz w:val="32"/>
          <w:szCs w:val="32"/>
          <w:highlight w:val="none"/>
        </w:rPr>
        <w:t>安全防范报警设备</w:t>
      </w:r>
      <w:r>
        <w:rPr>
          <w:rFonts w:ascii="彩虹粗仿宋" w:hAnsi="宋体" w:eastAsia="彩虹粗仿宋" w:cs="Times New Roman"/>
          <w:snapToGrid w:val="0"/>
          <w:color w:val="auto"/>
          <w:kern w:val="0"/>
          <w:sz w:val="32"/>
          <w:szCs w:val="32"/>
          <w:highlight w:val="none"/>
        </w:rPr>
        <w:t xml:space="preserve"> </w:t>
      </w:r>
      <w:r>
        <w:rPr>
          <w:rFonts w:hint="eastAsia" w:ascii="彩虹粗仿宋" w:hAnsi="宋体" w:eastAsia="彩虹粗仿宋" w:cs="Times New Roman"/>
          <w:snapToGrid w:val="0"/>
          <w:color w:val="auto"/>
          <w:kern w:val="0"/>
          <w:sz w:val="32"/>
          <w:szCs w:val="32"/>
          <w:highlight w:val="none"/>
        </w:rPr>
        <w:t>环境适应性要求和试验方法》</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GA/T 1127-2013  </w:t>
      </w:r>
      <w:r>
        <w:rPr>
          <w:rFonts w:hint="eastAsia" w:ascii="彩虹粗仿宋" w:hAnsi="宋体" w:eastAsia="彩虹粗仿宋" w:cs="Times New Roman"/>
          <w:snapToGrid w:val="0"/>
          <w:color w:val="auto"/>
          <w:kern w:val="0"/>
          <w:sz w:val="32"/>
          <w:szCs w:val="32"/>
          <w:highlight w:val="none"/>
        </w:rPr>
        <w:t>安全防范视频监控摄像机通用技术要求》</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GA/T 1128-2013  </w:t>
      </w:r>
      <w:r>
        <w:rPr>
          <w:rFonts w:hint="eastAsia" w:ascii="彩虹粗仿宋" w:hAnsi="宋体" w:eastAsia="彩虹粗仿宋" w:cs="Times New Roman"/>
          <w:snapToGrid w:val="0"/>
          <w:color w:val="auto"/>
          <w:kern w:val="0"/>
          <w:sz w:val="32"/>
          <w:szCs w:val="32"/>
          <w:highlight w:val="none"/>
        </w:rPr>
        <w:t>安全防范视频监控高清晰度摄像机测量方法》</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《GB 16796-2009 安全防范报警设备 安全要求和试验方法》</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《GB/T 28181-2016公共安全视频监控联网系统信息传输、交换、控制技术要求》</w:t>
      </w:r>
    </w:p>
    <w:p>
      <w:pPr>
        <w:spacing w:line="560" w:lineRule="exact"/>
        <w:ind w:left="210" w:leftChars="100" w:firstLine="480" w:firstLineChars="15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w:t>
      </w:r>
      <w:r>
        <w:rPr>
          <w:rFonts w:ascii="彩虹粗仿宋" w:hAnsi="宋体" w:eastAsia="彩虹粗仿宋" w:cs="Times New Roman"/>
          <w:snapToGrid w:val="0"/>
          <w:color w:val="auto"/>
          <w:kern w:val="0"/>
          <w:sz w:val="32"/>
          <w:szCs w:val="32"/>
          <w:highlight w:val="none"/>
        </w:rPr>
        <w:t xml:space="preserve">GB/T 35114-2017  </w:t>
      </w:r>
      <w:r>
        <w:rPr>
          <w:rFonts w:hint="eastAsia" w:ascii="彩虹粗仿宋" w:hAnsi="宋体" w:eastAsia="彩虹粗仿宋" w:cs="Times New Roman"/>
          <w:snapToGrid w:val="0"/>
          <w:color w:val="auto"/>
          <w:kern w:val="0"/>
          <w:sz w:val="32"/>
          <w:szCs w:val="32"/>
          <w:highlight w:val="none"/>
        </w:rPr>
        <w:t>公共安全视频监控联网信息安全技术要求》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上述规范以外，遵循国家现行的规范和标准要求。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（2）本项目所需材料都应符合国家颁布的相关产品质量要求，业务库门、前端一体机、库门防水装置、防控隔离门、鱼眼摄像机在交货时须附有出厂合格证书原件，智能业务库须附有质量证书或试验报告。</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6.现场踏勘要求：投标人可根据需要自行踏勘。</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7.设备安装过程中招标人不提供中标人施工食宿场地。</w:t>
      </w:r>
    </w:p>
    <w:p>
      <w:pPr>
        <w:spacing w:line="56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lang w:val="en-US" w:eastAsia="zh-CN"/>
        </w:rPr>
        <w:t>三</w:t>
      </w:r>
      <w:r>
        <w:rPr>
          <w:rFonts w:hint="eastAsia" w:ascii="彩虹黑体" w:hAnsi="宋体" w:eastAsia="彩虹黑体" w:cs="Times New Roman"/>
          <w:snapToGrid w:val="0"/>
          <w:color w:val="auto"/>
          <w:kern w:val="0"/>
          <w:sz w:val="32"/>
          <w:szCs w:val="32"/>
          <w:highlight w:val="none"/>
        </w:rPr>
        <w:t>、供货、安装施工及验收要求</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本次采购设备送到指定地点、中标人安装调试完成、</w:t>
      </w:r>
      <w:r>
        <w:rPr>
          <w:rFonts w:hint="eastAsia" w:ascii="彩虹粗仿宋" w:hAnsi="宋体" w:eastAsia="彩虹粗仿宋" w:cs="Times New Roman"/>
          <w:snapToGrid w:val="0"/>
          <w:color w:val="auto"/>
          <w:kern w:val="0"/>
          <w:sz w:val="32"/>
          <w:szCs w:val="32"/>
          <w:highlight w:val="none"/>
        </w:rPr>
        <w:t>设备及系统各项功能均达到要求、中标人自检合格后</w:t>
      </w:r>
      <w:r>
        <w:rPr>
          <w:rFonts w:hint="eastAsia" w:ascii="彩虹粗仿宋" w:hAnsi="宋体" w:eastAsia="彩虹粗仿宋" w:cs="Times New Roman"/>
          <w:snapToGrid w:val="0"/>
          <w:color w:val="auto"/>
          <w:kern w:val="0"/>
          <w:sz w:val="32"/>
          <w:szCs w:val="32"/>
          <w:highlight w:val="none"/>
        </w:rPr>
        <w:t>，中标人备齐设备技术资料及检测报告和安装调试报告、及时通知招标人，由招标人组织相关人员进行验收。</w:t>
      </w:r>
    </w:p>
    <w:p>
      <w:pPr>
        <w:spacing w:line="56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招标人验收合格后，申请公安机关进行验收，公安机关验收合格后，中标人提出书面申请，办理结算付款，公安机关验收不合格，不办理办理结算付款。</w:t>
      </w:r>
      <w:r>
        <w:rPr>
          <w:rFonts w:hint="eastAsia" w:ascii="彩虹粗仿宋" w:hAnsi="宋体" w:eastAsia="彩虹粗仿宋" w:cs="Times New Roman"/>
          <w:snapToGrid w:val="0"/>
          <w:color w:val="auto"/>
          <w:kern w:val="0"/>
          <w:sz w:val="32"/>
          <w:szCs w:val="32"/>
          <w:highlight w:val="none"/>
        </w:rPr>
        <w:t>若招标人连续两次验收不通过、或公安机关两次验收不通过、或招标人验收合格后三个月内不能取得公安机关验收合格手续（包括且不限于库房需取得公安机关颁发的“安全防范设施合格证”），本采购终止，招标人不再支付所有采购款项，</w:t>
      </w:r>
      <w:r>
        <w:rPr>
          <w:rFonts w:hint="eastAsia" w:ascii="彩虹粗仿宋" w:hAnsi="宋体" w:eastAsia="彩虹粗仿宋" w:cs="Times New Roman"/>
          <w:snapToGrid w:val="0"/>
          <w:color w:val="auto"/>
          <w:kern w:val="0"/>
          <w:sz w:val="32"/>
          <w:szCs w:val="32"/>
          <w:highlight w:val="none"/>
        </w:rPr>
        <w:t>投标人已安装的设备及系统归甲方所有。</w:t>
      </w:r>
      <w:r>
        <w:rPr>
          <w:rFonts w:hint="eastAsia" w:ascii="彩虹粗仿宋" w:hAnsi="宋体" w:eastAsia="彩虹粗仿宋" w:cs="Times New Roman"/>
          <w:snapToGrid w:val="0"/>
          <w:color w:val="auto"/>
          <w:kern w:val="0"/>
          <w:sz w:val="32"/>
          <w:szCs w:val="32"/>
          <w:highlight w:val="none"/>
        </w:rPr>
        <w:t>无论验收合格与否，每次因验收产生的费用均由中标人负责。</w:t>
      </w:r>
    </w:p>
    <w:p>
      <w:pPr>
        <w:spacing w:line="56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lang w:val="en-US" w:eastAsia="zh-CN"/>
        </w:rPr>
        <w:t>四</w:t>
      </w:r>
      <w:r>
        <w:rPr>
          <w:rFonts w:hint="eastAsia" w:ascii="彩虹黑体" w:hAnsi="宋体" w:eastAsia="彩虹黑体" w:cs="Times New Roman"/>
          <w:snapToGrid w:val="0"/>
          <w:color w:val="auto"/>
          <w:kern w:val="0"/>
          <w:sz w:val="32"/>
          <w:szCs w:val="32"/>
          <w:highlight w:val="none"/>
        </w:rPr>
        <w:t>、售后服务要求</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1.自公安机关验收合格之日起，中标人对供应设备应提供至少5年免费质保。</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2.响应修复最低时间应满足：接到通知后24小时内到达现场，48小时内完成维修工作。</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3.中标人应提供售后服务联系电话和联系人，如有变更需及时通知，并确保用户每年365天每天24小时内能获得及时的电话咨询服务。</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4.项目质保期内，至少每1个月1次电话回访，每3个月1次为用户提供现场维护保养和指导。</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5.若质保期内出现质量问题中标人未及时响应的，招标人有权委托第三方进行维修，维修费用从质保金中抵扣，抵扣后仍有不足的由中标人承担。</w:t>
      </w:r>
    </w:p>
    <w:p>
      <w:pPr>
        <w:spacing w:line="56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lang w:val="en-US" w:eastAsia="zh-CN"/>
        </w:rPr>
        <w:t>五</w:t>
      </w:r>
      <w:r>
        <w:rPr>
          <w:rFonts w:hint="eastAsia" w:ascii="彩虹黑体" w:hAnsi="宋体" w:eastAsia="彩虹黑体" w:cs="Times New Roman"/>
          <w:snapToGrid w:val="0"/>
          <w:color w:val="auto"/>
          <w:kern w:val="0"/>
          <w:sz w:val="32"/>
          <w:szCs w:val="32"/>
          <w:highlight w:val="none"/>
        </w:rPr>
        <w:t>、款项支付要求</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第一次付款，待项目完工、经公安机关验收合格后，由中标人提交付款申请及验收合格报告、出具合法的全额增值税专用发票后，支付95%</w:t>
      </w:r>
      <w:r>
        <w:rPr>
          <w:rFonts w:hint="eastAsia" w:ascii="彩虹粗仿宋" w:hAnsi="宋体" w:eastAsia="彩虹粗仿宋" w:cs="Times New Roman"/>
          <w:snapToGrid w:val="0"/>
          <w:color w:val="auto"/>
          <w:kern w:val="0"/>
          <w:sz w:val="32"/>
          <w:szCs w:val="32"/>
          <w:highlight w:val="none"/>
          <w:lang w:val="en-US" w:eastAsia="zh-CN"/>
        </w:rPr>
        <w:t>合同</w:t>
      </w:r>
      <w:r>
        <w:rPr>
          <w:rFonts w:hint="eastAsia" w:ascii="彩虹粗仿宋" w:hAnsi="宋体" w:eastAsia="彩虹粗仿宋" w:cs="Times New Roman"/>
          <w:snapToGrid w:val="0"/>
          <w:color w:val="auto"/>
          <w:kern w:val="0"/>
          <w:sz w:val="32"/>
          <w:szCs w:val="32"/>
          <w:highlight w:val="none"/>
        </w:rPr>
        <w:t>款。</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第二次付款，项目合同总金额的5％作为保修金，待保修期满后支付。招标人在项目质保期满后的15个工作日内无息结清全部余款5%。招标人向中标人一次性付清。</w:t>
      </w:r>
    </w:p>
    <w:p>
      <w:pPr>
        <w:spacing w:line="56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lang w:val="en-US" w:eastAsia="zh-CN"/>
        </w:rPr>
        <w:t>六</w:t>
      </w:r>
      <w:r>
        <w:rPr>
          <w:rFonts w:hint="eastAsia" w:ascii="彩虹黑体" w:hAnsi="宋体" w:eastAsia="彩虹黑体" w:cs="Times New Roman"/>
          <w:snapToGrid w:val="0"/>
          <w:color w:val="auto"/>
          <w:kern w:val="0"/>
          <w:sz w:val="32"/>
          <w:szCs w:val="32"/>
          <w:highlight w:val="none"/>
        </w:rPr>
        <w:t>、报价要求</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投标人必须按我行提供的设备清单进行报价，报价为含税价格，总价款不得超出预算。供应商报价应包括设备价款、运输安装费、</w:t>
      </w:r>
      <w:r>
        <w:rPr>
          <w:rFonts w:hint="eastAsia" w:ascii="彩虹粗仿宋" w:hAnsi="宋体" w:eastAsia="彩虹粗仿宋" w:cs="Times New Roman"/>
          <w:snapToGrid w:val="0"/>
          <w:color w:val="auto"/>
          <w:kern w:val="0"/>
          <w:sz w:val="32"/>
          <w:szCs w:val="32"/>
          <w:highlight w:val="none"/>
        </w:rPr>
        <w:t>与我行系统对接过程中相关外围软件开发调试费用、</w:t>
      </w:r>
      <w:r>
        <w:rPr>
          <w:rFonts w:hint="eastAsia" w:ascii="彩虹粗仿宋" w:hAnsi="宋体" w:eastAsia="彩虹粗仿宋" w:cs="Times New Roman"/>
          <w:snapToGrid w:val="0"/>
          <w:color w:val="auto"/>
          <w:kern w:val="0"/>
          <w:sz w:val="32"/>
          <w:szCs w:val="32"/>
          <w:highlight w:val="none"/>
        </w:rPr>
        <w:t>保险费、税金及其他相关费用，并提供增值税专用发票。</w:t>
      </w:r>
    </w:p>
    <w:p>
      <w:pPr>
        <w:spacing w:line="560" w:lineRule="exact"/>
        <w:ind w:firstLine="640" w:firstLineChars="200"/>
        <w:rPr>
          <w:rFonts w:ascii="彩虹黑体" w:hAnsi="宋体" w:eastAsia="彩虹黑体" w:cs="Times New Roman"/>
          <w:snapToGrid w:val="0"/>
          <w:color w:val="auto"/>
          <w:kern w:val="0"/>
          <w:sz w:val="32"/>
          <w:szCs w:val="32"/>
          <w:highlight w:val="none"/>
        </w:rPr>
      </w:pPr>
      <w:r>
        <w:rPr>
          <w:rFonts w:hint="eastAsia" w:ascii="彩虹黑体" w:hAnsi="宋体" w:eastAsia="彩虹黑体" w:cs="Times New Roman"/>
          <w:snapToGrid w:val="0"/>
          <w:color w:val="auto"/>
          <w:kern w:val="0"/>
          <w:sz w:val="32"/>
          <w:szCs w:val="32"/>
          <w:highlight w:val="none"/>
          <w:lang w:val="en-US" w:eastAsia="zh-CN"/>
        </w:rPr>
        <w:t>七</w:t>
      </w:r>
      <w:bookmarkStart w:id="1" w:name="_GoBack"/>
      <w:bookmarkEnd w:id="1"/>
      <w:r>
        <w:rPr>
          <w:rFonts w:hint="eastAsia" w:ascii="彩虹黑体" w:hAnsi="宋体" w:eastAsia="彩虹黑体" w:cs="Times New Roman"/>
          <w:snapToGrid w:val="0"/>
          <w:color w:val="auto"/>
          <w:kern w:val="0"/>
          <w:sz w:val="32"/>
          <w:szCs w:val="32"/>
          <w:highlight w:val="none"/>
        </w:rPr>
        <w:t>、其他要求</w:t>
      </w:r>
      <w:r>
        <w:rPr>
          <w:rFonts w:hint="eastAsia" w:ascii="彩虹粗仿宋" w:hAnsi="宋体" w:eastAsia="彩虹粗仿宋" w:cs="Times New Roman"/>
          <w:snapToGrid w:val="0"/>
          <w:color w:val="auto"/>
          <w:kern w:val="0"/>
          <w:sz w:val="32"/>
          <w:szCs w:val="32"/>
          <w:highlight w:val="none"/>
        </w:rPr>
        <w:t xml:space="preserve">                     </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1.有下列情况之一的，采购人有权要求承包人整改并给予相应的经济处罚：</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（1）设备采购协议签订后，中标人将项目工程进行转包、分包（招标人要求分包的除外），或其它公司挂靠该承包人的；</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（2）设备及安装质量未达到环保质量标准及国家现行施工技术标准的；</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（3）经认定为承包人原因造成未按合同约定时间完工，造成项目延误的，按每延误一天，违约金为工程总额的千分之五；</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（4）未经允许擅自更改设备型号的；</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 xml:space="preserve">（5）对于项目完工后公安机关验收为不合格，经整改仍不能达到要求的。 </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2.本项目全部相关手续的办理，包括运输安装和验收过程中与相关部门</w:t>
      </w:r>
      <w:r>
        <w:rPr>
          <w:rFonts w:hint="eastAsia" w:ascii="彩虹粗仿宋" w:hAnsi="宋体" w:eastAsia="彩虹粗仿宋" w:cs="Times New Roman"/>
          <w:snapToGrid w:val="0"/>
          <w:color w:val="auto"/>
          <w:kern w:val="0"/>
          <w:sz w:val="32"/>
          <w:szCs w:val="32"/>
          <w:highlight w:val="none"/>
        </w:rPr>
        <w:t>（包括且不限于公安、城管、环保、建设等部门）</w:t>
      </w:r>
      <w:r>
        <w:rPr>
          <w:rFonts w:hint="eastAsia" w:ascii="彩虹粗仿宋" w:hAnsi="宋体" w:eastAsia="彩虹粗仿宋" w:cs="Times New Roman"/>
          <w:snapToGrid w:val="0"/>
          <w:color w:val="auto"/>
          <w:kern w:val="0"/>
          <w:sz w:val="32"/>
          <w:szCs w:val="32"/>
          <w:highlight w:val="none"/>
        </w:rPr>
        <w:t>的联系、协调，提交符合国家有关标准的竣工资料等，由供应商负责办理，我行不付此责任及费用。</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3.供应商应当遵守国家有关环境保护的法律规定，对运输安装造成的环境影响采取针对性措施，有效控制施工现场各种粉尘、废气、固体废弃物以及噪声、振动对环境的污染和危害。供应商应对环境保护采取有效的控制措施，因措施不到位造成的所有后果由供应商负责并承担相关费用。</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4.供应商应强化本方现场工作人员的安全教育，为工作人员购买人身意外保险，承担由于自身安全措施不力造成事故的责任和因此发生的费用。</w:t>
      </w:r>
    </w:p>
    <w:p>
      <w:pPr>
        <w:spacing w:line="480" w:lineRule="exact"/>
        <w:ind w:firstLine="640" w:firstLineChars="200"/>
        <w:rPr>
          <w:rFonts w:ascii="彩虹粗仿宋" w:hAnsi="宋体" w:eastAsia="彩虹粗仿宋" w:cs="Times New Roman"/>
          <w:snapToGrid w:val="0"/>
          <w:color w:val="auto"/>
          <w:kern w:val="0"/>
          <w:sz w:val="32"/>
          <w:szCs w:val="32"/>
          <w:highlight w:val="none"/>
        </w:rPr>
      </w:pPr>
      <w:r>
        <w:rPr>
          <w:rFonts w:hint="eastAsia" w:ascii="彩虹粗仿宋" w:hAnsi="宋体" w:eastAsia="彩虹粗仿宋" w:cs="Times New Roman"/>
          <w:snapToGrid w:val="0"/>
          <w:color w:val="auto"/>
          <w:kern w:val="0"/>
          <w:sz w:val="32"/>
          <w:szCs w:val="32"/>
          <w:highlight w:val="none"/>
        </w:rPr>
        <w:t>5.安装期间不得影响所在营业网点正常营业办公秩序，安装区域采取隔离措施，加强安全管理，确保安全文明施工，保障营业网点安全。</w:t>
      </w:r>
    </w:p>
    <w:p>
      <w:pPr>
        <w:autoSpaceDE w:val="0"/>
        <w:autoSpaceDN w:val="0"/>
        <w:adjustRightInd w:val="0"/>
        <w:spacing w:line="560" w:lineRule="exact"/>
        <w:rPr>
          <w:rFonts w:ascii="彩虹粗仿宋" w:hAnsi="宋体" w:eastAsia="彩虹粗仿宋" w:cs="Times New Roman"/>
          <w:snapToGrid w:val="0"/>
          <w:color w:val="auto"/>
          <w:kern w:val="0"/>
          <w:sz w:val="32"/>
          <w:szCs w:val="32"/>
          <w:highlight w:val="none"/>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粗仿宋">
    <w:panose1 w:val="03000509000000000000"/>
    <w:charset w:val="86"/>
    <w:family w:val="script"/>
    <w:pitch w:val="default"/>
    <w:sig w:usb0="00000001" w:usb1="080E0000" w:usb2="0000000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doNotExpandShiftReturn/>
    <w:adjustLineHeightInTable/>
    <w:useFELayout/>
    <w:doNotUseIndentAsNumberingTabStop/>
    <w:compatSetting w:name="compatibilityMode" w:uri="http://schemas.microsoft.com/office/word" w:val="12"/>
  </w:compat>
  <w:rsids>
    <w:rsidRoot w:val="005050E6"/>
    <w:rsid w:val="000144A9"/>
    <w:rsid w:val="00046AFF"/>
    <w:rsid w:val="0005191B"/>
    <w:rsid w:val="00066AB1"/>
    <w:rsid w:val="00080701"/>
    <w:rsid w:val="00084496"/>
    <w:rsid w:val="000938D2"/>
    <w:rsid w:val="000948A2"/>
    <w:rsid w:val="000951B0"/>
    <w:rsid w:val="000A0CE2"/>
    <w:rsid w:val="000A4E15"/>
    <w:rsid w:val="000C1877"/>
    <w:rsid w:val="000C2A81"/>
    <w:rsid w:val="000E6F49"/>
    <w:rsid w:val="000E7212"/>
    <w:rsid w:val="000F77BC"/>
    <w:rsid w:val="00105E1B"/>
    <w:rsid w:val="001101CB"/>
    <w:rsid w:val="0011279B"/>
    <w:rsid w:val="00117C95"/>
    <w:rsid w:val="00126723"/>
    <w:rsid w:val="0014069A"/>
    <w:rsid w:val="00144560"/>
    <w:rsid w:val="00147386"/>
    <w:rsid w:val="001533B6"/>
    <w:rsid w:val="00153906"/>
    <w:rsid w:val="00171382"/>
    <w:rsid w:val="00183445"/>
    <w:rsid w:val="001863CC"/>
    <w:rsid w:val="00186867"/>
    <w:rsid w:val="00195ED1"/>
    <w:rsid w:val="00197680"/>
    <w:rsid w:val="001A2913"/>
    <w:rsid w:val="001C66E5"/>
    <w:rsid w:val="001E0D3B"/>
    <w:rsid w:val="001E13A2"/>
    <w:rsid w:val="001E25B9"/>
    <w:rsid w:val="00205C26"/>
    <w:rsid w:val="0021448A"/>
    <w:rsid w:val="00231216"/>
    <w:rsid w:val="00242C8A"/>
    <w:rsid w:val="00253E80"/>
    <w:rsid w:val="00256AA6"/>
    <w:rsid w:val="002870F6"/>
    <w:rsid w:val="00292262"/>
    <w:rsid w:val="00295401"/>
    <w:rsid w:val="002A1238"/>
    <w:rsid w:val="002A19DD"/>
    <w:rsid w:val="002A1A06"/>
    <w:rsid w:val="002A1F49"/>
    <w:rsid w:val="002A50B2"/>
    <w:rsid w:val="002C5EFA"/>
    <w:rsid w:val="002E3C01"/>
    <w:rsid w:val="002F1BE9"/>
    <w:rsid w:val="002F49DA"/>
    <w:rsid w:val="002F7FCF"/>
    <w:rsid w:val="0030003B"/>
    <w:rsid w:val="00317C6E"/>
    <w:rsid w:val="00333DE3"/>
    <w:rsid w:val="003553BF"/>
    <w:rsid w:val="003767A8"/>
    <w:rsid w:val="00380B30"/>
    <w:rsid w:val="0038171B"/>
    <w:rsid w:val="00385AA0"/>
    <w:rsid w:val="00392964"/>
    <w:rsid w:val="003A465E"/>
    <w:rsid w:val="003C3655"/>
    <w:rsid w:val="003D2FD1"/>
    <w:rsid w:val="003E63B4"/>
    <w:rsid w:val="003E7615"/>
    <w:rsid w:val="003F080D"/>
    <w:rsid w:val="003F5C79"/>
    <w:rsid w:val="0040199F"/>
    <w:rsid w:val="0040796A"/>
    <w:rsid w:val="0042189F"/>
    <w:rsid w:val="00426E05"/>
    <w:rsid w:val="00447DA7"/>
    <w:rsid w:val="00455950"/>
    <w:rsid w:val="004638DC"/>
    <w:rsid w:val="00464547"/>
    <w:rsid w:val="004673AA"/>
    <w:rsid w:val="00467BCA"/>
    <w:rsid w:val="004714AD"/>
    <w:rsid w:val="00481686"/>
    <w:rsid w:val="004920B7"/>
    <w:rsid w:val="004927E0"/>
    <w:rsid w:val="004A3FA9"/>
    <w:rsid w:val="004A5BBA"/>
    <w:rsid w:val="004B7985"/>
    <w:rsid w:val="004C3A48"/>
    <w:rsid w:val="005050E6"/>
    <w:rsid w:val="0051008C"/>
    <w:rsid w:val="00512738"/>
    <w:rsid w:val="00517941"/>
    <w:rsid w:val="005255A8"/>
    <w:rsid w:val="00535030"/>
    <w:rsid w:val="00536D0E"/>
    <w:rsid w:val="00562D2D"/>
    <w:rsid w:val="00562F50"/>
    <w:rsid w:val="00573F26"/>
    <w:rsid w:val="005A0767"/>
    <w:rsid w:val="005A6795"/>
    <w:rsid w:val="005A74D6"/>
    <w:rsid w:val="005D21DF"/>
    <w:rsid w:val="005D7221"/>
    <w:rsid w:val="005E6974"/>
    <w:rsid w:val="005F7A65"/>
    <w:rsid w:val="00602499"/>
    <w:rsid w:val="006107AD"/>
    <w:rsid w:val="00610BA4"/>
    <w:rsid w:val="00617A64"/>
    <w:rsid w:val="00623586"/>
    <w:rsid w:val="0065235A"/>
    <w:rsid w:val="00655737"/>
    <w:rsid w:val="006622F9"/>
    <w:rsid w:val="00666E1F"/>
    <w:rsid w:val="0067786E"/>
    <w:rsid w:val="00680E4E"/>
    <w:rsid w:val="00686031"/>
    <w:rsid w:val="00690E2B"/>
    <w:rsid w:val="006968DD"/>
    <w:rsid w:val="006971B0"/>
    <w:rsid w:val="006B44C4"/>
    <w:rsid w:val="006B7104"/>
    <w:rsid w:val="006D7468"/>
    <w:rsid w:val="006F1B9D"/>
    <w:rsid w:val="00702510"/>
    <w:rsid w:val="007123CC"/>
    <w:rsid w:val="0071272E"/>
    <w:rsid w:val="00742703"/>
    <w:rsid w:val="00746553"/>
    <w:rsid w:val="00747E4E"/>
    <w:rsid w:val="0075467F"/>
    <w:rsid w:val="00766953"/>
    <w:rsid w:val="0076772F"/>
    <w:rsid w:val="007715B5"/>
    <w:rsid w:val="007927AB"/>
    <w:rsid w:val="007929C9"/>
    <w:rsid w:val="007A0835"/>
    <w:rsid w:val="007C2B29"/>
    <w:rsid w:val="007D582C"/>
    <w:rsid w:val="007D644E"/>
    <w:rsid w:val="007E131E"/>
    <w:rsid w:val="007E36C9"/>
    <w:rsid w:val="007F12E9"/>
    <w:rsid w:val="007F7374"/>
    <w:rsid w:val="00804D58"/>
    <w:rsid w:val="00806A5E"/>
    <w:rsid w:val="00810112"/>
    <w:rsid w:val="0081565E"/>
    <w:rsid w:val="008509B7"/>
    <w:rsid w:val="008527FA"/>
    <w:rsid w:val="00864518"/>
    <w:rsid w:val="00871955"/>
    <w:rsid w:val="00874A1C"/>
    <w:rsid w:val="00885C4F"/>
    <w:rsid w:val="008908F3"/>
    <w:rsid w:val="008A3412"/>
    <w:rsid w:val="008A3C9A"/>
    <w:rsid w:val="008A4EF2"/>
    <w:rsid w:val="008C1490"/>
    <w:rsid w:val="008D080A"/>
    <w:rsid w:val="008D5C76"/>
    <w:rsid w:val="008F20E5"/>
    <w:rsid w:val="008F2CD8"/>
    <w:rsid w:val="008F5BF4"/>
    <w:rsid w:val="0090504B"/>
    <w:rsid w:val="00911976"/>
    <w:rsid w:val="00914219"/>
    <w:rsid w:val="00914EA6"/>
    <w:rsid w:val="00941EF8"/>
    <w:rsid w:val="00955F4D"/>
    <w:rsid w:val="009618F2"/>
    <w:rsid w:val="00981364"/>
    <w:rsid w:val="009818FE"/>
    <w:rsid w:val="00990692"/>
    <w:rsid w:val="00994806"/>
    <w:rsid w:val="009A6BFB"/>
    <w:rsid w:val="009A7C5B"/>
    <w:rsid w:val="009D2656"/>
    <w:rsid w:val="009D4AFF"/>
    <w:rsid w:val="00A02B13"/>
    <w:rsid w:val="00A10006"/>
    <w:rsid w:val="00A17070"/>
    <w:rsid w:val="00A37329"/>
    <w:rsid w:val="00A67013"/>
    <w:rsid w:val="00A71312"/>
    <w:rsid w:val="00A741AA"/>
    <w:rsid w:val="00A75DCF"/>
    <w:rsid w:val="00A76982"/>
    <w:rsid w:val="00A93467"/>
    <w:rsid w:val="00AA0942"/>
    <w:rsid w:val="00AB18E5"/>
    <w:rsid w:val="00AB3C52"/>
    <w:rsid w:val="00AD1D5D"/>
    <w:rsid w:val="00AF2189"/>
    <w:rsid w:val="00AF5717"/>
    <w:rsid w:val="00B00FF4"/>
    <w:rsid w:val="00B213D1"/>
    <w:rsid w:val="00B23AF2"/>
    <w:rsid w:val="00B26F92"/>
    <w:rsid w:val="00B33EA9"/>
    <w:rsid w:val="00B362FE"/>
    <w:rsid w:val="00B379BB"/>
    <w:rsid w:val="00B52A6D"/>
    <w:rsid w:val="00B53BB5"/>
    <w:rsid w:val="00B5691B"/>
    <w:rsid w:val="00B82F79"/>
    <w:rsid w:val="00B864E5"/>
    <w:rsid w:val="00B91A02"/>
    <w:rsid w:val="00B95BC6"/>
    <w:rsid w:val="00B95C4D"/>
    <w:rsid w:val="00BA61C3"/>
    <w:rsid w:val="00BB255A"/>
    <w:rsid w:val="00BB74B8"/>
    <w:rsid w:val="00BC1045"/>
    <w:rsid w:val="00BC2E24"/>
    <w:rsid w:val="00BD1B60"/>
    <w:rsid w:val="00BE029D"/>
    <w:rsid w:val="00BE35A2"/>
    <w:rsid w:val="00BE3C9D"/>
    <w:rsid w:val="00BF3E30"/>
    <w:rsid w:val="00C014F3"/>
    <w:rsid w:val="00C075DC"/>
    <w:rsid w:val="00C242F3"/>
    <w:rsid w:val="00C62711"/>
    <w:rsid w:val="00CB3B3F"/>
    <w:rsid w:val="00CC17D7"/>
    <w:rsid w:val="00CC3604"/>
    <w:rsid w:val="00CD52F3"/>
    <w:rsid w:val="00CF6568"/>
    <w:rsid w:val="00D06AEB"/>
    <w:rsid w:val="00D16530"/>
    <w:rsid w:val="00D26B7D"/>
    <w:rsid w:val="00D47377"/>
    <w:rsid w:val="00D509F2"/>
    <w:rsid w:val="00D55D52"/>
    <w:rsid w:val="00D62FDB"/>
    <w:rsid w:val="00D714A1"/>
    <w:rsid w:val="00D7499E"/>
    <w:rsid w:val="00D96153"/>
    <w:rsid w:val="00D9757D"/>
    <w:rsid w:val="00DA3C43"/>
    <w:rsid w:val="00DC3008"/>
    <w:rsid w:val="00DC5161"/>
    <w:rsid w:val="00DE71C5"/>
    <w:rsid w:val="00E10D97"/>
    <w:rsid w:val="00E315D7"/>
    <w:rsid w:val="00E34CF0"/>
    <w:rsid w:val="00E40972"/>
    <w:rsid w:val="00E4161C"/>
    <w:rsid w:val="00E660E8"/>
    <w:rsid w:val="00E80BDE"/>
    <w:rsid w:val="00E822A1"/>
    <w:rsid w:val="00E9042F"/>
    <w:rsid w:val="00EB7A37"/>
    <w:rsid w:val="00EC28B0"/>
    <w:rsid w:val="00EC30C4"/>
    <w:rsid w:val="00EC745A"/>
    <w:rsid w:val="00EE6EE6"/>
    <w:rsid w:val="00EF0E23"/>
    <w:rsid w:val="00F00208"/>
    <w:rsid w:val="00F045F2"/>
    <w:rsid w:val="00F05737"/>
    <w:rsid w:val="00F25E11"/>
    <w:rsid w:val="00F367E6"/>
    <w:rsid w:val="00F3703F"/>
    <w:rsid w:val="00F42C11"/>
    <w:rsid w:val="00F54DA0"/>
    <w:rsid w:val="00F57E4F"/>
    <w:rsid w:val="00F65222"/>
    <w:rsid w:val="00F7226B"/>
    <w:rsid w:val="00F75C60"/>
    <w:rsid w:val="00F81394"/>
    <w:rsid w:val="00F93A8F"/>
    <w:rsid w:val="00FB6E82"/>
    <w:rsid w:val="00FC735F"/>
    <w:rsid w:val="00FD1084"/>
    <w:rsid w:val="00FD3324"/>
    <w:rsid w:val="00FD56E4"/>
    <w:rsid w:val="00FE06DF"/>
    <w:rsid w:val="00FF14BA"/>
    <w:rsid w:val="00FF79FC"/>
    <w:rsid w:val="015E154C"/>
    <w:rsid w:val="18C25E42"/>
    <w:rsid w:val="36862009"/>
    <w:rsid w:val="4CEF3FC1"/>
    <w:rsid w:val="6BDC00C3"/>
    <w:rsid w:val="741E3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Normal Indent"/>
    <w:basedOn w:val="1"/>
    <w:next w:val="1"/>
    <w:qFormat/>
    <w:uiPriority w:val="99"/>
    <w:pPr>
      <w:ind w:firstLine="420" w:firstLineChars="200"/>
    </w:pPr>
    <w:rPr>
      <w:rFonts w:ascii="Times New Roman" w:hAnsi="Times New Roman" w:eastAsia="宋体" w:cs="Times New Roman"/>
      <w:szCs w:val="24"/>
    </w:rPr>
  </w:style>
  <w:style w:type="paragraph" w:styleId="3">
    <w:name w:val="annotation text"/>
    <w:basedOn w:val="1"/>
    <w:semiHidden/>
    <w:unhideWhenUsed/>
    <w:uiPriority w:val="99"/>
    <w:pPr>
      <w:jc w:val="left"/>
    </w:pPr>
  </w:style>
  <w:style w:type="paragraph" w:styleId="4">
    <w:name w:val="footer"/>
    <w:basedOn w:val="1"/>
    <w:link w:val="9"/>
    <w:unhideWhenUsed/>
    <w:uiPriority w:val="99"/>
    <w:pPr>
      <w:tabs>
        <w:tab w:val="center" w:pos="4153"/>
        <w:tab w:val="right" w:pos="8306"/>
      </w:tabs>
      <w:snapToGrid w:val="0"/>
      <w:jc w:val="left"/>
    </w:pPr>
    <w:rPr>
      <w:sz w:val="18"/>
      <w:szCs w:val="18"/>
    </w:rPr>
  </w:style>
  <w:style w:type="paragraph" w:styleId="5">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uiPriority w:val="99"/>
    <w:rPr>
      <w:sz w:val="18"/>
      <w:szCs w:val="18"/>
    </w:rPr>
  </w:style>
  <w:style w:type="character" w:customStyle="1" w:styleId="9">
    <w:name w:val="页脚 Char"/>
    <w:basedOn w:val="7"/>
    <w:link w:val="4"/>
    <w:uiPriority w:val="99"/>
    <w:rPr>
      <w:sz w:val="18"/>
      <w:szCs w:val="18"/>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ccb</Company>
  <Pages>15</Pages>
  <Words>1303</Words>
  <Characters>7428</Characters>
  <Lines>61</Lines>
  <Paragraphs>17</Paragraphs>
  <TotalTime>6</TotalTime>
  <ScaleCrop>false</ScaleCrop>
  <LinksUpToDate>false</LinksUpToDate>
  <CharactersWithSpaces>8714</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2023-01-29T07:10:00Z</dcterms:created>
  <dc:creator>Apache POI</dc:creator>
  <cp:lastModifiedBy>haccb</cp:lastModifiedBy>
  <dcterms:modified xsi:type="dcterms:W3CDTF">2024-01-24T10:36:40Z</dcterms:modified>
  <cp:revision>362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118C186FAC634252BA4D3A05D20BBFAE_12</vt:lpwstr>
  </property>
</Properties>
</file>