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DBD1F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彩虹小标宋" w:hAnsi="宋体" w:eastAsia="彩虹小标宋"/>
          <w:snapToGrid w:val="0"/>
          <w:kern w:val="0"/>
          <w:sz w:val="36"/>
          <w:szCs w:val="36"/>
          <w:highlight w:val="none"/>
        </w:rPr>
      </w:pPr>
      <w:bookmarkStart w:id="0" w:name="_GoBack"/>
      <w:bookmarkEnd w:id="0"/>
      <w:r>
        <w:rPr>
          <w:rFonts w:hint="eastAsia" w:ascii="彩虹小标宋" w:hAnsi="宋体" w:eastAsia="彩虹小标宋"/>
          <w:snapToGrid w:val="0"/>
          <w:kern w:val="0"/>
          <w:sz w:val="36"/>
          <w:szCs w:val="36"/>
          <w:highlight w:val="none"/>
        </w:rPr>
        <w:t>软件产品采购需求主要内容</w:t>
      </w:r>
    </w:p>
    <w:p w14:paraId="11A4EB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彩虹小标宋" w:hAnsi="宋体" w:eastAsia="彩虹小标宋"/>
          <w:snapToGrid w:val="0"/>
          <w:kern w:val="0"/>
          <w:sz w:val="36"/>
          <w:szCs w:val="36"/>
          <w:highlight w:val="none"/>
        </w:rPr>
      </w:pPr>
      <w:r>
        <w:rPr>
          <w:rFonts w:hint="eastAsia" w:ascii="彩虹小标宋" w:hAnsi="宋体" w:eastAsia="彩虹小标宋"/>
          <w:snapToGrid w:val="0"/>
          <w:kern w:val="0"/>
          <w:sz w:val="36"/>
          <w:szCs w:val="36"/>
          <w:highlight w:val="none"/>
        </w:rPr>
        <w:t>（一般包括以下所列内容）</w:t>
      </w:r>
    </w:p>
    <w:p w14:paraId="3A8B472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一、系统背景说明。</w:t>
      </w:r>
    </w:p>
    <w:p w14:paraId="773A1CC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eastAsia="zh-CN"/>
        </w:rPr>
        <w:t>为了保障天津市肿瘤医院智慧医院项目系统运行的兼容性、延续性、安全性、高效性，</w:t>
      </w:r>
      <w:r>
        <w:rPr>
          <w:rFonts w:hint="eastAsia" w:ascii="彩虹粗仿宋" w:hAnsi="Tahoma" w:eastAsia="彩虹粗仿宋"/>
          <w:sz w:val="32"/>
          <w:szCs w:val="32"/>
          <w:highlight w:val="none"/>
          <w:lang w:eastAsia="zh-CN"/>
        </w:rPr>
        <w:t>根据院方出具的书面证明材料，</w:t>
      </w:r>
      <w:r>
        <w:rPr>
          <w:rFonts w:hint="eastAsia" w:ascii="彩虹粗仿宋" w:hAnsi="宋体" w:eastAsia="彩虹粗仿宋"/>
          <w:sz w:val="32"/>
          <w:szCs w:val="32"/>
          <w:highlight w:val="none"/>
          <w:lang w:eastAsia="zh-CN"/>
        </w:rPr>
        <w:t>确保为患者提供更加优质的就医服务，我行与该院合作智慧医院软件系统升级项目。同时，院方仍要求原系统建设供应商继续为此次智慧医院软件系统升级项目进行开发建设且供应商应提供或承诺能提供院方认可的书面证明材料。</w:t>
      </w:r>
      <w:r>
        <w:rPr>
          <w:rFonts w:hint="eastAsia" w:ascii="彩虹粗仿宋" w:hAnsi="宋体" w:eastAsia="彩虹粗仿宋"/>
          <w:sz w:val="32"/>
          <w:szCs w:val="32"/>
          <w:highlight w:val="none"/>
          <w:lang w:val="en-US" w:eastAsia="zh-CN"/>
        </w:rPr>
        <w:t xml:space="preserve"> </w:t>
      </w:r>
    </w:p>
    <w:p w14:paraId="3AC6F5CC">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该项目的金融属性包含以下两方面，一方面旨在优化患者挂号、缴费、入院登记等全方位体验，借助软件系统实现流程电子化重构，降低患者操作门槛，提升患者的综合满意度，提升医院医疗服务质量，同时患者缴费会通过商户结算渠道进入我行基本账户，实现资金沉淀。另一方面旨在提升该院财务对账、后台管理等系统的同步及优化，让财务管理部门清晰掌握业务账、财务账、银行账，确保其更清晰的反映问题根源、问题方、问题明细，强化医院财务与银行对账功能，保障运营效率及该院资金的可支配性，进而增加我行的资金沉淀，巩固医院对我行服务的依赖度，联动我行各项金融业务，做好医院客群“圈链群”服务模式的构建，持续提升我行主办行的地位，密切银医关系，实现该院对我行的综合贡献度的提升。</w:t>
      </w:r>
    </w:p>
    <w:p w14:paraId="306321E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二、维护工作的范围、内容、期限，内容包括：故障诊断、分析、排除及维修服务、远程访问诊断服务、重要客户档案管理服务、系统例行巡检和预防性维护、现场值班服务、现场健康检查服务、备件保障服务、紧急故障和应急处理服务、系统应急切换方案服务、生产系统恢复支持服务、技术交流服务、软件补丁更新与升级、批次故障预警及更换服务、参数优化服务、系统升级保障服务等。</w:t>
      </w:r>
    </w:p>
    <w:p w14:paraId="0AA3411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针对智慧医院软件系统安全连续稳定运行的保障内容，同时提供针对患者及医院工作人员的服务性工作。</w:t>
      </w:r>
    </w:p>
    <w:p w14:paraId="7CE2506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 xml:space="preserve">（一）系统优化及运维保障 </w:t>
      </w:r>
    </w:p>
    <w:p w14:paraId="76F23DF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1.住院财务对账系统2.0</w:t>
      </w:r>
    </w:p>
    <w:p w14:paraId="58D21D2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为办理了住院后没有产生费用就退院的业务而增加住院退款汇总明细；为正常完成住院办理出院结算的业务而增加出院退款汇总明细表；增加窗口开通联机退货实时到账功能统计日志；增加住院缴费支付明细；业务明细查询和业务凭证查询功能；业务列表、凭证列表报表导出；手工调账单功能；出科患者缴费成功业务失败原路径退回；住院窗口支付平台开通窗口微信、窗口支付宝功能</w:t>
      </w:r>
      <w:r>
        <w:rPr>
          <w:rFonts w:hint="eastAsia" w:ascii="彩虹粗仿宋" w:hAnsi="宋体" w:eastAsia="彩虹粗仿宋"/>
          <w:sz w:val="32"/>
          <w:szCs w:val="32"/>
          <w:highlight w:val="none"/>
          <w:lang w:val="en-US" w:eastAsia="zh-CN"/>
        </w:rPr>
        <w:t>。</w:t>
      </w:r>
    </w:p>
    <w:p w14:paraId="444D0E1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2.住院自助服务系统升级</w:t>
      </w:r>
    </w:p>
    <w:p w14:paraId="73F4AB6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自助打印押金条样式修改；住院项目热敏条格式修改；住院自助机新增模块更新患者家庭住址等信息，接口对照平台PS10001（患者入院登记信息）传输；清单打印机新增“医保结算单”模块；住院自助机新增“电子医保凭证”认证方式；急诊入院患者不可在自助机进行医保联网操作；自助办理住院时自动接入病案首页</w:t>
      </w:r>
      <w:r>
        <w:rPr>
          <w:rFonts w:hint="eastAsia" w:ascii="彩虹粗仿宋" w:hAnsi="宋体" w:eastAsia="彩虹粗仿宋"/>
          <w:sz w:val="32"/>
          <w:szCs w:val="32"/>
          <w:highlight w:val="none"/>
          <w:lang w:val="en-US" w:eastAsia="zh-CN"/>
        </w:rPr>
        <w:t>。</w:t>
      </w:r>
    </w:p>
    <w:p w14:paraId="584743A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3.后台管理系统升级</w:t>
      </w:r>
    </w:p>
    <w:p w14:paraId="45DF8B4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对于已经打印过住院清单的患者，后台能够查询打印时间、打印历史、打印自助机编号，能够系统配置允许打印的次数，同时可以删除患者的历史打印记录；增加住院信息同步功能，解决患者在app上看不到住院信息；增加微信小程序使用量新功能，并支持导出报表</w:t>
      </w:r>
      <w:r>
        <w:rPr>
          <w:rFonts w:hint="eastAsia" w:ascii="彩虹粗仿宋" w:hAnsi="宋体" w:eastAsia="彩虹粗仿宋"/>
          <w:sz w:val="32"/>
          <w:szCs w:val="32"/>
          <w:highlight w:val="none"/>
          <w:lang w:val="en-US" w:eastAsia="zh-CN"/>
        </w:rPr>
        <w:t>。</w:t>
      </w:r>
    </w:p>
    <w:p w14:paraId="33C86F0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4.手机端住院系统升级</w:t>
      </w:r>
    </w:p>
    <w:p w14:paraId="54882FC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微信扫码办理入院和登记功能；APP增加信息登记功能、住院办理与信息登记联动；手机办理入院时，信息自动对接到病案首页</w:t>
      </w:r>
      <w:r>
        <w:rPr>
          <w:rFonts w:hint="eastAsia" w:ascii="彩虹粗仿宋" w:hAnsi="宋体" w:eastAsia="彩虹粗仿宋"/>
          <w:sz w:val="32"/>
          <w:szCs w:val="32"/>
          <w:highlight w:val="none"/>
          <w:lang w:val="en-US" w:eastAsia="zh-CN"/>
        </w:rPr>
        <w:t>。</w:t>
      </w:r>
    </w:p>
    <w:p w14:paraId="70A62DD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5.智慧门诊预约候补系统</w:t>
      </w:r>
    </w:p>
    <w:p w14:paraId="48E5CB7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预约候补系统是为了解决已预约患者取消预约，导致资源空闲和等待时间延长的问题。系统包括智能候补匹配、实时通知与确认、候补队列管理等。通过预约候补功能，有效减少了因预约取消而导致的资源浪费。每位患者的预约资源得以最大化利用，提升了医疗服务的效率和质量。</w:t>
      </w:r>
    </w:p>
    <w:p w14:paraId="060537B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6.银联商务服务</w:t>
      </w:r>
    </w:p>
    <w:p w14:paraId="2B5D633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完成正常报修、巡检、升级、秘钥灌装等运维工作，提供统一对账服务系统，实现专业对接服务工作。支持支付订单明细下载，提供当日完成支付的订单明细，方便对账。通过与多方互联互通，实现数据集中管理，统一对账，使财务管理部门清晰掌握业务账、财务账、银行账，对于对账不平的信息一目了然的呈现，清晰反映问题根源、问题方、问题明细，辅助财务管理人员轻松发现问题，指导协调解决。</w:t>
      </w:r>
    </w:p>
    <w:p w14:paraId="19D2F03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w:t>
      </w:r>
      <w:r>
        <w:rPr>
          <w:rFonts w:hint="eastAsia" w:ascii="彩虹粗仿宋" w:hAnsi="宋体" w:eastAsia="彩虹粗仿宋"/>
          <w:sz w:val="32"/>
          <w:szCs w:val="32"/>
          <w:highlight w:val="none"/>
          <w:lang w:val="en-US" w:eastAsia="zh-CN"/>
        </w:rPr>
        <w:t>二</w:t>
      </w:r>
      <w:r>
        <w:rPr>
          <w:rFonts w:hint="default" w:ascii="彩虹粗仿宋" w:hAnsi="宋体" w:eastAsia="彩虹粗仿宋"/>
          <w:sz w:val="32"/>
          <w:szCs w:val="32"/>
          <w:highlight w:val="none"/>
          <w:lang w:val="en-US" w:eastAsia="zh-CN"/>
        </w:rPr>
        <w:t>）患者体验保障服务</w:t>
      </w:r>
    </w:p>
    <w:p w14:paraId="48ADE53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项目在运行过程中，不仅要满足院方的服务，更要满足患者需求，为患者提供咨询入口，通过在线客服以及客服热线的方式为患者提供多渠道的问题咨询、投诉处理、意见反馈、信息查询及消息通知等服务。</w:t>
      </w:r>
    </w:p>
    <w:p w14:paraId="0CD99FC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w:t>
      </w:r>
      <w:r>
        <w:rPr>
          <w:rFonts w:hint="eastAsia" w:ascii="彩虹粗仿宋" w:hAnsi="宋体" w:eastAsia="彩虹粗仿宋"/>
          <w:sz w:val="32"/>
          <w:szCs w:val="32"/>
          <w:highlight w:val="none"/>
          <w:lang w:val="en-US" w:eastAsia="zh-CN"/>
        </w:rPr>
        <w:t>三</w:t>
      </w:r>
      <w:r>
        <w:rPr>
          <w:rFonts w:hint="default" w:ascii="彩虹粗仿宋" w:hAnsi="宋体" w:eastAsia="彩虹粗仿宋"/>
          <w:sz w:val="32"/>
          <w:szCs w:val="32"/>
          <w:highlight w:val="none"/>
          <w:lang w:val="en-US" w:eastAsia="zh-CN"/>
        </w:rPr>
        <w:t>）医院工作人员工作协助及培训服务</w:t>
      </w:r>
    </w:p>
    <w:p w14:paraId="7C285A7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运维工作包括对医院工作人员的协助性服务工作。例如财务部门使用的对账系统，运维提供查看账单到达情况，异常业务查询及辅助处理工作。功能业务指导操作，异常数据查询处理工作，数据查询统计工作等，同时对于新功能上线产品迭代优化，提供分批次培训服务。</w:t>
      </w:r>
    </w:p>
    <w:p w14:paraId="0D23D98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w:t>
      </w:r>
      <w:r>
        <w:rPr>
          <w:rFonts w:hint="eastAsia" w:ascii="彩虹粗仿宋" w:hAnsi="宋体" w:eastAsia="彩虹粗仿宋"/>
          <w:sz w:val="32"/>
          <w:szCs w:val="32"/>
          <w:highlight w:val="none"/>
          <w:lang w:val="en-US" w:eastAsia="zh-CN"/>
        </w:rPr>
        <w:t>四</w:t>
      </w:r>
      <w:r>
        <w:rPr>
          <w:rFonts w:hint="default" w:ascii="彩虹粗仿宋" w:hAnsi="宋体" w:eastAsia="彩虹粗仿宋"/>
          <w:sz w:val="32"/>
          <w:szCs w:val="32"/>
          <w:highlight w:val="none"/>
          <w:lang w:val="en-US" w:eastAsia="zh-CN"/>
        </w:rPr>
        <w:t>）服务承诺</w:t>
      </w:r>
    </w:p>
    <w:p w14:paraId="5076046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为了实现运维项目支持，采取线上+线下双重技术支持，确保系统安全稳定连续运行。为天津市肿瘤医院智慧</w:t>
      </w:r>
      <w:r>
        <w:rPr>
          <w:rFonts w:hint="eastAsia" w:ascii="彩虹粗仿宋" w:hAnsi="宋体" w:eastAsia="彩虹粗仿宋"/>
          <w:sz w:val="32"/>
          <w:szCs w:val="32"/>
          <w:highlight w:val="none"/>
          <w:lang w:val="en-US" w:eastAsia="zh-CN"/>
        </w:rPr>
        <w:t>医院</w:t>
      </w:r>
      <w:r>
        <w:rPr>
          <w:rFonts w:hint="default" w:ascii="彩虹粗仿宋" w:hAnsi="宋体" w:eastAsia="彩虹粗仿宋"/>
          <w:sz w:val="32"/>
          <w:szCs w:val="32"/>
          <w:highlight w:val="none"/>
          <w:lang w:val="en-US" w:eastAsia="zh-CN"/>
        </w:rPr>
        <w:t>项目提供24小时运维人员电话支援，5*8驻场运维工程师驻场运维，技术团队远程支持，7*12小时线上客服团队，24小时应急小组电话支持，实现实时问题受理快速处理。</w:t>
      </w:r>
    </w:p>
    <w:p w14:paraId="2518EB3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w:t>
      </w:r>
      <w:r>
        <w:rPr>
          <w:rFonts w:hint="eastAsia" w:ascii="彩虹粗仿宋" w:hAnsi="宋体" w:eastAsia="彩虹粗仿宋"/>
          <w:sz w:val="32"/>
          <w:szCs w:val="32"/>
          <w:highlight w:val="none"/>
          <w:lang w:val="en-US" w:eastAsia="zh-CN"/>
        </w:rPr>
        <w:t>五</w:t>
      </w:r>
      <w:r>
        <w:rPr>
          <w:rFonts w:hint="default" w:ascii="彩虹粗仿宋" w:hAnsi="宋体" w:eastAsia="彩虹粗仿宋"/>
          <w:sz w:val="32"/>
          <w:szCs w:val="32"/>
          <w:highlight w:val="none"/>
          <w:lang w:val="en-US" w:eastAsia="zh-CN"/>
        </w:rPr>
        <w:t>）服务规范</w:t>
      </w:r>
    </w:p>
    <w:p w14:paraId="19D66BC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驻场运维工程师秉承遵守客户单位的一切规章制度及工作守则的原则，坚决遵守医院的相关规定，服从管理，对主管分配的任务，立即遵守执行，保守医院的信息，妥善保管所持有的信息文件资料。严格执行《驻场运维工程师服务规范》。</w:t>
      </w:r>
    </w:p>
    <w:p w14:paraId="6D89FE6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三、维护工作方式（现场、热线、远程控制）。</w:t>
      </w:r>
    </w:p>
    <w:p w14:paraId="4F08B8D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要求供应商提供远程技术监控、驻场运维巡检以及在线客服咨询的维护工作方式。</w:t>
      </w:r>
    </w:p>
    <w:p w14:paraId="39FCB48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四、故障事件级别定义及响应处理的承诺。</w:t>
      </w:r>
    </w:p>
    <w:p w14:paraId="1E0C4D2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根据故障的类型、严重程度将故障划分为三个级别，分别称作一级故障、二级故障、三级故障。一级、二级定义为紧急故障，三级定义为非紧急故障。具体定义如下：</w:t>
      </w:r>
    </w:p>
    <w:p w14:paraId="33D247B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一级故障</w:t>
      </w:r>
    </w:p>
    <w:p w14:paraId="7175D47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软件发生处理能力、可用性等完全或部分丧失的情况，导致紧急故障甚至瘫痪，或对最终用户的业务使用有严重影响，重要系统主要功能模块丧失功能达半小时以上，需要立即采取措施进行处理的故障。包括甲方要求作为一级故障处理的其它情况。</w:t>
      </w:r>
    </w:p>
    <w:p w14:paraId="252D6A3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二级故障</w:t>
      </w:r>
    </w:p>
    <w:p w14:paraId="478135E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软件发生处理能力、可用性等降低或恶化，严重影响和限制了应用系统的使用与维护，或对院方20%部分用户的业务使用有较大影响的故障。</w:t>
      </w:r>
    </w:p>
    <w:p w14:paraId="53642F0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三级故障</w:t>
      </w:r>
    </w:p>
    <w:p w14:paraId="2AEA93E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硬件设备或软件的可用性受损，但大部分业务操作仍可正常进行。</w:t>
      </w:r>
    </w:p>
    <w:p w14:paraId="3B84181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需要提出针对以上故障响应处理的承诺，制定严格的升级上报程序，处理客户故障有严格的时效控制，防止故障处理被延迟的现象。</w:t>
      </w:r>
    </w:p>
    <w:p w14:paraId="46B2DEF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为了实现运维项目支持，采取线上+线下双重技术支持，确保系统安全稳定连续运行。为天津市肿瘤医院智慧门诊项目提供24小时运维人员电话支援，5*8驻场运维工程师驻场运维，技术团队远程支持，7*12小时线上客服团队，24小时应急小组电话支持，实现实时问题受理快速处理。</w:t>
      </w:r>
    </w:p>
    <w:p w14:paraId="0CCCE51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五、供应商维护服务人员的数量、资质经验、角色等方面的要求。</w:t>
      </w:r>
    </w:p>
    <w:p w14:paraId="7F3A8A5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napToGrid w:val="0"/>
          <w:kern w:val="0"/>
          <w:sz w:val="32"/>
          <w:szCs w:val="32"/>
          <w:highlight w:val="none"/>
          <w:lang w:eastAsia="zh-CN"/>
        </w:rPr>
      </w:pPr>
      <w:r>
        <w:rPr>
          <w:rFonts w:hint="eastAsia" w:ascii="彩虹粗仿宋" w:hAnsi="宋体" w:eastAsia="彩虹粗仿宋"/>
          <w:snapToGrid w:val="0"/>
          <w:kern w:val="0"/>
          <w:sz w:val="32"/>
          <w:szCs w:val="32"/>
          <w:highlight w:val="none"/>
        </w:rPr>
        <w:t>供应商</w:t>
      </w:r>
      <w:r>
        <w:rPr>
          <w:rFonts w:hint="eastAsia" w:ascii="彩虹粗仿宋" w:hAnsi="宋体" w:eastAsia="彩虹粗仿宋"/>
          <w:snapToGrid w:val="0"/>
          <w:kern w:val="0"/>
          <w:sz w:val="32"/>
          <w:szCs w:val="32"/>
          <w:highlight w:val="none"/>
          <w:lang w:eastAsia="zh-CN"/>
        </w:rPr>
        <w:t>需提供院方出具的书面证明材料。并应同时</w:t>
      </w:r>
      <w:r>
        <w:rPr>
          <w:rFonts w:hint="eastAsia" w:ascii="彩虹粗仿宋" w:hAnsi="宋体" w:eastAsia="彩虹粗仿宋"/>
          <w:snapToGrid w:val="0"/>
          <w:kern w:val="0"/>
          <w:sz w:val="32"/>
          <w:szCs w:val="32"/>
          <w:highlight w:val="none"/>
        </w:rPr>
        <w:t>具备承接本项目的服务能力，具有计算机软件著作权登记证书</w:t>
      </w:r>
      <w:r>
        <w:rPr>
          <w:rFonts w:hint="eastAsia" w:ascii="彩虹粗仿宋" w:hAnsi="宋体" w:eastAsia="彩虹粗仿宋"/>
          <w:snapToGrid w:val="0"/>
          <w:kern w:val="0"/>
          <w:sz w:val="32"/>
          <w:szCs w:val="32"/>
          <w:highlight w:val="none"/>
          <w:lang w:eastAsia="zh-CN"/>
        </w:rPr>
        <w:t>。</w:t>
      </w:r>
    </w:p>
    <w:p w14:paraId="4C265BA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1.驻场运维人员至少1名，需保证满足院方项目的工作量要求。</w:t>
      </w:r>
    </w:p>
    <w:p w14:paraId="0B14B3D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2.资质经验：</w:t>
      </w:r>
    </w:p>
    <w:p w14:paraId="1155CF8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 xml:space="preserve">1）全日制大学专科及以上学历，计算机相关专业  </w:t>
      </w:r>
    </w:p>
    <w:p w14:paraId="445DC0C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 xml:space="preserve">2）同行业三年工作经验，熟悉服务器及数据库维护工作   </w:t>
      </w:r>
    </w:p>
    <w:p w14:paraId="6F8A601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 xml:space="preserve">3）具有很强的责任心，做事认真负责   </w:t>
      </w:r>
    </w:p>
    <w:p w14:paraId="7849B0C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 xml:space="preserve">4）具有JAVA开发相关技能，接收过相关专业培训  </w:t>
      </w:r>
    </w:p>
    <w:p w14:paraId="502D848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5）熟练使用SQLsever数据库，具备数据库优化能力。</w:t>
      </w:r>
    </w:p>
    <w:p w14:paraId="4F73633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3.行为规范：</w:t>
      </w:r>
    </w:p>
    <w:p w14:paraId="1933824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1）严格遵守院方的工作制度。</w:t>
      </w:r>
    </w:p>
    <w:p w14:paraId="0ED42D7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2）与院方配合本服务细则的相关部门协同工作，紧密配合。</w:t>
      </w:r>
    </w:p>
    <w:p w14:paraId="0C35E29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3）工作时间内要保持精神饱满，穿着得体，谈吐文明，举止庄重。在工作现场如遇患者咨询也须耐心给予合理的解释说明；接听电话时要文明礼貌，语言清晰明了，语气和善。</w:t>
      </w:r>
    </w:p>
    <w:p w14:paraId="225E1B9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4）遵守保密原则。对院方的网络、系统软件等相关密码、核心参数、业务数据等负有保密责任，禁止随意复制和传播。</w:t>
      </w:r>
    </w:p>
    <w:p w14:paraId="3F97A9F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六、供应商人员与建行相关部门在系统维护工作中的关系。</w:t>
      </w:r>
    </w:p>
    <w:p w14:paraId="6B87195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建行负责项目的合作内容的实施投资，供应商负责软件系统升级工作，在现有系统的基础上进行无缝对接和功能扩展，以确保系统的连续性及稳定性。</w:t>
      </w:r>
    </w:p>
    <w:p w14:paraId="41CB880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七、工作成果要求，包括保密要求、最终提交文档要求、验收标准及验收流程等。</w:t>
      </w:r>
    </w:p>
    <w:p w14:paraId="108DC5FC">
      <w:pPr>
        <w:adjustRightInd w:val="0"/>
        <w:snapToGrid w:val="0"/>
        <w:spacing w:line="360" w:lineRule="auto"/>
        <w:ind w:firstLine="640" w:firstLineChars="200"/>
        <w:rPr>
          <w:rFonts w:hint="eastAsia" w:ascii="彩虹粗仿宋" w:hAnsi="宋体" w:eastAsia="彩虹粗仿宋"/>
          <w:snapToGrid w:val="0"/>
          <w:kern w:val="0"/>
          <w:sz w:val="32"/>
          <w:szCs w:val="32"/>
          <w:highlight w:val="none"/>
          <w:lang w:eastAsia="zh-CN"/>
        </w:rPr>
      </w:pPr>
      <w:r>
        <w:rPr>
          <w:rFonts w:hint="eastAsia" w:ascii="彩虹粗仿宋" w:hAnsi="宋体" w:eastAsia="彩虹粗仿宋"/>
          <w:snapToGrid w:val="0"/>
          <w:kern w:val="0"/>
          <w:sz w:val="32"/>
          <w:szCs w:val="32"/>
          <w:highlight w:val="none"/>
          <w:lang w:val="en-US" w:eastAsia="zh-CN"/>
        </w:rPr>
        <w:t>1.</w:t>
      </w:r>
      <w:r>
        <w:rPr>
          <w:rFonts w:hint="eastAsia" w:ascii="彩虹粗仿宋" w:hAnsi="宋体" w:eastAsia="彩虹粗仿宋"/>
          <w:snapToGrid w:val="0"/>
          <w:kern w:val="0"/>
          <w:sz w:val="32"/>
          <w:szCs w:val="32"/>
          <w:highlight w:val="none"/>
          <w:lang w:eastAsia="zh-CN"/>
        </w:rPr>
        <w:t>天津市肿瘤医院、建行河西支行及供应商应对协议的内容和为签署协议而相互提供的资料、信息进行保密。未经书面同意，任何一方不得向其他方提供、披露协议项下各方的关系、协议的具体内容及披露方向接收方披露的任何相关信息，包括但不限于商业方案、执行计划等，但是根据有关法律法规和监管规定需要披露的除外。任一方违反本条款约定的保密义务，应对非违约方承担损害赔偿责任。本保密条款持续有效，不因协议的终止而终止。</w:t>
      </w:r>
    </w:p>
    <w:p w14:paraId="3B93168C">
      <w:pPr>
        <w:adjustRightInd w:val="0"/>
        <w:snapToGrid w:val="0"/>
        <w:spacing w:line="360" w:lineRule="auto"/>
        <w:ind w:firstLine="640" w:firstLineChars="200"/>
        <w:rPr>
          <w:rFonts w:hint="eastAsia" w:ascii="彩虹粗仿宋" w:hAnsi="宋体" w:eastAsia="彩虹粗仿宋"/>
          <w:snapToGrid w:val="0"/>
          <w:kern w:val="0"/>
          <w:sz w:val="32"/>
          <w:szCs w:val="32"/>
          <w:highlight w:val="none"/>
          <w:lang w:eastAsia="zh-CN"/>
        </w:rPr>
      </w:pPr>
      <w:r>
        <w:rPr>
          <w:rFonts w:hint="eastAsia" w:ascii="彩虹粗仿宋" w:hAnsi="宋体" w:eastAsia="彩虹粗仿宋"/>
          <w:snapToGrid w:val="0"/>
          <w:kern w:val="0"/>
          <w:sz w:val="32"/>
          <w:szCs w:val="32"/>
          <w:highlight w:val="none"/>
          <w:lang w:eastAsia="zh-CN"/>
        </w:rPr>
        <w:t>2.天津市肿瘤医院、建行河西支行根据服务标准确认服务效果，每次付款前需由使用方天津市肿瘤医院出具确认的维保服务验收确认函，作为验收标准及验收流程。</w:t>
      </w:r>
    </w:p>
    <w:p w14:paraId="7E7DB26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八、报价要求</w:t>
      </w:r>
    </w:p>
    <w:p w14:paraId="503FC42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报含税单价及总价。</w:t>
      </w:r>
    </w:p>
    <w:p w14:paraId="33B5942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九、款项支付要求</w:t>
      </w:r>
    </w:p>
    <w:p w14:paraId="7FB7FB3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1.本合同项下的一切费用均以人民币结算及支付。</w:t>
      </w:r>
    </w:p>
    <w:p w14:paraId="0A08F10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2.付款方式</w:t>
      </w:r>
    </w:p>
    <w:p w14:paraId="0E44798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eastAsia="zh-CN"/>
        </w:rPr>
        <w:t>该项目服务期为</w:t>
      </w:r>
      <w:r>
        <w:rPr>
          <w:rFonts w:hint="eastAsia" w:ascii="彩虹粗仿宋" w:hAnsi="宋体" w:eastAsia="彩虹粗仿宋"/>
          <w:sz w:val="32"/>
          <w:szCs w:val="32"/>
          <w:highlight w:val="none"/>
          <w:lang w:val="en-US" w:eastAsia="zh-CN"/>
        </w:rPr>
        <w:t>5年。</w:t>
      </w:r>
      <w:r>
        <w:rPr>
          <w:rFonts w:hint="eastAsia" w:ascii="彩虹粗仿宋" w:hAnsi="宋体" w:eastAsia="彩虹粗仿宋"/>
          <w:sz w:val="32"/>
          <w:szCs w:val="32"/>
          <w:highlight w:val="none"/>
          <w:lang w:eastAsia="zh-CN"/>
        </w:rPr>
        <w:t>签订合同后，</w:t>
      </w:r>
      <w:r>
        <w:rPr>
          <w:rFonts w:hint="eastAsia" w:ascii="彩虹粗仿宋" w:hAnsi="宋体" w:eastAsia="彩虹粗仿宋"/>
          <w:sz w:val="32"/>
          <w:szCs w:val="32"/>
          <w:highlight w:val="none"/>
          <w:lang w:val="en-US" w:eastAsia="zh-CN"/>
        </w:rPr>
        <w:t>采取三次付款的方式。即第一次付款为自合同签署生效后20 个工作日内，付款金额为合同款的50%。第二次付款为自项目验收后20个工作日内，付款金额为合同款的40%。第三次付款金额为自设备稳定运行三年后20个工作日内，付款金额为合同款的5%，每次付款前需由使用方天津市肿瘤医院出具同意付款的函或验收报告。第四次付款金额为自系统稳定运行五年后20个工作日内，付款金额为合同款的5%，尾款付款前需由使用方天津市肿瘤医院出具同意付款的函或验收报告。</w:t>
      </w:r>
    </w:p>
    <w:p w14:paraId="7D3C040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十、其他要求。</w:t>
      </w:r>
    </w:p>
    <w:p w14:paraId="629C5E9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val="en-US" w:eastAsia="zh-CN"/>
        </w:rPr>
        <w:t>1.入选供应商应在建行开立对公结算账户及数币对公钱包（特殊情况除外），在龙集采平台办理相关手续，确保后期可以签订电子合同及电子签章。</w:t>
      </w:r>
    </w:p>
    <w:p w14:paraId="0B60FB5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val="en-US" w:eastAsia="zh-CN"/>
        </w:rPr>
        <w:t>2.</w:t>
      </w:r>
      <w:r>
        <w:rPr>
          <w:rFonts w:hint="eastAsia" w:ascii="彩虹粗仿宋" w:hAnsi="宋体" w:eastAsia="彩虹粗仿宋"/>
          <w:sz w:val="32"/>
          <w:szCs w:val="32"/>
          <w:highlight w:val="none"/>
          <w:lang w:eastAsia="zh-CN"/>
        </w:rPr>
        <w:t>供应商应提供数据安全承诺并加盖公章。</w:t>
      </w:r>
    </w:p>
    <w:p w14:paraId="0CA5DCD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w:t>
      </w:r>
      <w:r>
        <w:rPr>
          <w:rFonts w:hint="eastAsia" w:ascii="彩虹粗仿宋" w:hAnsi="宋体" w:eastAsia="彩虹粗仿宋"/>
          <w:sz w:val="32"/>
          <w:szCs w:val="32"/>
          <w:highlight w:val="none"/>
          <w:lang w:val="en-US" w:eastAsia="zh-CN"/>
        </w:rPr>
        <w:t>1.</w:t>
      </w:r>
      <w:r>
        <w:rPr>
          <w:rFonts w:hint="eastAsia" w:ascii="彩虹粗仿宋" w:hAnsi="宋体" w:eastAsia="彩虹粗仿宋"/>
          <w:sz w:val="32"/>
          <w:szCs w:val="32"/>
          <w:highlight w:val="none"/>
          <w:lang w:eastAsia="zh-CN"/>
        </w:rPr>
        <w:t>本单位未发生过重大违法违规情形，或者迟报、瞒报数据安全事件和案件，或者产生过重大数据安全风险、事件、案件等。2.本单位如被确定为建行的合作机构，在签订合同时，需同意建行在协议正文或以附件形式添加《数据安全条款》。若在建行进行驻场，会组织人员签署《第三方合作人员数据安全承诺书》。”</w:t>
      </w:r>
    </w:p>
    <w:p w14:paraId="1B3118B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val="en-US" w:eastAsia="zh-CN"/>
        </w:rPr>
        <w:t>3.</w:t>
      </w:r>
      <w:r>
        <w:rPr>
          <w:rFonts w:hint="eastAsia" w:ascii="彩虹粗仿宋" w:hAnsi="宋体" w:eastAsia="彩虹粗仿宋"/>
          <w:sz w:val="32"/>
          <w:szCs w:val="32"/>
          <w:highlight w:val="none"/>
          <w:lang w:eastAsia="zh-CN"/>
        </w:rPr>
        <w:t>中标</w:t>
      </w:r>
      <w:r>
        <w:rPr>
          <w:rFonts w:hint="eastAsia" w:ascii="彩虹粗仿宋" w:hAnsi="宋体" w:eastAsia="彩虹粗仿宋"/>
          <w:sz w:val="32"/>
          <w:szCs w:val="32"/>
          <w:highlight w:val="none"/>
          <w:lang w:val="en-US" w:eastAsia="zh-CN"/>
        </w:rPr>
        <w:t>供应商需</w:t>
      </w:r>
      <w:r>
        <w:rPr>
          <w:rFonts w:hint="eastAsia" w:ascii="彩虹粗仿宋" w:hAnsi="宋体" w:eastAsia="彩虹粗仿宋"/>
          <w:sz w:val="32"/>
          <w:szCs w:val="32"/>
          <w:highlight w:val="none"/>
          <w:lang w:eastAsia="zh-CN"/>
        </w:rPr>
        <w:t>制定数据安全事件应急预案并定期开展数据安全相关培训、检查、演练工作。</w:t>
      </w:r>
    </w:p>
    <w:p w14:paraId="7C8EF961">
      <w:pPr>
        <w:keepNext w:val="0"/>
        <w:keepLines w:val="0"/>
        <w:pageBreakBefore w:val="0"/>
        <w:widowControl w:val="0"/>
        <w:kinsoku/>
        <w:wordWrap/>
        <w:overflowPunct/>
        <w:topLinePunct w:val="0"/>
        <w:autoSpaceDE/>
        <w:autoSpaceDN/>
        <w:bidi w:val="0"/>
        <w:spacing w:line="240" w:lineRule="auto"/>
        <w:jc w:val="left"/>
        <w:textAlignment w:val="auto"/>
        <w:rPr>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EDD230"/>
    <w:rsid w:val="17EF3CDC"/>
    <w:rsid w:val="1EEB1601"/>
    <w:rsid w:val="1FFA834C"/>
    <w:rsid w:val="2BEFFBE9"/>
    <w:rsid w:val="2F5EA069"/>
    <w:rsid w:val="2FEF6D60"/>
    <w:rsid w:val="35FF0AB5"/>
    <w:rsid w:val="3DBB4C75"/>
    <w:rsid w:val="3DC58923"/>
    <w:rsid w:val="3E0DB830"/>
    <w:rsid w:val="3F56319E"/>
    <w:rsid w:val="3FF513AF"/>
    <w:rsid w:val="448C0AD0"/>
    <w:rsid w:val="47EB99AE"/>
    <w:rsid w:val="4BF3624D"/>
    <w:rsid w:val="4FD62160"/>
    <w:rsid w:val="54CC47DB"/>
    <w:rsid w:val="59DF2B0F"/>
    <w:rsid w:val="5B3DB3DE"/>
    <w:rsid w:val="5B97491B"/>
    <w:rsid w:val="5DAFE40F"/>
    <w:rsid w:val="5DDD6825"/>
    <w:rsid w:val="5EEAFBD0"/>
    <w:rsid w:val="5EF99208"/>
    <w:rsid w:val="5FAFD57F"/>
    <w:rsid w:val="5FF572C0"/>
    <w:rsid w:val="66FF7DB6"/>
    <w:rsid w:val="679BE9AF"/>
    <w:rsid w:val="67E35B6B"/>
    <w:rsid w:val="67EBEAF0"/>
    <w:rsid w:val="69EBE887"/>
    <w:rsid w:val="6D3AF3E4"/>
    <w:rsid w:val="6F1FCDE8"/>
    <w:rsid w:val="6F3F048A"/>
    <w:rsid w:val="6F772C02"/>
    <w:rsid w:val="73FC306B"/>
    <w:rsid w:val="73FCE5E2"/>
    <w:rsid w:val="745B5B77"/>
    <w:rsid w:val="759F079E"/>
    <w:rsid w:val="76FCD696"/>
    <w:rsid w:val="7737E2E9"/>
    <w:rsid w:val="775AC1C5"/>
    <w:rsid w:val="77939450"/>
    <w:rsid w:val="77AFC36E"/>
    <w:rsid w:val="77BB7297"/>
    <w:rsid w:val="77DB6A23"/>
    <w:rsid w:val="77EBAE82"/>
    <w:rsid w:val="77FFE5AC"/>
    <w:rsid w:val="7AFC8C20"/>
    <w:rsid w:val="7B5D1CE8"/>
    <w:rsid w:val="7B6F5092"/>
    <w:rsid w:val="7B7BEDA5"/>
    <w:rsid w:val="7BBD0475"/>
    <w:rsid w:val="7BFC2AF1"/>
    <w:rsid w:val="7BFD9C5E"/>
    <w:rsid w:val="7BFFC64D"/>
    <w:rsid w:val="7CBE3A74"/>
    <w:rsid w:val="7CF89CAC"/>
    <w:rsid w:val="7DE852DD"/>
    <w:rsid w:val="7DEFFFA9"/>
    <w:rsid w:val="7DFF8CCB"/>
    <w:rsid w:val="7E6F5A94"/>
    <w:rsid w:val="7F4F5A3C"/>
    <w:rsid w:val="7F7F3782"/>
    <w:rsid w:val="7FA74C77"/>
    <w:rsid w:val="7FCD7E99"/>
    <w:rsid w:val="7FDF5725"/>
    <w:rsid w:val="7FED6C80"/>
    <w:rsid w:val="7FFB042B"/>
    <w:rsid w:val="7FFB7141"/>
    <w:rsid w:val="7FFC1525"/>
    <w:rsid w:val="ACE7F0F7"/>
    <w:rsid w:val="AF3D559B"/>
    <w:rsid w:val="B2FFAF8A"/>
    <w:rsid w:val="B61E9867"/>
    <w:rsid w:val="B7F354CE"/>
    <w:rsid w:val="B9E3A675"/>
    <w:rsid w:val="BB73336F"/>
    <w:rsid w:val="BEEE5F83"/>
    <w:rsid w:val="BFB758B4"/>
    <w:rsid w:val="BFDE8B48"/>
    <w:rsid w:val="D9AB135B"/>
    <w:rsid w:val="DBFBB6C5"/>
    <w:rsid w:val="DDA738BB"/>
    <w:rsid w:val="DF67B666"/>
    <w:rsid w:val="DF7F3AB5"/>
    <w:rsid w:val="DFF3B2FE"/>
    <w:rsid w:val="E2B6D5EA"/>
    <w:rsid w:val="EA73CDDB"/>
    <w:rsid w:val="EBE32B87"/>
    <w:rsid w:val="EE7DAC11"/>
    <w:rsid w:val="EEFD1DC6"/>
    <w:rsid w:val="EFF1B9D3"/>
    <w:rsid w:val="F3EE1C9F"/>
    <w:rsid w:val="F4FF17D7"/>
    <w:rsid w:val="F57E453E"/>
    <w:rsid w:val="F5F2CEAC"/>
    <w:rsid w:val="F69E3426"/>
    <w:rsid w:val="F6BFF53D"/>
    <w:rsid w:val="F6DB8FA5"/>
    <w:rsid w:val="F767BDBA"/>
    <w:rsid w:val="F76F3F7E"/>
    <w:rsid w:val="F7FB234B"/>
    <w:rsid w:val="FAEE5A59"/>
    <w:rsid w:val="FB7D71AD"/>
    <w:rsid w:val="FBFF6D36"/>
    <w:rsid w:val="FD7E85F6"/>
    <w:rsid w:val="FDE7D3A3"/>
    <w:rsid w:val="FDF6D410"/>
    <w:rsid w:val="FEAA06A3"/>
    <w:rsid w:val="FEAF7B2F"/>
    <w:rsid w:val="FEEE64C4"/>
    <w:rsid w:val="FEFF451E"/>
    <w:rsid w:val="FF8B583E"/>
    <w:rsid w:val="FFF24756"/>
    <w:rsid w:val="FFF3A7D7"/>
    <w:rsid w:val="FFFDEF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Office_12.8.2.17134_F1E327BC-269C-435d-A152-05C5408002CA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2025-09-10T10:02:16Z</dcterms:created>
  <dc:creator>ccb</dc:creator>
  <cp:lastModifiedBy>马越</cp:lastModifiedBy>
  <cp:lastPrinted>2025-09-21T14:42:00Z</cp:lastPrinted>
  <dcterms:modified xsi:type="dcterms:W3CDTF">2025-11-19T09:10:14Z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E6A93F8A078A4969981958DE052E4592_13</vt:lpwstr>
  </property>
</Properties>
</file>