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ind w:firstLine="720" w:firstLineChars="200"/>
        <w:jc w:val="center"/>
        <w:rPr>
          <w:rFonts w:hint="eastAsia" w:ascii="彩虹小标宋" w:hAnsi="宋体" w:eastAsia="彩虹小标宋" w:cs="Times New Roman"/>
          <w:bCs/>
          <w:snapToGrid w:val="0"/>
          <w:kern w:val="0"/>
          <w:sz w:val="36"/>
          <w:szCs w:val="36"/>
        </w:rPr>
      </w:pPr>
      <w:bookmarkStart w:id="0" w:name="PO_PURCHASE_REQUISITION_NAME"/>
      <w:r>
        <w:rPr>
          <w:rFonts w:hint="eastAsia" w:ascii="彩虹小标宋" w:hAnsi="宋体" w:eastAsia="彩虹小标宋" w:cs="Times New Roman"/>
          <w:bCs/>
          <w:snapToGrid w:val="0"/>
          <w:kern w:val="0"/>
          <w:sz w:val="36"/>
          <w:szCs w:val="36"/>
        </w:rPr>
        <w:t>中国建设银行河南省分行本部</w:t>
      </w:r>
      <w:r>
        <w:rPr>
          <w:rFonts w:ascii="彩虹小标宋" w:hAnsi="宋体" w:eastAsia="彩虹小标宋" w:cs="Times New Roman"/>
          <w:bCs/>
          <w:snapToGrid w:val="0"/>
          <w:kern w:val="0"/>
          <w:sz w:val="36"/>
          <w:szCs w:val="36"/>
        </w:rPr>
        <w:t>2024年</w:t>
      </w:r>
    </w:p>
    <w:p>
      <w:pPr>
        <w:adjustRightInd w:val="0"/>
        <w:snapToGrid w:val="0"/>
        <w:spacing w:line="560" w:lineRule="exact"/>
        <w:ind w:firstLine="720" w:firstLineChars="200"/>
        <w:jc w:val="center"/>
        <w:rPr>
          <w:rFonts w:ascii="彩虹小标宋" w:hAnsi="宋体" w:eastAsia="彩虹小标宋" w:cs="Times New Roman"/>
          <w:bCs/>
          <w:snapToGrid w:val="0"/>
          <w:kern w:val="0"/>
          <w:sz w:val="36"/>
          <w:szCs w:val="36"/>
        </w:rPr>
      </w:pPr>
      <w:r>
        <w:rPr>
          <w:rFonts w:ascii="彩虹小标宋" w:hAnsi="宋体" w:eastAsia="彩虹小标宋" w:cs="Times New Roman"/>
          <w:bCs/>
          <w:snapToGrid w:val="0"/>
          <w:kern w:val="0"/>
          <w:sz w:val="36"/>
          <w:szCs w:val="36"/>
        </w:rPr>
        <w:t>涉税服务</w:t>
      </w:r>
      <w:bookmarkEnd w:id="0"/>
      <w:r>
        <w:rPr>
          <w:rFonts w:hint="eastAsia" w:ascii="彩虹小标宋" w:hAnsi="宋体" w:eastAsia="彩虹小标宋" w:cs="Times New Roman"/>
          <w:bCs/>
          <w:snapToGrid w:val="0"/>
          <w:kern w:val="0"/>
          <w:sz w:val="36"/>
          <w:szCs w:val="36"/>
          <w:lang w:val="en-US" w:eastAsia="zh-CN"/>
        </w:rPr>
        <w:t>项目</w:t>
      </w:r>
      <w:r>
        <w:rPr>
          <w:rFonts w:hint="eastAsia" w:ascii="彩虹小标宋" w:hAnsi="宋体" w:eastAsia="彩虹小标宋" w:cs="Times New Roman"/>
          <w:bCs/>
          <w:snapToGrid w:val="0"/>
          <w:kern w:val="0"/>
          <w:sz w:val="36"/>
          <w:szCs w:val="36"/>
        </w:rPr>
        <w:t>采购需求正文</w:t>
      </w:r>
    </w:p>
    <w:p>
      <w:pPr>
        <w:spacing w:line="560" w:lineRule="exact"/>
        <w:ind w:firstLine="627" w:firstLineChars="196"/>
        <w:rPr>
          <w:rFonts w:ascii="彩虹黑体" w:hAnsi="宋体" w:eastAsia="彩虹黑体"/>
          <w:snapToGrid w:val="0"/>
          <w:color w:val="000000"/>
          <w:kern w:val="0"/>
          <w:sz w:val="32"/>
          <w:szCs w:val="32"/>
        </w:rPr>
      </w:pPr>
      <w:r>
        <w:rPr>
          <w:rFonts w:hint="eastAsia" w:ascii="彩虹黑体" w:hAnsi="宋体" w:eastAsia="彩虹黑体"/>
          <w:snapToGrid w:val="0"/>
          <w:color w:val="000000"/>
          <w:kern w:val="0"/>
          <w:sz w:val="32"/>
          <w:szCs w:val="32"/>
        </w:rPr>
        <w:t>一、服务供应商要求</w:t>
      </w:r>
    </w:p>
    <w:p>
      <w:pPr>
        <w:adjustRightInd w:val="0"/>
        <w:snapToGrid w:val="0"/>
        <w:spacing w:line="560" w:lineRule="atLeast"/>
        <w:ind w:firstLine="640" w:firstLineChars="200"/>
        <w:rPr>
          <w:rFonts w:ascii="彩虹粗仿宋" w:hAnsi="宋体" w:eastAsia="彩虹粗仿宋"/>
          <w:snapToGrid w:val="0"/>
          <w:color w:val="000000"/>
          <w:kern w:val="0"/>
          <w:sz w:val="32"/>
          <w:szCs w:val="32"/>
        </w:rPr>
      </w:pPr>
      <w:r>
        <w:rPr>
          <w:rFonts w:hint="eastAsia" w:ascii="彩虹粗仿宋" w:hAnsi="宋体" w:eastAsia="彩虹粗仿宋"/>
          <w:snapToGrid w:val="0"/>
          <w:color w:val="000000"/>
          <w:kern w:val="0"/>
          <w:sz w:val="32"/>
          <w:szCs w:val="32"/>
        </w:rPr>
        <w:t>1.</w:t>
      </w:r>
      <w:r>
        <w:rPr>
          <w:rFonts w:hint="eastAsia" w:ascii="彩虹粗仿宋" w:eastAsia="彩虹粗仿宋"/>
          <w:color w:val="000000" w:themeColor="text1"/>
          <w:sz w:val="32"/>
          <w:szCs w:val="32"/>
          <w14:textFill>
            <w14:solidFill>
              <w14:schemeClr w14:val="tx1"/>
            </w14:solidFill>
          </w14:textFill>
        </w:rPr>
        <w:t>具有独立法人资格或民事主体资格，</w:t>
      </w:r>
      <w:r>
        <w:rPr>
          <w:rFonts w:hint="eastAsia" w:ascii="彩虹粗仿宋" w:hAnsi="宋体" w:eastAsia="彩虹粗仿宋"/>
          <w:snapToGrid w:val="0"/>
          <w:color w:val="000000"/>
          <w:kern w:val="0"/>
          <w:sz w:val="32"/>
          <w:szCs w:val="32"/>
        </w:rPr>
        <w:t>有效的营业执照，主营业务包括税务咨询、涉税服务类。</w:t>
      </w:r>
    </w:p>
    <w:p>
      <w:pPr>
        <w:spacing w:line="560" w:lineRule="exact"/>
        <w:ind w:firstLine="627" w:firstLineChars="196"/>
        <w:rPr>
          <w:rFonts w:ascii="彩虹粗仿宋" w:hAnsi="宋体" w:eastAsia="彩虹粗仿宋"/>
          <w:snapToGrid w:val="0"/>
          <w:color w:val="000000"/>
          <w:kern w:val="0"/>
          <w:sz w:val="32"/>
          <w:szCs w:val="32"/>
        </w:rPr>
      </w:pPr>
      <w:r>
        <w:rPr>
          <w:rFonts w:hint="eastAsia" w:ascii="彩虹粗仿宋" w:hAnsi="宋体" w:eastAsia="彩虹粗仿宋"/>
          <w:snapToGrid w:val="0"/>
          <w:color w:val="000000"/>
          <w:kern w:val="0"/>
          <w:sz w:val="32"/>
          <w:szCs w:val="32"/>
        </w:rPr>
        <w:t>2.</w:t>
      </w:r>
      <w:r>
        <w:rPr>
          <w:rFonts w:hint="eastAsia" w:ascii="彩虹粗仿宋" w:eastAsia="彩虹粗仿宋"/>
          <w:color w:val="000000" w:themeColor="text1"/>
          <w:sz w:val="32"/>
          <w:szCs w:val="32"/>
          <w14:textFill>
            <w14:solidFill>
              <w14:schemeClr w14:val="tx1"/>
            </w14:solidFill>
          </w14:textFill>
        </w:rPr>
        <w:t>供应商</w:t>
      </w:r>
      <w:r>
        <w:rPr>
          <w:rFonts w:hint="eastAsia" w:ascii="彩虹粗仿宋" w:hAnsi="宋体" w:eastAsia="彩虹粗仿宋"/>
          <w:snapToGrid w:val="0"/>
          <w:color w:val="000000"/>
          <w:kern w:val="0"/>
          <w:sz w:val="32"/>
          <w:szCs w:val="32"/>
        </w:rPr>
        <w:t>2020年1月1日以来具有至少2家银行的服务经验，资质等级在A级及以上，公司在职涉税服务人员在15人（含）以上，税务师不少于5人，提供相</w:t>
      </w:r>
      <w:bookmarkStart w:id="1" w:name="_GoBack"/>
      <w:bookmarkEnd w:id="1"/>
      <w:r>
        <w:rPr>
          <w:rFonts w:hint="eastAsia" w:ascii="彩虹粗仿宋" w:hAnsi="宋体" w:eastAsia="彩虹粗仿宋"/>
          <w:snapToGrid w:val="0"/>
          <w:color w:val="000000"/>
          <w:kern w:val="0"/>
          <w:sz w:val="32"/>
          <w:szCs w:val="32"/>
        </w:rPr>
        <w:t>关证明。</w:t>
      </w:r>
    </w:p>
    <w:p>
      <w:pPr>
        <w:spacing w:line="560" w:lineRule="exact"/>
        <w:ind w:firstLine="627" w:firstLineChars="196"/>
        <w:rPr>
          <w:rFonts w:ascii="彩虹粗仿宋" w:eastAsia="彩虹粗仿宋"/>
          <w:color w:val="000000" w:themeColor="text1"/>
          <w:sz w:val="32"/>
          <w:szCs w:val="32"/>
          <w14:textFill>
            <w14:solidFill>
              <w14:schemeClr w14:val="tx1"/>
            </w14:solidFill>
          </w14:textFill>
        </w:rPr>
      </w:pPr>
      <w:r>
        <w:rPr>
          <w:rFonts w:hint="eastAsia" w:ascii="彩虹粗仿宋" w:hAnsi="宋体" w:eastAsia="彩虹粗仿宋"/>
          <w:snapToGrid w:val="0"/>
          <w:color w:val="000000"/>
          <w:kern w:val="0"/>
          <w:sz w:val="32"/>
          <w:szCs w:val="32"/>
        </w:rPr>
        <w:t>3.供应商须在郑州市有固定的经营场所，具有完善的服务体系，确保服务过程中遇到的问题能够</w:t>
      </w:r>
      <w:r>
        <w:rPr>
          <w:rFonts w:hint="eastAsia" w:ascii="彩虹粗仿宋" w:eastAsia="彩虹粗仿宋"/>
          <w:color w:val="000000" w:themeColor="text1"/>
          <w:sz w:val="32"/>
          <w:szCs w:val="32"/>
          <w14:textFill>
            <w14:solidFill>
              <w14:schemeClr w14:val="tx1"/>
            </w14:solidFill>
          </w14:textFill>
        </w:rPr>
        <w:t>及时得到响应解决。</w:t>
      </w:r>
    </w:p>
    <w:p>
      <w:pPr>
        <w:adjustRightInd w:val="0"/>
        <w:snapToGrid w:val="0"/>
        <w:spacing w:line="560" w:lineRule="atLeast"/>
        <w:ind w:firstLine="640" w:firstLineChars="200"/>
        <w:rPr>
          <w:rFonts w:ascii="彩虹粗仿宋" w:hAnsi="宋体" w:eastAsia="彩虹粗仿宋"/>
          <w:snapToGrid w:val="0"/>
          <w:color w:val="000000"/>
          <w:kern w:val="0"/>
          <w:sz w:val="32"/>
          <w:szCs w:val="32"/>
        </w:rPr>
      </w:pPr>
      <w:r>
        <w:rPr>
          <w:rFonts w:hint="eastAsia" w:ascii="彩虹粗仿宋" w:hAnsi="宋体" w:eastAsia="彩虹粗仿宋"/>
          <w:snapToGrid w:val="0"/>
          <w:color w:val="000000"/>
          <w:kern w:val="0"/>
          <w:sz w:val="32"/>
          <w:szCs w:val="32"/>
        </w:rPr>
        <w:t>4.供应商当前未被“信用中国”网站列入税收违法黑名单；未被“中国执行信息公开网”列入失信被执行人名单；未被“中国政府采购网”列入政府采购严重违法失信行为记录名单；未被“国家企业信用信息公示系统”网站列入严重违法失信名单。</w:t>
      </w:r>
    </w:p>
    <w:p>
      <w:pPr>
        <w:adjustRightInd w:val="0"/>
        <w:snapToGrid w:val="0"/>
        <w:spacing w:line="560" w:lineRule="atLeast"/>
        <w:ind w:firstLine="640" w:firstLineChars="200"/>
        <w:rPr>
          <w:rFonts w:ascii="彩虹粗仿宋" w:eastAsia="彩虹粗仿宋"/>
          <w:color w:val="000000" w:themeColor="text1"/>
          <w:sz w:val="32"/>
          <w:szCs w:val="32"/>
          <w14:textFill>
            <w14:solidFill>
              <w14:schemeClr w14:val="tx1"/>
            </w14:solidFill>
          </w14:textFill>
        </w:rPr>
      </w:pPr>
      <w:r>
        <w:rPr>
          <w:rFonts w:hint="eastAsia" w:ascii="彩虹粗仿宋" w:hAnsi="宋体" w:eastAsia="彩虹粗仿宋"/>
          <w:snapToGrid w:val="0"/>
          <w:color w:val="000000"/>
          <w:kern w:val="0"/>
          <w:sz w:val="32"/>
          <w:szCs w:val="32"/>
        </w:rPr>
        <w:t>5.</w:t>
      </w:r>
      <w:r>
        <w:rPr>
          <w:rFonts w:hint="eastAsia" w:ascii="彩虹粗仿宋" w:eastAsia="彩虹粗仿宋"/>
          <w:color w:val="000000" w:themeColor="text1"/>
          <w:sz w:val="32"/>
          <w:szCs w:val="32"/>
          <w14:textFill>
            <w14:solidFill>
              <w14:schemeClr w14:val="tx1"/>
            </w14:solidFill>
          </w14:textFill>
        </w:rPr>
        <w:t>近一年来未发生重大投诉、声誉风险等事件，近三年在经营活动中没有重大违法记录,提供承诺书。</w:t>
      </w:r>
    </w:p>
    <w:p>
      <w:pPr>
        <w:spacing w:line="560" w:lineRule="exact"/>
        <w:ind w:firstLine="627" w:firstLineChars="196"/>
        <w:rPr>
          <w:rFonts w:ascii="彩虹黑体" w:hAnsi="宋体" w:eastAsia="彩虹黑体"/>
          <w:snapToGrid w:val="0"/>
          <w:color w:val="000000"/>
          <w:kern w:val="0"/>
          <w:sz w:val="32"/>
          <w:szCs w:val="32"/>
        </w:rPr>
      </w:pPr>
      <w:r>
        <w:rPr>
          <w:rFonts w:hint="eastAsia" w:ascii="彩虹黑体" w:hAnsi="宋体" w:eastAsia="彩虹黑体"/>
          <w:snapToGrid w:val="0"/>
          <w:color w:val="000000"/>
          <w:kern w:val="0"/>
          <w:sz w:val="32"/>
          <w:szCs w:val="32"/>
        </w:rPr>
        <w:t>二、服务种类</w:t>
      </w:r>
    </w:p>
    <w:p>
      <w:pPr>
        <w:adjustRightInd w:val="0"/>
        <w:snapToGrid w:val="0"/>
        <w:spacing w:line="560" w:lineRule="atLeast"/>
        <w:ind w:firstLine="640" w:firstLineChars="200"/>
        <w:rPr>
          <w:rFonts w:ascii="彩虹粗仿宋" w:hAnsi="宋体" w:eastAsia="彩虹粗仿宋"/>
          <w:snapToGrid w:val="0"/>
          <w:kern w:val="0"/>
          <w:sz w:val="32"/>
          <w:szCs w:val="32"/>
        </w:rPr>
      </w:pPr>
      <w:r>
        <w:rPr>
          <w:rFonts w:hint="eastAsia" w:ascii="彩虹粗仿宋" w:hAnsi="宋体" w:eastAsia="彩虹粗仿宋"/>
          <w:snapToGrid w:val="0"/>
          <w:color w:val="000000"/>
          <w:kern w:val="0"/>
          <w:sz w:val="32"/>
          <w:szCs w:val="32"/>
        </w:rPr>
        <w:t>税务服务，具体包括以下内容：1.</w:t>
      </w:r>
      <w:r>
        <w:rPr>
          <w:rFonts w:hint="eastAsia" w:ascii="彩虹粗仿宋" w:hAnsi="宋体" w:eastAsia="彩虹粗仿宋"/>
          <w:snapToGrid w:val="0"/>
          <w:kern w:val="0"/>
          <w:sz w:val="32"/>
          <w:szCs w:val="32"/>
        </w:rPr>
        <w:t>企业所得税汇算清缴；</w:t>
      </w:r>
      <w:r>
        <w:rPr>
          <w:rFonts w:hint="eastAsia" w:ascii="彩虹粗仿宋" w:hAnsi="宋体" w:eastAsia="彩虹粗仿宋"/>
          <w:snapToGrid w:val="0"/>
          <w:color w:val="000000"/>
          <w:kern w:val="0"/>
          <w:sz w:val="32"/>
          <w:szCs w:val="32"/>
        </w:rPr>
        <w:t>2.日常申报、</w:t>
      </w:r>
      <w:r>
        <w:rPr>
          <w:rFonts w:ascii="彩虹粗仿宋" w:hAnsi="宋体" w:eastAsia="彩虹粗仿宋"/>
          <w:snapToGrid w:val="0"/>
          <w:color w:val="000000"/>
          <w:kern w:val="0"/>
          <w:sz w:val="32"/>
          <w:szCs w:val="32"/>
        </w:rPr>
        <w:t>税务咨询</w:t>
      </w:r>
      <w:r>
        <w:rPr>
          <w:rFonts w:hint="eastAsia" w:ascii="彩虹粗仿宋" w:hAnsi="宋体" w:eastAsia="彩虹粗仿宋"/>
          <w:snapToGrid w:val="0"/>
          <w:color w:val="000000"/>
          <w:kern w:val="0"/>
          <w:sz w:val="32"/>
          <w:szCs w:val="32"/>
        </w:rPr>
        <w:t>、评估</w:t>
      </w:r>
      <w:r>
        <w:rPr>
          <w:rFonts w:hint="eastAsia" w:ascii="彩虹粗仿宋" w:eastAsia="彩虹粗仿宋"/>
          <w:color w:val="000000" w:themeColor="text1"/>
          <w:sz w:val="32"/>
          <w:szCs w:val="32"/>
          <w14:textFill>
            <w14:solidFill>
              <w14:schemeClr w14:val="tx1"/>
            </w14:solidFill>
          </w14:textFill>
        </w:rPr>
        <w:t>服务</w:t>
      </w:r>
      <w:r>
        <w:rPr>
          <w:rFonts w:hint="eastAsia" w:ascii="彩虹粗仿宋" w:hAnsi="宋体" w:eastAsia="彩虹粗仿宋"/>
          <w:snapToGrid w:val="0"/>
          <w:color w:val="000000"/>
          <w:kern w:val="0"/>
          <w:sz w:val="32"/>
          <w:szCs w:val="32"/>
        </w:rPr>
        <w:t>及税局安排的临时性</w:t>
      </w:r>
      <w:r>
        <w:rPr>
          <w:rFonts w:hint="eastAsia" w:ascii="彩虹粗仿宋" w:hAnsi="宋体" w:eastAsia="彩虹粗仿宋"/>
          <w:snapToGrid w:val="0"/>
          <w:kern w:val="0"/>
          <w:sz w:val="32"/>
          <w:szCs w:val="32"/>
        </w:rPr>
        <w:t>工作；3.提供专业的税务培训。</w:t>
      </w:r>
    </w:p>
    <w:p>
      <w:pPr>
        <w:adjustRightInd w:val="0"/>
        <w:snapToGrid w:val="0"/>
        <w:spacing w:line="560" w:lineRule="atLeast"/>
        <w:ind w:firstLine="640" w:firstLineChars="200"/>
        <w:rPr>
          <w:rFonts w:ascii="彩虹黑体" w:hAnsi="宋体" w:eastAsia="彩虹黑体"/>
          <w:snapToGrid w:val="0"/>
          <w:kern w:val="0"/>
          <w:sz w:val="32"/>
          <w:szCs w:val="32"/>
        </w:rPr>
      </w:pPr>
      <w:r>
        <w:rPr>
          <w:rFonts w:hint="eastAsia" w:ascii="彩虹黑体" w:hAnsi="宋体" w:eastAsia="彩虹黑体"/>
          <w:snapToGrid w:val="0"/>
          <w:kern w:val="0"/>
          <w:sz w:val="32"/>
          <w:szCs w:val="32"/>
        </w:rPr>
        <w:t>三、服务团队</w:t>
      </w:r>
    </w:p>
    <w:p>
      <w:pPr>
        <w:adjustRightInd w:val="0"/>
        <w:snapToGrid w:val="0"/>
        <w:spacing w:line="560" w:lineRule="atLeast"/>
        <w:ind w:firstLine="640" w:firstLineChars="200"/>
        <w:rPr>
          <w:rFonts w:ascii="彩虹粗仿宋" w:hAnsi="宋体" w:eastAsia="彩虹粗仿宋"/>
          <w:snapToGrid w:val="0"/>
          <w:kern w:val="0"/>
          <w:sz w:val="32"/>
          <w:szCs w:val="32"/>
        </w:rPr>
      </w:pPr>
      <w:r>
        <w:rPr>
          <w:rFonts w:hint="eastAsia" w:ascii="彩虹粗仿宋" w:hAnsi="宋体" w:eastAsia="彩虹粗仿宋"/>
          <w:snapToGrid w:val="0"/>
          <w:color w:val="000000"/>
          <w:kern w:val="0"/>
          <w:sz w:val="32"/>
          <w:szCs w:val="32"/>
        </w:rPr>
        <w:t>1.</w:t>
      </w:r>
      <w:r>
        <w:rPr>
          <w:rFonts w:hint="eastAsia" w:ascii="彩虹粗仿宋" w:hAnsi="宋体" w:eastAsia="彩虹粗仿宋"/>
          <w:snapToGrid w:val="0"/>
          <w:kern w:val="0"/>
          <w:sz w:val="32"/>
          <w:szCs w:val="32"/>
        </w:rPr>
        <w:t>项目负责人应具有税务师从业资格，从业十年以上，且具有银行业服务经验。项目团队人数不低于3人（含），团队成员应具有三年以上从业经验。</w:t>
      </w:r>
    </w:p>
    <w:p>
      <w:pPr>
        <w:adjustRightInd w:val="0"/>
        <w:snapToGrid w:val="0"/>
        <w:spacing w:line="560" w:lineRule="atLeast"/>
        <w:ind w:firstLine="640" w:firstLineChars="200"/>
        <w:rPr>
          <w:rFonts w:ascii="彩虹粗仿宋" w:hAnsi="宋体" w:eastAsia="彩虹粗仿宋"/>
          <w:snapToGrid w:val="0"/>
          <w:kern w:val="0"/>
          <w:sz w:val="32"/>
          <w:szCs w:val="32"/>
        </w:rPr>
      </w:pPr>
      <w:r>
        <w:rPr>
          <w:rFonts w:hint="eastAsia" w:ascii="彩虹粗仿宋" w:hAnsi="宋体" w:eastAsia="彩虹粗仿宋"/>
          <w:snapToGrid w:val="0"/>
          <w:color w:val="000000"/>
          <w:kern w:val="0"/>
          <w:sz w:val="32"/>
          <w:szCs w:val="32"/>
        </w:rPr>
        <w:t>2.</w:t>
      </w:r>
      <w:r>
        <w:rPr>
          <w:rFonts w:hint="eastAsia" w:ascii="彩虹粗仿宋" w:hAnsi="宋体" w:eastAsia="彩虹粗仿宋"/>
          <w:snapToGrid w:val="0"/>
          <w:kern w:val="0"/>
          <w:sz w:val="32"/>
          <w:szCs w:val="32"/>
        </w:rPr>
        <w:t>服务团队需提供准确、高效地服务，有涉税工作需要，需电话通知1小时内到现场响应。对需要办理的服务事项，及时与税务等相关部门衔接沟通，实行全程服务。同时，团队成员保持相对稳定。</w:t>
      </w:r>
    </w:p>
    <w:p>
      <w:pPr>
        <w:adjustRightInd w:val="0"/>
        <w:snapToGrid w:val="0"/>
        <w:spacing w:line="560" w:lineRule="atLeast"/>
        <w:ind w:firstLine="640" w:firstLineChars="200"/>
        <w:rPr>
          <w:rFonts w:ascii="彩虹黑体" w:hAnsi="宋体" w:eastAsia="彩虹黑体"/>
          <w:snapToGrid w:val="0"/>
          <w:kern w:val="0"/>
          <w:sz w:val="32"/>
          <w:szCs w:val="32"/>
        </w:rPr>
      </w:pPr>
      <w:r>
        <w:rPr>
          <w:rFonts w:hint="eastAsia" w:ascii="彩虹黑体" w:hAnsi="宋体" w:eastAsia="彩虹黑体"/>
          <w:snapToGrid w:val="0"/>
          <w:kern w:val="0"/>
          <w:sz w:val="32"/>
          <w:szCs w:val="32"/>
        </w:rPr>
        <w:t>四、服务内容及质量要求</w:t>
      </w:r>
    </w:p>
    <w:p>
      <w:pPr>
        <w:adjustRightInd w:val="0"/>
        <w:snapToGrid w:val="0"/>
        <w:spacing w:line="560" w:lineRule="atLeast"/>
        <w:ind w:firstLine="640" w:firstLineChars="200"/>
        <w:rPr>
          <w:rFonts w:ascii="彩虹粗仿宋" w:hAnsi="宋体" w:eastAsia="彩虹粗仿宋"/>
          <w:snapToGrid w:val="0"/>
          <w:kern w:val="0"/>
          <w:sz w:val="32"/>
          <w:szCs w:val="32"/>
        </w:rPr>
      </w:pPr>
      <w:r>
        <w:rPr>
          <w:rFonts w:hint="eastAsia" w:ascii="彩虹粗仿宋" w:hAnsi="宋体" w:eastAsia="彩虹粗仿宋"/>
          <w:snapToGrid w:val="0"/>
          <w:color w:val="000000"/>
          <w:kern w:val="0"/>
          <w:sz w:val="32"/>
          <w:szCs w:val="32"/>
        </w:rPr>
        <w:t>(一)</w:t>
      </w:r>
      <w:r>
        <w:rPr>
          <w:rFonts w:hint="eastAsia" w:ascii="彩虹粗仿宋" w:hAnsi="宋体" w:eastAsia="彩虹粗仿宋"/>
          <w:snapToGrid w:val="0"/>
          <w:kern w:val="0"/>
          <w:sz w:val="32"/>
          <w:szCs w:val="32"/>
        </w:rPr>
        <w:t>企业所得税汇算清缴审核、申报工作。对我行涉税事项进行分析判断，提出财务处理和纳税调整意见，最大限度地防控和化解税务风险；</w:t>
      </w:r>
      <w:r>
        <w:rPr>
          <w:rFonts w:hint="eastAsia" w:ascii="彩虹粗仿宋" w:eastAsia="彩虹粗仿宋"/>
          <w:color w:val="000000" w:themeColor="text1"/>
          <w:sz w:val="32"/>
          <w:szCs w:val="32"/>
          <w14:textFill>
            <w14:solidFill>
              <w14:schemeClr w14:val="tx1"/>
            </w14:solidFill>
          </w14:textFill>
        </w:rPr>
        <w:t>对我行所得税资产损失税前扣除、所得税免税政策享受等做出专业判断；同时填报企业所得税汇总申报涉及的税局要求的其他相关资料，并保证所得税纳税申报资料的真实性、准确性、连续性。</w:t>
      </w:r>
    </w:p>
    <w:p>
      <w:pPr>
        <w:adjustRightInd w:val="0"/>
        <w:snapToGrid w:val="0"/>
        <w:spacing w:line="560" w:lineRule="atLeast"/>
        <w:ind w:firstLine="640" w:firstLineChars="200"/>
        <w:rPr>
          <w:rFonts w:ascii="彩虹粗仿宋" w:eastAsia="彩虹粗仿宋"/>
          <w:color w:val="000000" w:themeColor="text1"/>
          <w:sz w:val="32"/>
          <w:szCs w:val="32"/>
          <w14:textFill>
            <w14:solidFill>
              <w14:schemeClr w14:val="tx1"/>
            </w14:solidFill>
          </w14:textFill>
        </w:rPr>
      </w:pPr>
      <w:r>
        <w:rPr>
          <w:rFonts w:hint="eastAsia" w:ascii="彩虹粗仿宋" w:eastAsia="彩虹粗仿宋"/>
          <w:color w:val="000000" w:themeColor="text1"/>
          <w:sz w:val="32"/>
          <w:szCs w:val="32"/>
          <w14:textFill>
            <w14:solidFill>
              <w14:schemeClr w14:val="tx1"/>
            </w14:solidFill>
          </w14:textFill>
        </w:rPr>
        <w:t>具体工作如下：</w:t>
      </w:r>
    </w:p>
    <w:p>
      <w:pPr>
        <w:adjustRightInd w:val="0"/>
        <w:snapToGrid w:val="0"/>
        <w:spacing w:line="560" w:lineRule="atLeast"/>
        <w:ind w:firstLine="640" w:firstLineChars="200"/>
        <w:rPr>
          <w:rFonts w:ascii="彩虹粗仿宋" w:eastAsia="彩虹粗仿宋"/>
          <w:color w:val="000000" w:themeColor="text1"/>
          <w:sz w:val="32"/>
          <w:szCs w:val="32"/>
          <w14:textFill>
            <w14:solidFill>
              <w14:schemeClr w14:val="tx1"/>
            </w14:solidFill>
          </w14:textFill>
        </w:rPr>
      </w:pPr>
      <w:r>
        <w:rPr>
          <w:rFonts w:hint="eastAsia" w:ascii="彩虹粗仿宋" w:eastAsia="彩虹粗仿宋"/>
          <w:color w:val="000000" w:themeColor="text1"/>
          <w:sz w:val="32"/>
          <w:szCs w:val="32"/>
          <w14:textFill>
            <w14:solidFill>
              <w14:schemeClr w14:val="tx1"/>
            </w14:solidFill>
          </w14:textFill>
        </w:rPr>
        <w:t>1．汇算年度结束前，审阅省分行本部年度会计凭证、明细账、财务报表，时间不少于5个工作日，提出纳税调整意见；同时</w:t>
      </w:r>
      <w:r>
        <w:rPr>
          <w:rFonts w:ascii="彩虹粗仿宋" w:eastAsia="彩虹粗仿宋"/>
          <w:color w:val="000000" w:themeColor="text1"/>
          <w:sz w:val="32"/>
          <w:szCs w:val="32"/>
          <w14:textFill>
            <w14:solidFill>
              <w14:schemeClr w14:val="tx1"/>
            </w14:solidFill>
          </w14:textFill>
        </w:rPr>
        <w:t>填报省行本部</w:t>
      </w:r>
      <w:r>
        <w:rPr>
          <w:rFonts w:hint="eastAsia" w:ascii="彩虹粗仿宋" w:eastAsia="彩虹粗仿宋"/>
          <w:color w:val="000000" w:themeColor="text1"/>
          <w:sz w:val="32"/>
          <w:szCs w:val="32"/>
          <w14:textFill>
            <w14:solidFill>
              <w14:schemeClr w14:val="tx1"/>
            </w14:solidFill>
          </w14:textFill>
        </w:rPr>
        <w:t>的建行企业所得税汇算清缴内部报表。</w:t>
      </w:r>
    </w:p>
    <w:p>
      <w:pPr>
        <w:adjustRightInd w:val="0"/>
        <w:snapToGrid w:val="0"/>
        <w:spacing w:line="560" w:lineRule="atLeast"/>
        <w:ind w:firstLine="640" w:firstLineChars="200"/>
        <w:rPr>
          <w:rFonts w:ascii="彩虹粗仿宋" w:eastAsia="彩虹粗仿宋"/>
          <w:color w:val="000000" w:themeColor="text1"/>
          <w:sz w:val="32"/>
          <w:szCs w:val="32"/>
          <w14:textFill>
            <w14:solidFill>
              <w14:schemeClr w14:val="tx1"/>
            </w14:solidFill>
          </w14:textFill>
        </w:rPr>
      </w:pPr>
      <w:r>
        <w:rPr>
          <w:rFonts w:hint="eastAsia" w:ascii="彩虹粗仿宋" w:eastAsia="彩虹粗仿宋"/>
          <w:color w:val="000000" w:themeColor="text1"/>
          <w:sz w:val="32"/>
          <w:szCs w:val="32"/>
          <w14:textFill>
            <w14:solidFill>
              <w14:schemeClr w14:val="tx1"/>
            </w14:solidFill>
          </w14:textFill>
        </w:rPr>
        <w:t>2. 3月20日之前完成全省二级分行资产损失所得税税前扣除资料的合法性、完整性审核、统计工作；三季度对总行抽样核查资产损失所得税税前扣除资料进行收集、审核、上报。</w:t>
      </w:r>
    </w:p>
    <w:p>
      <w:pPr>
        <w:adjustRightInd w:val="0"/>
        <w:snapToGrid w:val="0"/>
        <w:spacing w:line="560" w:lineRule="atLeast"/>
        <w:ind w:firstLine="640" w:firstLineChars="200"/>
        <w:rPr>
          <w:rFonts w:ascii="彩虹粗仿宋" w:eastAsia="彩虹粗仿宋"/>
          <w:color w:val="000000" w:themeColor="text1"/>
          <w:sz w:val="32"/>
          <w:szCs w:val="32"/>
          <w14:textFill>
            <w14:solidFill>
              <w14:schemeClr w14:val="tx1"/>
            </w14:solidFill>
          </w14:textFill>
        </w:rPr>
      </w:pPr>
      <w:r>
        <w:rPr>
          <w:rFonts w:hint="eastAsia" w:ascii="彩虹粗仿宋" w:eastAsia="彩虹粗仿宋"/>
          <w:color w:val="000000" w:themeColor="text1"/>
          <w:sz w:val="32"/>
          <w:szCs w:val="32"/>
          <w14:textFill>
            <w14:solidFill>
              <w14:schemeClr w14:val="tx1"/>
            </w14:solidFill>
          </w14:textFill>
        </w:rPr>
        <w:t>3．3月下旬开展预审工作，</w:t>
      </w:r>
      <w:r>
        <w:rPr>
          <w:rFonts w:ascii="彩虹粗仿宋" w:eastAsia="彩虹粗仿宋"/>
          <w:color w:val="000000" w:themeColor="text1"/>
          <w:sz w:val="32"/>
          <w:szCs w:val="32"/>
          <w14:textFill>
            <w14:solidFill>
              <w14:schemeClr w14:val="tx1"/>
            </w14:solidFill>
          </w14:textFill>
        </w:rPr>
        <w:t>协助</w:t>
      </w:r>
      <w:r>
        <w:rPr>
          <w:rFonts w:hint="eastAsia" w:ascii="彩虹粗仿宋" w:eastAsia="彩虹粗仿宋"/>
          <w:color w:val="000000" w:themeColor="text1"/>
          <w:sz w:val="32"/>
          <w:szCs w:val="32"/>
          <w14:textFill>
            <w14:solidFill>
              <w14:schemeClr w14:val="tx1"/>
            </w14:solidFill>
          </w14:textFill>
        </w:rPr>
        <w:t>我行</w:t>
      </w:r>
      <w:r>
        <w:rPr>
          <w:rFonts w:ascii="彩虹粗仿宋" w:eastAsia="彩虹粗仿宋"/>
          <w:color w:val="000000" w:themeColor="text1"/>
          <w:sz w:val="32"/>
          <w:szCs w:val="32"/>
          <w14:textFill>
            <w14:solidFill>
              <w14:schemeClr w14:val="tx1"/>
            </w14:solidFill>
          </w14:textFill>
        </w:rPr>
        <w:t>指导</w:t>
      </w:r>
      <w:r>
        <w:rPr>
          <w:rFonts w:hint="eastAsia" w:ascii="彩虹粗仿宋" w:eastAsia="彩虹粗仿宋"/>
          <w:color w:val="000000" w:themeColor="text1"/>
          <w:sz w:val="32"/>
          <w:szCs w:val="32"/>
          <w14:textFill>
            <w14:solidFill>
              <w14:schemeClr w14:val="tx1"/>
            </w14:solidFill>
          </w14:textFill>
        </w:rPr>
        <w:t>、审</w:t>
      </w:r>
      <w:r>
        <w:rPr>
          <w:rFonts w:ascii="彩虹粗仿宋" w:eastAsia="彩虹粗仿宋"/>
          <w:color w:val="000000" w:themeColor="text1"/>
          <w:sz w:val="32"/>
          <w:szCs w:val="32"/>
          <w14:textFill>
            <w14:solidFill>
              <w14:schemeClr w14:val="tx1"/>
            </w14:solidFill>
          </w14:textFill>
        </w:rPr>
        <w:t>核</w:t>
      </w:r>
      <w:r>
        <w:rPr>
          <w:rFonts w:hint="eastAsia" w:ascii="彩虹粗仿宋" w:eastAsia="彩虹粗仿宋"/>
          <w:color w:val="000000" w:themeColor="text1"/>
          <w:sz w:val="32"/>
          <w:szCs w:val="32"/>
          <w14:textFill>
            <w14:solidFill>
              <w14:schemeClr w14:val="tx1"/>
            </w14:solidFill>
          </w14:textFill>
        </w:rPr>
        <w:t>全省</w:t>
      </w:r>
      <w:r>
        <w:rPr>
          <w:rFonts w:ascii="彩虹粗仿宋" w:eastAsia="彩虹粗仿宋"/>
          <w:color w:val="000000" w:themeColor="text1"/>
          <w:sz w:val="32"/>
          <w:szCs w:val="32"/>
          <w14:textFill>
            <w14:solidFill>
              <w14:schemeClr w14:val="tx1"/>
            </w14:solidFill>
          </w14:textFill>
        </w:rPr>
        <w:t>二级分行</w:t>
      </w:r>
      <w:r>
        <w:rPr>
          <w:rFonts w:hint="eastAsia" w:ascii="彩虹粗仿宋" w:eastAsia="彩虹粗仿宋"/>
          <w:color w:val="000000" w:themeColor="text1"/>
          <w:sz w:val="32"/>
          <w:szCs w:val="32"/>
          <w14:textFill>
            <w14:solidFill>
              <w14:schemeClr w14:val="tx1"/>
            </w14:solidFill>
          </w14:textFill>
        </w:rPr>
        <w:t>的建行企业所得税汇算清缴内部报表（线上）</w:t>
      </w:r>
      <w:r>
        <w:rPr>
          <w:rFonts w:ascii="彩虹粗仿宋" w:eastAsia="彩虹粗仿宋"/>
          <w:color w:val="000000" w:themeColor="text1"/>
          <w:sz w:val="32"/>
          <w:szCs w:val="32"/>
          <w14:textFill>
            <w14:solidFill>
              <w14:schemeClr w14:val="tx1"/>
            </w14:solidFill>
          </w14:textFill>
        </w:rPr>
        <w:t>，对</w:t>
      </w:r>
      <w:r>
        <w:rPr>
          <w:rFonts w:hint="eastAsia" w:ascii="彩虹粗仿宋" w:eastAsia="彩虹粗仿宋"/>
          <w:color w:val="000000" w:themeColor="text1"/>
          <w:sz w:val="32"/>
          <w:szCs w:val="32"/>
          <w14:textFill>
            <w14:solidFill>
              <w14:schemeClr w14:val="tx1"/>
            </w14:solidFill>
          </w14:textFill>
        </w:rPr>
        <w:t>审</w:t>
      </w:r>
      <w:r>
        <w:rPr>
          <w:rFonts w:ascii="彩虹粗仿宋" w:eastAsia="彩虹粗仿宋"/>
          <w:color w:val="000000" w:themeColor="text1"/>
          <w:sz w:val="32"/>
          <w:szCs w:val="32"/>
          <w14:textFill>
            <w14:solidFill>
              <w14:schemeClr w14:val="tx1"/>
            </w14:solidFill>
          </w14:textFill>
        </w:rPr>
        <w:t>核过程中发现的涉税问题提出改进意见</w:t>
      </w:r>
      <w:r>
        <w:rPr>
          <w:rFonts w:hint="eastAsia" w:ascii="彩虹粗仿宋" w:eastAsia="彩虹粗仿宋"/>
          <w:color w:val="000000" w:themeColor="text1"/>
          <w:sz w:val="32"/>
          <w:szCs w:val="32"/>
          <w14:textFill>
            <w14:solidFill>
              <w14:schemeClr w14:val="tx1"/>
            </w14:solidFill>
          </w14:textFill>
        </w:rPr>
        <w:t>，</w:t>
      </w:r>
      <w:r>
        <w:rPr>
          <w:rFonts w:ascii="彩虹粗仿宋" w:eastAsia="彩虹粗仿宋"/>
          <w:color w:val="000000" w:themeColor="text1"/>
          <w:sz w:val="32"/>
          <w:szCs w:val="32"/>
          <w14:textFill>
            <w14:solidFill>
              <w14:schemeClr w14:val="tx1"/>
            </w14:solidFill>
          </w14:textFill>
        </w:rPr>
        <w:t>并指导各分支机构修改后填报，</w:t>
      </w:r>
      <w:r>
        <w:rPr>
          <w:rFonts w:hint="eastAsia" w:ascii="彩虹粗仿宋" w:eastAsia="彩虹粗仿宋"/>
          <w:color w:val="000000" w:themeColor="text1"/>
          <w:sz w:val="32"/>
          <w:szCs w:val="32"/>
          <w14:textFill>
            <w14:solidFill>
              <w14:schemeClr w14:val="tx1"/>
            </w14:solidFill>
          </w14:textFill>
        </w:rPr>
        <w:t>协助我行</w:t>
      </w:r>
      <w:r>
        <w:rPr>
          <w:rFonts w:ascii="彩虹粗仿宋" w:eastAsia="彩虹粗仿宋"/>
          <w:color w:val="000000" w:themeColor="text1"/>
          <w:sz w:val="32"/>
          <w:szCs w:val="32"/>
          <w14:textFill>
            <w14:solidFill>
              <w14:schemeClr w14:val="tx1"/>
            </w14:solidFill>
          </w14:textFill>
        </w:rPr>
        <w:t>顺利完成年度企业所得税汇算清缴</w:t>
      </w:r>
      <w:r>
        <w:rPr>
          <w:rFonts w:hint="eastAsia" w:ascii="彩虹粗仿宋" w:eastAsia="彩虹粗仿宋"/>
          <w:color w:val="000000" w:themeColor="text1"/>
          <w:sz w:val="32"/>
          <w:szCs w:val="32"/>
          <w14:textFill>
            <w14:solidFill>
              <w14:schemeClr w14:val="tx1"/>
            </w14:solidFill>
          </w14:textFill>
        </w:rPr>
        <w:t>。</w:t>
      </w:r>
    </w:p>
    <w:p>
      <w:pPr>
        <w:adjustRightInd w:val="0"/>
        <w:snapToGrid w:val="0"/>
        <w:spacing w:line="560" w:lineRule="atLeast"/>
        <w:ind w:firstLine="640" w:firstLineChars="200"/>
        <w:rPr>
          <w:rFonts w:ascii="彩虹粗仿宋" w:eastAsia="彩虹粗仿宋"/>
          <w:color w:val="000000" w:themeColor="text1"/>
          <w:sz w:val="32"/>
          <w:szCs w:val="32"/>
          <w14:textFill>
            <w14:solidFill>
              <w14:schemeClr w14:val="tx1"/>
            </w14:solidFill>
          </w14:textFill>
        </w:rPr>
      </w:pPr>
      <w:r>
        <w:rPr>
          <w:rFonts w:hint="eastAsia" w:ascii="彩虹粗仿宋" w:eastAsia="彩虹粗仿宋"/>
          <w:color w:val="000000" w:themeColor="text1"/>
          <w:sz w:val="32"/>
          <w:szCs w:val="32"/>
          <w14:textFill>
            <w14:solidFill>
              <w14:schemeClr w14:val="tx1"/>
            </w14:solidFill>
          </w14:textFill>
        </w:rPr>
        <w:t>4.4月中旬完成</w:t>
      </w:r>
      <w:r>
        <w:rPr>
          <w:rFonts w:ascii="彩虹粗仿宋" w:eastAsia="彩虹粗仿宋"/>
          <w:color w:val="000000" w:themeColor="text1"/>
          <w:sz w:val="32"/>
          <w:szCs w:val="32"/>
          <w14:textFill>
            <w14:solidFill>
              <w14:schemeClr w14:val="tx1"/>
            </w14:solidFill>
          </w14:textFill>
        </w:rPr>
        <w:t>企业所得税优惠政策事项备案资料</w:t>
      </w:r>
      <w:r>
        <w:rPr>
          <w:rFonts w:hint="eastAsia" w:ascii="彩虹粗仿宋" w:eastAsia="彩虹粗仿宋"/>
          <w:color w:val="000000" w:themeColor="text1"/>
          <w:sz w:val="32"/>
          <w:szCs w:val="32"/>
          <w14:textFill>
            <w14:solidFill>
              <w14:schemeClr w14:val="tx1"/>
            </w14:solidFill>
          </w14:textFill>
        </w:rPr>
        <w:t>审核、收集,如：捐赠、政策性搬迁、残疾人等。</w:t>
      </w:r>
    </w:p>
    <w:p>
      <w:pPr>
        <w:adjustRightInd w:val="0"/>
        <w:snapToGrid w:val="0"/>
        <w:spacing w:line="560" w:lineRule="atLeast"/>
        <w:ind w:firstLine="640" w:firstLineChars="200"/>
        <w:rPr>
          <w:rFonts w:ascii="彩虹粗仿宋" w:eastAsia="彩虹粗仿宋"/>
          <w:color w:val="000000" w:themeColor="text1"/>
          <w:sz w:val="32"/>
          <w:szCs w:val="32"/>
          <w14:textFill>
            <w14:solidFill>
              <w14:schemeClr w14:val="tx1"/>
            </w14:solidFill>
          </w14:textFill>
        </w:rPr>
      </w:pPr>
      <w:r>
        <w:rPr>
          <w:rFonts w:hint="eastAsia" w:ascii="彩虹粗仿宋" w:eastAsia="彩虹粗仿宋"/>
          <w:color w:val="000000" w:themeColor="text1"/>
          <w:sz w:val="32"/>
          <w:szCs w:val="32"/>
          <w14:textFill>
            <w14:solidFill>
              <w14:schemeClr w14:val="tx1"/>
            </w14:solidFill>
          </w14:textFill>
        </w:rPr>
        <w:t>5．5月底前出具省分行本部及全省汇总的年度所得税汇算审核报告。</w:t>
      </w:r>
    </w:p>
    <w:p>
      <w:pPr>
        <w:adjustRightInd w:val="0"/>
        <w:snapToGrid w:val="0"/>
        <w:spacing w:line="560" w:lineRule="atLeast"/>
        <w:ind w:firstLine="640" w:firstLineChars="200"/>
        <w:rPr>
          <w:rFonts w:ascii="彩虹粗仿宋" w:eastAsia="彩虹粗仿宋"/>
          <w:color w:val="000000" w:themeColor="text1"/>
          <w:sz w:val="32"/>
          <w:szCs w:val="32"/>
          <w14:textFill>
            <w14:solidFill>
              <w14:schemeClr w14:val="tx1"/>
            </w14:solidFill>
          </w14:textFill>
        </w:rPr>
      </w:pPr>
      <w:r>
        <w:rPr>
          <w:rFonts w:hint="eastAsia" w:ascii="彩虹粗仿宋" w:eastAsia="彩虹粗仿宋"/>
          <w:color w:val="000000" w:themeColor="text1"/>
          <w:sz w:val="32"/>
          <w:szCs w:val="32"/>
          <w14:textFill>
            <w14:solidFill>
              <w14:schemeClr w14:val="tx1"/>
            </w14:solidFill>
          </w14:textFill>
        </w:rPr>
        <w:t>6.本项工作须提供驻场服务。</w:t>
      </w:r>
    </w:p>
    <w:p>
      <w:pPr>
        <w:adjustRightInd w:val="0"/>
        <w:snapToGrid w:val="0"/>
        <w:spacing w:line="560" w:lineRule="atLeast"/>
        <w:ind w:firstLine="640" w:firstLineChars="200"/>
        <w:rPr>
          <w:rFonts w:ascii="彩虹粗仿宋" w:eastAsia="彩虹粗仿宋"/>
          <w:color w:val="000000" w:themeColor="text1"/>
          <w:sz w:val="32"/>
          <w:szCs w:val="32"/>
          <w14:textFill>
            <w14:solidFill>
              <w14:schemeClr w14:val="tx1"/>
            </w14:solidFill>
          </w14:textFill>
        </w:rPr>
      </w:pPr>
      <w:r>
        <w:rPr>
          <w:rFonts w:hint="eastAsia" w:ascii="彩虹粗仿宋" w:eastAsia="彩虹粗仿宋"/>
          <w:color w:val="000000" w:themeColor="text1"/>
          <w:sz w:val="32"/>
          <w:szCs w:val="32"/>
          <w14:textFill>
            <w14:solidFill>
              <w14:schemeClr w14:val="tx1"/>
            </w14:solidFill>
          </w14:textFill>
        </w:rPr>
        <w:t>(二)</w:t>
      </w:r>
      <w:r>
        <w:rPr>
          <w:rFonts w:ascii="彩虹粗仿宋" w:eastAsia="彩虹粗仿宋"/>
          <w:color w:val="000000" w:themeColor="text1"/>
          <w:sz w:val="32"/>
          <w:szCs w:val="32"/>
          <w14:textFill>
            <w14:solidFill>
              <w14:schemeClr w14:val="tx1"/>
            </w14:solidFill>
          </w14:textFill>
        </w:rPr>
        <w:t>每季度增值税申报与汇算清缴</w:t>
      </w:r>
      <w:r>
        <w:rPr>
          <w:rFonts w:hint="eastAsia" w:ascii="彩虹粗仿宋" w:eastAsia="彩虹粗仿宋"/>
          <w:color w:val="000000" w:themeColor="text1"/>
          <w:sz w:val="32"/>
          <w:szCs w:val="32"/>
          <w14:textFill>
            <w14:solidFill>
              <w14:schemeClr w14:val="tx1"/>
            </w14:solidFill>
          </w14:textFill>
        </w:rPr>
        <w:t>。</w:t>
      </w:r>
      <w:r>
        <w:rPr>
          <w:rFonts w:ascii="彩虹粗仿宋" w:eastAsia="彩虹粗仿宋"/>
          <w:color w:val="000000" w:themeColor="text1"/>
          <w:sz w:val="32"/>
          <w:szCs w:val="32"/>
          <w14:textFill>
            <w14:solidFill>
              <w14:schemeClr w14:val="tx1"/>
            </w14:solidFill>
          </w14:textFill>
        </w:rPr>
        <w:t>每季度对全省销售额、销项税、进项税和应纳税额及分配税款进</w:t>
      </w:r>
      <w:r>
        <w:rPr>
          <w:rFonts w:hint="eastAsia" w:ascii="彩虹粗仿宋" w:eastAsia="彩虹粗仿宋"/>
          <w:color w:val="000000" w:themeColor="text1"/>
          <w:sz w:val="32"/>
          <w:szCs w:val="32"/>
          <w14:textFill>
            <w14:solidFill>
              <w14:schemeClr w14:val="tx1"/>
            </w14:solidFill>
          </w14:textFill>
        </w:rPr>
        <w:t>行计</w:t>
      </w:r>
      <w:r>
        <w:rPr>
          <w:rFonts w:ascii="彩虹粗仿宋" w:eastAsia="彩虹粗仿宋"/>
          <w:color w:val="000000" w:themeColor="text1"/>
          <w:sz w:val="32"/>
          <w:szCs w:val="32"/>
          <w14:textFill>
            <w14:solidFill>
              <w14:schemeClr w14:val="tx1"/>
            </w14:solidFill>
          </w14:textFill>
        </w:rPr>
        <w:t>算</w:t>
      </w:r>
      <w:r>
        <w:rPr>
          <w:rFonts w:hint="eastAsia" w:ascii="彩虹粗仿宋" w:eastAsia="彩虹粗仿宋"/>
          <w:color w:val="000000" w:themeColor="text1"/>
          <w:sz w:val="32"/>
          <w:szCs w:val="32"/>
          <w14:textFill>
            <w14:solidFill>
              <w14:schemeClr w14:val="tx1"/>
            </w14:solidFill>
          </w14:textFill>
        </w:rPr>
        <w:t>、</w:t>
      </w:r>
      <w:r>
        <w:rPr>
          <w:rFonts w:ascii="彩虹粗仿宋" w:eastAsia="彩虹粗仿宋"/>
          <w:color w:val="000000" w:themeColor="text1"/>
          <w:sz w:val="32"/>
          <w:szCs w:val="32"/>
          <w14:textFill>
            <w14:solidFill>
              <w14:schemeClr w14:val="tx1"/>
            </w14:solidFill>
          </w14:textFill>
        </w:rPr>
        <w:t>复核，并对</w:t>
      </w:r>
      <w:r>
        <w:rPr>
          <w:rFonts w:hint="eastAsia" w:ascii="彩虹粗仿宋" w:eastAsia="彩虹粗仿宋"/>
          <w:color w:val="000000" w:themeColor="text1"/>
          <w:sz w:val="32"/>
          <w:szCs w:val="32"/>
          <w14:textFill>
            <w14:solidFill>
              <w14:schemeClr w14:val="tx1"/>
            </w14:solidFill>
          </w14:textFill>
        </w:rPr>
        <w:t>我行</w:t>
      </w:r>
      <w:r>
        <w:rPr>
          <w:rFonts w:ascii="彩虹粗仿宋" w:eastAsia="彩虹粗仿宋"/>
          <w:color w:val="000000" w:themeColor="text1"/>
          <w:sz w:val="32"/>
          <w:szCs w:val="32"/>
          <w14:textFill>
            <w14:solidFill>
              <w14:schemeClr w14:val="tx1"/>
            </w14:solidFill>
          </w14:textFill>
        </w:rPr>
        <w:t>增值税涉税风险进</w:t>
      </w:r>
      <w:r>
        <w:rPr>
          <w:rFonts w:hint="eastAsia" w:ascii="彩虹粗仿宋" w:eastAsia="彩虹粗仿宋"/>
          <w:color w:val="000000" w:themeColor="text1"/>
          <w:sz w:val="32"/>
          <w:szCs w:val="32"/>
          <w14:textFill>
            <w14:solidFill>
              <w14:schemeClr w14:val="tx1"/>
            </w14:solidFill>
          </w14:textFill>
        </w:rPr>
        <w:t>行</w:t>
      </w:r>
      <w:r>
        <w:rPr>
          <w:rFonts w:ascii="彩虹粗仿宋" w:eastAsia="彩虹粗仿宋"/>
          <w:color w:val="000000" w:themeColor="text1"/>
          <w:sz w:val="32"/>
          <w:szCs w:val="32"/>
          <w14:textFill>
            <w14:solidFill>
              <w14:schemeClr w14:val="tx1"/>
            </w14:solidFill>
          </w14:textFill>
        </w:rPr>
        <w:t>常规性审核提示</w:t>
      </w:r>
      <w:r>
        <w:rPr>
          <w:rFonts w:hint="eastAsia" w:ascii="彩虹粗仿宋" w:eastAsia="彩虹粗仿宋"/>
          <w:color w:val="000000" w:themeColor="text1"/>
          <w:sz w:val="32"/>
          <w:szCs w:val="32"/>
          <w14:textFill>
            <w14:solidFill>
              <w14:schemeClr w14:val="tx1"/>
            </w14:solidFill>
          </w14:textFill>
        </w:rPr>
        <w:t>。本项工作须提供驻场服务。</w:t>
      </w:r>
    </w:p>
    <w:p>
      <w:pPr>
        <w:adjustRightInd w:val="0"/>
        <w:snapToGrid w:val="0"/>
        <w:spacing w:line="560" w:lineRule="atLeast"/>
        <w:ind w:firstLine="640" w:firstLineChars="200"/>
        <w:rPr>
          <w:rFonts w:ascii="彩虹粗仿宋" w:eastAsia="彩虹粗仿宋"/>
          <w:color w:val="000000" w:themeColor="text1"/>
          <w:sz w:val="32"/>
          <w:szCs w:val="32"/>
          <w14:textFill>
            <w14:solidFill>
              <w14:schemeClr w14:val="tx1"/>
            </w14:solidFill>
          </w14:textFill>
        </w:rPr>
      </w:pPr>
      <w:r>
        <w:rPr>
          <w:rFonts w:hint="eastAsia" w:ascii="彩虹粗仿宋" w:eastAsia="彩虹粗仿宋"/>
          <w:color w:val="000000" w:themeColor="text1"/>
          <w:sz w:val="32"/>
          <w:szCs w:val="32"/>
          <w14:textFill>
            <w14:solidFill>
              <w14:schemeClr w14:val="tx1"/>
            </w14:solidFill>
          </w14:textFill>
        </w:rPr>
        <w:t>(三)负责完成我行税收调查表、增值税、消费税、企业所得税、税收预测表、重点税源表等日常申报工作，以及主管税务机关安排的临时性工作。</w:t>
      </w:r>
    </w:p>
    <w:p>
      <w:pPr>
        <w:adjustRightInd w:val="0"/>
        <w:snapToGrid w:val="0"/>
        <w:spacing w:line="560" w:lineRule="atLeast"/>
        <w:ind w:firstLine="640" w:firstLineChars="200"/>
        <w:rPr>
          <w:rFonts w:ascii="彩虹粗仿宋" w:eastAsia="彩虹粗仿宋"/>
          <w:color w:val="000000" w:themeColor="text1"/>
          <w:sz w:val="32"/>
          <w:szCs w:val="32"/>
          <w14:textFill>
            <w14:solidFill>
              <w14:schemeClr w14:val="tx1"/>
            </w14:solidFill>
          </w14:textFill>
        </w:rPr>
      </w:pPr>
      <w:r>
        <w:rPr>
          <w:rFonts w:hint="eastAsia" w:ascii="彩虹粗仿宋" w:eastAsia="彩虹粗仿宋"/>
          <w:color w:val="000000" w:themeColor="text1"/>
          <w:sz w:val="32"/>
          <w:szCs w:val="32"/>
          <w14:textFill>
            <w14:solidFill>
              <w14:schemeClr w14:val="tx1"/>
            </w14:solidFill>
          </w14:textFill>
        </w:rPr>
        <w:t xml:space="preserve">(四)向我行提供最新适用的税务政策制度文件，根据最新政策协助我行完善税收管理制度，每年至少更新一次，如有较多的政策更迭内容应相应增加更新频率；解答我行日常业务咨询，并为涉税事项的处理提出意见和建议；进行税企沟通协调，配合税务部门检查工作；重大或特殊事项除外。 </w:t>
      </w:r>
    </w:p>
    <w:p>
      <w:pPr>
        <w:adjustRightInd w:val="0"/>
        <w:snapToGrid w:val="0"/>
        <w:spacing w:line="560" w:lineRule="atLeast"/>
        <w:ind w:firstLine="640" w:firstLineChars="200"/>
        <w:rPr>
          <w:rFonts w:ascii="彩虹粗仿宋" w:eastAsia="彩虹粗仿宋"/>
          <w:color w:val="000000" w:themeColor="text1"/>
          <w:sz w:val="32"/>
          <w:szCs w:val="32"/>
          <w14:textFill>
            <w14:solidFill>
              <w14:schemeClr w14:val="tx1"/>
            </w14:solidFill>
          </w14:textFill>
        </w:rPr>
      </w:pPr>
      <w:r>
        <w:rPr>
          <w:rFonts w:hint="eastAsia" w:ascii="彩虹粗仿宋" w:eastAsia="彩虹粗仿宋"/>
          <w:color w:val="000000" w:themeColor="text1"/>
          <w:sz w:val="32"/>
          <w:szCs w:val="32"/>
          <w14:textFill>
            <w14:solidFill>
              <w14:schemeClr w14:val="tx1"/>
            </w14:solidFill>
          </w14:textFill>
        </w:rPr>
        <w:t>(五)全省税务培训。培训种类分为两类：1.常规培训：培训讲师为事务所内部的税务师；2.专家培训：培训讲师为事务所聘请的诸如税务局专家、大学教授、知名学者等专家讲师。每课不少于4个小时。</w:t>
      </w:r>
    </w:p>
    <w:p>
      <w:pPr>
        <w:adjustRightInd w:val="0"/>
        <w:snapToGrid w:val="0"/>
        <w:spacing w:line="560" w:lineRule="atLeast"/>
        <w:ind w:firstLine="640" w:firstLineChars="200"/>
        <w:rPr>
          <w:rFonts w:ascii="彩虹粗仿宋" w:eastAsia="彩虹粗仿宋"/>
          <w:color w:val="000000" w:themeColor="text1"/>
          <w:sz w:val="32"/>
          <w:szCs w:val="32"/>
          <w14:textFill>
            <w14:solidFill>
              <w14:schemeClr w14:val="tx1"/>
            </w14:solidFill>
          </w14:textFill>
        </w:rPr>
      </w:pPr>
      <w:r>
        <w:rPr>
          <w:rFonts w:hint="eastAsia" w:ascii="彩虹粗仿宋" w:eastAsia="彩虹粗仿宋"/>
          <w:color w:val="000000" w:themeColor="text1"/>
          <w:sz w:val="32"/>
          <w:szCs w:val="32"/>
          <w14:textFill>
            <w14:solidFill>
              <w14:schemeClr w14:val="tx1"/>
            </w14:solidFill>
          </w14:textFill>
        </w:rPr>
        <w:t>(六)供应商需对我行各项税务计算过程进行核对，如有失误，公司应承担相应的责任和费用。</w:t>
      </w:r>
    </w:p>
    <w:p>
      <w:pPr>
        <w:adjustRightInd w:val="0"/>
        <w:snapToGrid w:val="0"/>
        <w:spacing w:line="560" w:lineRule="atLeast"/>
        <w:ind w:firstLine="640" w:firstLineChars="200"/>
        <w:rPr>
          <w:rFonts w:ascii="彩虹粗仿宋" w:eastAsia="彩虹粗仿宋"/>
          <w:color w:val="000000" w:themeColor="text1"/>
          <w:sz w:val="32"/>
          <w:szCs w:val="32"/>
          <w14:textFill>
            <w14:solidFill>
              <w14:schemeClr w14:val="tx1"/>
            </w14:solidFill>
          </w14:textFill>
        </w:rPr>
      </w:pPr>
      <w:r>
        <w:rPr>
          <w:rFonts w:hint="eastAsia" w:ascii="彩虹粗仿宋" w:eastAsia="彩虹粗仿宋"/>
          <w:color w:val="000000" w:themeColor="text1"/>
          <w:sz w:val="32"/>
          <w:szCs w:val="32"/>
          <w14:textFill>
            <w14:solidFill>
              <w14:schemeClr w14:val="tx1"/>
            </w14:solidFill>
          </w14:textFill>
        </w:rPr>
        <w:t>(七)供应商服务公司不得将本合同约定提供的税务服务交由第三方完成，包括交由第三方人员以本公司名义完成。</w:t>
      </w:r>
    </w:p>
    <w:p>
      <w:pPr>
        <w:adjustRightInd w:val="0"/>
        <w:snapToGrid w:val="0"/>
        <w:spacing w:line="560" w:lineRule="atLeast"/>
        <w:ind w:firstLine="640" w:firstLineChars="200"/>
        <w:rPr>
          <w:rFonts w:ascii="彩虹黑体" w:eastAsia="彩虹黑体"/>
          <w:color w:val="000000" w:themeColor="text1"/>
          <w:sz w:val="32"/>
          <w:szCs w:val="32"/>
          <w14:textFill>
            <w14:solidFill>
              <w14:schemeClr w14:val="tx1"/>
            </w14:solidFill>
          </w14:textFill>
        </w:rPr>
      </w:pPr>
      <w:r>
        <w:rPr>
          <w:rFonts w:hint="eastAsia" w:ascii="彩虹黑体" w:eastAsia="彩虹黑体"/>
          <w:color w:val="000000" w:themeColor="text1"/>
          <w:sz w:val="32"/>
          <w:szCs w:val="32"/>
          <w14:textFill>
            <w14:solidFill>
              <w14:schemeClr w14:val="tx1"/>
            </w14:solidFill>
          </w14:textFill>
        </w:rPr>
        <w:t>五、保密要求</w:t>
      </w:r>
    </w:p>
    <w:p>
      <w:pPr>
        <w:adjustRightInd w:val="0"/>
        <w:snapToGrid w:val="0"/>
        <w:spacing w:line="560" w:lineRule="exact"/>
        <w:ind w:firstLine="640" w:firstLineChars="200"/>
        <w:rPr>
          <w:rFonts w:ascii="彩虹粗仿宋" w:hAnsi="宋体" w:eastAsia="彩虹粗仿宋"/>
          <w:snapToGrid w:val="0"/>
          <w:kern w:val="0"/>
          <w:sz w:val="32"/>
          <w:szCs w:val="32"/>
        </w:rPr>
      </w:pPr>
      <w:r>
        <w:rPr>
          <w:rFonts w:hint="eastAsia" w:ascii="彩虹粗仿宋" w:hAnsi="宋体" w:eastAsia="彩虹粗仿宋"/>
          <w:snapToGrid w:val="0"/>
          <w:color w:val="000000"/>
          <w:kern w:val="0"/>
          <w:sz w:val="32"/>
          <w:szCs w:val="32"/>
        </w:rPr>
        <w:t>1.</w:t>
      </w:r>
      <w:r>
        <w:rPr>
          <w:rFonts w:hint="eastAsia" w:ascii="彩虹粗仿宋" w:hAnsi="宋体" w:eastAsia="彩虹粗仿宋"/>
          <w:snapToGrid w:val="0"/>
          <w:kern w:val="0"/>
          <w:sz w:val="32"/>
          <w:szCs w:val="32"/>
        </w:rPr>
        <w:t>对于涉及</w:t>
      </w:r>
      <w:r>
        <w:rPr>
          <w:rFonts w:hint="eastAsia" w:ascii="彩虹粗仿宋" w:eastAsia="彩虹粗仿宋" w:cs="CHCFS"/>
          <w:kern w:val="0"/>
          <w:sz w:val="32"/>
          <w:szCs w:val="32"/>
        </w:rPr>
        <w:t>我行的商业秘密、客户资料等信息（即“保密信息”）的项目，必须现场工作。</w:t>
      </w:r>
    </w:p>
    <w:p>
      <w:pPr>
        <w:adjustRightInd w:val="0"/>
        <w:snapToGrid w:val="0"/>
        <w:spacing w:line="560" w:lineRule="exact"/>
        <w:ind w:firstLine="640" w:firstLineChars="200"/>
        <w:rPr>
          <w:rFonts w:ascii="彩虹粗仿宋" w:eastAsia="彩虹粗仿宋" w:cs="CHCFS"/>
          <w:kern w:val="0"/>
          <w:sz w:val="32"/>
          <w:szCs w:val="32"/>
        </w:rPr>
      </w:pPr>
      <w:r>
        <w:rPr>
          <w:rFonts w:hint="eastAsia" w:ascii="彩虹粗仿宋" w:hAnsi="宋体" w:eastAsia="彩虹粗仿宋"/>
          <w:snapToGrid w:val="0"/>
          <w:color w:val="000000"/>
          <w:kern w:val="0"/>
          <w:sz w:val="32"/>
          <w:szCs w:val="32"/>
        </w:rPr>
        <w:t>2.</w:t>
      </w:r>
      <w:r>
        <w:rPr>
          <w:rFonts w:hint="eastAsia" w:ascii="彩虹粗仿宋" w:hAnsi="宋体" w:eastAsia="彩虹粗仿宋"/>
          <w:snapToGrid w:val="0"/>
          <w:kern w:val="0"/>
          <w:sz w:val="32"/>
          <w:szCs w:val="32"/>
        </w:rPr>
        <w:t>供应商</w:t>
      </w:r>
      <w:r>
        <w:rPr>
          <w:rFonts w:hint="eastAsia" w:ascii="彩虹粗仿宋" w:eastAsia="彩虹粗仿宋" w:cs="CHCFS"/>
          <w:kern w:val="0"/>
          <w:sz w:val="32"/>
          <w:szCs w:val="32"/>
        </w:rPr>
        <w:t>须对在提供服务过程中知悉或获得的所有“保密信息”予以保密，</w:t>
      </w:r>
      <w:r>
        <w:rPr>
          <w:rFonts w:hint="eastAsia" w:ascii="彩虹粗仿宋" w:hAnsi="宋体" w:eastAsia="彩虹粗仿宋"/>
          <w:snapToGrid w:val="0"/>
          <w:kern w:val="0"/>
          <w:sz w:val="32"/>
          <w:szCs w:val="32"/>
        </w:rPr>
        <w:t>项目结束后，做好所有信息清洗工作。</w:t>
      </w:r>
      <w:r>
        <w:rPr>
          <w:rFonts w:hint="eastAsia" w:ascii="彩虹粗仿宋" w:eastAsia="彩虹粗仿宋" w:cs="CHCFS"/>
          <w:kern w:val="0"/>
          <w:sz w:val="32"/>
          <w:szCs w:val="32"/>
        </w:rPr>
        <w:t>除非该信息是：我行以书面方式明确注明为非保密性质的信息；或公众已经知晓的或通过公开渠道可获得的信息；或</w:t>
      </w:r>
      <w:r>
        <w:rPr>
          <w:rFonts w:hint="eastAsia" w:ascii="彩虹粗仿宋" w:hAnsi="宋体" w:eastAsia="彩虹粗仿宋"/>
          <w:snapToGrid w:val="0"/>
          <w:kern w:val="0"/>
          <w:sz w:val="32"/>
          <w:szCs w:val="32"/>
        </w:rPr>
        <w:t>供应商</w:t>
      </w:r>
      <w:r>
        <w:rPr>
          <w:rFonts w:hint="eastAsia" w:ascii="彩虹粗仿宋" w:eastAsia="彩虹粗仿宋" w:cs="CHCFS"/>
          <w:kern w:val="0"/>
          <w:sz w:val="32"/>
          <w:szCs w:val="32"/>
        </w:rPr>
        <w:t>从有权披露该信息的第三方获取的信息，且</w:t>
      </w:r>
      <w:r>
        <w:rPr>
          <w:rFonts w:hint="eastAsia" w:ascii="彩虹粗仿宋" w:hAnsi="宋体" w:eastAsia="彩虹粗仿宋"/>
          <w:snapToGrid w:val="0"/>
          <w:kern w:val="0"/>
          <w:sz w:val="32"/>
          <w:szCs w:val="32"/>
        </w:rPr>
        <w:t>供应商</w:t>
      </w:r>
      <w:r>
        <w:rPr>
          <w:rFonts w:hint="eastAsia" w:ascii="彩虹粗仿宋" w:eastAsia="彩虹粗仿宋" w:cs="CHCFS"/>
          <w:kern w:val="0"/>
          <w:sz w:val="32"/>
          <w:szCs w:val="32"/>
        </w:rPr>
        <w:t>对该信息无保密义务。</w:t>
      </w:r>
    </w:p>
    <w:p>
      <w:pPr>
        <w:spacing w:line="560" w:lineRule="atLeast"/>
        <w:ind w:firstLine="640" w:firstLineChars="200"/>
        <w:rPr>
          <w:rFonts w:ascii="彩虹粗仿宋" w:eastAsia="彩虹粗仿宋"/>
          <w:sz w:val="32"/>
          <w:szCs w:val="32"/>
        </w:rPr>
      </w:pPr>
      <w:r>
        <w:rPr>
          <w:rFonts w:hint="eastAsia" w:ascii="彩虹粗仿宋" w:hAnsi="宋体" w:eastAsia="彩虹粗仿宋"/>
          <w:snapToGrid w:val="0"/>
          <w:color w:val="000000"/>
          <w:kern w:val="0"/>
          <w:sz w:val="32"/>
          <w:szCs w:val="32"/>
        </w:rPr>
        <w:t>3.</w:t>
      </w:r>
      <w:r>
        <w:rPr>
          <w:rFonts w:hint="eastAsia" w:ascii="彩虹粗仿宋" w:eastAsia="彩虹粗仿宋" w:cs="CHCFS"/>
          <w:kern w:val="0"/>
          <w:sz w:val="32"/>
          <w:szCs w:val="32"/>
        </w:rPr>
        <w:t>未经我行书面同意，</w:t>
      </w:r>
      <w:r>
        <w:rPr>
          <w:rFonts w:hint="eastAsia" w:ascii="彩虹粗仿宋" w:hAnsi="宋体" w:eastAsia="彩虹粗仿宋"/>
          <w:snapToGrid w:val="0"/>
          <w:kern w:val="0"/>
          <w:sz w:val="32"/>
          <w:szCs w:val="32"/>
        </w:rPr>
        <w:t>供应商</w:t>
      </w:r>
      <w:r>
        <w:rPr>
          <w:rFonts w:hint="eastAsia" w:ascii="彩虹粗仿宋" w:eastAsia="彩虹粗仿宋" w:cs="CHCFS"/>
          <w:kern w:val="0"/>
          <w:sz w:val="32"/>
          <w:szCs w:val="32"/>
        </w:rPr>
        <w:t>不得将保密信息用于合作服务以外的目的，并不得将其泄漏给任何第三方。</w:t>
      </w:r>
      <w:r>
        <w:rPr>
          <w:rFonts w:hint="eastAsia" w:ascii="彩虹粗仿宋" w:hAnsi="宋体" w:eastAsia="彩虹粗仿宋"/>
          <w:snapToGrid w:val="0"/>
          <w:kern w:val="0"/>
          <w:sz w:val="32"/>
          <w:szCs w:val="32"/>
        </w:rPr>
        <w:t>供应商</w:t>
      </w:r>
      <w:r>
        <w:rPr>
          <w:rFonts w:hint="eastAsia" w:ascii="彩虹粗仿宋" w:eastAsia="彩虹粗仿宋" w:cs="CHCFS"/>
          <w:kern w:val="0"/>
          <w:sz w:val="32"/>
          <w:szCs w:val="32"/>
        </w:rPr>
        <w:t>委派工作人员为提供合作服务而必须接触相关保密信息时，</w:t>
      </w:r>
      <w:r>
        <w:rPr>
          <w:rFonts w:hint="eastAsia" w:ascii="彩虹粗仿宋" w:hAnsi="宋体" w:eastAsia="彩虹粗仿宋"/>
          <w:snapToGrid w:val="0"/>
          <w:kern w:val="0"/>
          <w:sz w:val="32"/>
          <w:szCs w:val="32"/>
        </w:rPr>
        <w:t>供应商</w:t>
      </w:r>
      <w:r>
        <w:rPr>
          <w:rFonts w:hint="eastAsia" w:ascii="彩虹粗仿宋" w:eastAsia="彩虹粗仿宋" w:cs="CHCFS"/>
          <w:kern w:val="0"/>
          <w:sz w:val="32"/>
          <w:szCs w:val="32"/>
        </w:rPr>
        <w:t>可以将此部分保密信息披露给该工作人员，但</w:t>
      </w:r>
      <w:r>
        <w:rPr>
          <w:rFonts w:hint="eastAsia" w:ascii="彩虹粗仿宋" w:hAnsi="宋体" w:eastAsia="彩虹粗仿宋"/>
          <w:snapToGrid w:val="0"/>
          <w:kern w:val="0"/>
          <w:sz w:val="32"/>
          <w:szCs w:val="32"/>
        </w:rPr>
        <w:t>供应商</w:t>
      </w:r>
      <w:r>
        <w:rPr>
          <w:rFonts w:hint="eastAsia" w:ascii="彩虹粗仿宋" w:eastAsia="彩虹粗仿宋" w:cs="CHCFS"/>
          <w:kern w:val="0"/>
          <w:sz w:val="32"/>
          <w:szCs w:val="32"/>
        </w:rPr>
        <w:t>应当告知该工作人员相关的保密义务并和其签署书面保密协议，保密要求不得低于我行对</w:t>
      </w:r>
      <w:r>
        <w:rPr>
          <w:rFonts w:hint="eastAsia" w:ascii="彩虹粗仿宋" w:hAnsi="宋体" w:eastAsia="彩虹粗仿宋"/>
          <w:snapToGrid w:val="0"/>
          <w:kern w:val="0"/>
          <w:sz w:val="32"/>
          <w:szCs w:val="32"/>
        </w:rPr>
        <w:t>供应商</w:t>
      </w:r>
      <w:r>
        <w:rPr>
          <w:rFonts w:hint="eastAsia" w:ascii="彩虹粗仿宋" w:eastAsia="彩虹粗仿宋" w:cs="CHCFS"/>
          <w:kern w:val="0"/>
          <w:sz w:val="32"/>
          <w:szCs w:val="32"/>
        </w:rPr>
        <w:t xml:space="preserve">的保密要求。 </w:t>
      </w:r>
    </w:p>
    <w:p>
      <w:pPr>
        <w:adjustRightInd w:val="0"/>
        <w:snapToGrid w:val="0"/>
        <w:spacing w:line="560" w:lineRule="atLeast"/>
        <w:ind w:firstLine="640" w:firstLineChars="200"/>
        <w:rPr>
          <w:rFonts w:ascii="彩虹黑体" w:hAnsi="宋体" w:eastAsia="彩虹黑体"/>
          <w:snapToGrid w:val="0"/>
          <w:kern w:val="0"/>
          <w:sz w:val="32"/>
          <w:szCs w:val="32"/>
        </w:rPr>
      </w:pPr>
      <w:r>
        <w:rPr>
          <w:rFonts w:hint="eastAsia" w:ascii="彩虹黑体" w:hAnsi="宋体" w:eastAsia="彩虹黑体"/>
          <w:snapToGrid w:val="0"/>
          <w:kern w:val="0"/>
          <w:sz w:val="32"/>
          <w:szCs w:val="32"/>
        </w:rPr>
        <w:t>六、款项支付要求</w:t>
      </w:r>
    </w:p>
    <w:p>
      <w:pPr>
        <w:spacing w:line="560" w:lineRule="atLeast"/>
        <w:ind w:firstLine="640" w:firstLineChars="200"/>
        <w:rPr>
          <w:rFonts w:ascii="彩虹粗仿宋" w:eastAsia="彩虹粗仿宋" w:cs="CHCFS"/>
          <w:kern w:val="0"/>
          <w:sz w:val="32"/>
          <w:szCs w:val="32"/>
        </w:rPr>
      </w:pPr>
      <w:r>
        <w:rPr>
          <w:rFonts w:hint="eastAsia" w:ascii="彩虹粗仿宋" w:eastAsia="彩虹粗仿宋" w:cs="CHCFS"/>
          <w:kern w:val="0"/>
          <w:sz w:val="32"/>
          <w:szCs w:val="32"/>
        </w:rPr>
        <w:t>服务费每半年支付一次，服务满半年支付合同金额的50%，为确保服务质量，服务期满清算剩余服务费，支付金额与评价结果挂钩，按照服务总数量确定服务总金额乘以服务评价档次相应支付比例，扣除上半年已支付金额，确定剩余支付金额。</w:t>
      </w:r>
    </w:p>
    <w:p>
      <w:pPr>
        <w:adjustRightInd w:val="0"/>
        <w:snapToGrid w:val="0"/>
        <w:spacing w:line="560" w:lineRule="atLeast"/>
        <w:ind w:firstLine="640" w:firstLineChars="200"/>
        <w:rPr>
          <w:rFonts w:ascii="彩虹粗仿宋" w:hAnsi="宋体" w:eastAsia="彩虹粗仿宋"/>
          <w:snapToGrid w:val="0"/>
          <w:kern w:val="0"/>
          <w:sz w:val="32"/>
          <w:szCs w:val="32"/>
        </w:rPr>
      </w:pPr>
      <w:r>
        <w:rPr>
          <w:rFonts w:ascii="彩虹粗仿宋" w:hAnsi="宋体" w:eastAsia="彩虹粗仿宋"/>
          <w:snapToGrid w:val="0"/>
          <w:kern w:val="0"/>
          <w:sz w:val="32"/>
          <w:szCs w:val="32"/>
        </w:rPr>
        <w:t>综合考虑</w:t>
      </w:r>
      <w:r>
        <w:rPr>
          <w:rFonts w:hint="eastAsia" w:ascii="彩虹粗仿宋" w:hAnsi="宋体" w:eastAsia="彩虹粗仿宋"/>
          <w:snapToGrid w:val="0"/>
          <w:kern w:val="0"/>
          <w:sz w:val="32"/>
          <w:szCs w:val="32"/>
        </w:rPr>
        <w:t>供应商的</w:t>
      </w:r>
      <w:r>
        <w:rPr>
          <w:rFonts w:ascii="彩虹粗仿宋" w:hAnsi="宋体" w:eastAsia="彩虹粗仿宋"/>
          <w:snapToGrid w:val="0"/>
          <w:kern w:val="0"/>
          <w:sz w:val="32"/>
          <w:szCs w:val="32"/>
        </w:rPr>
        <w:t>服务</w:t>
      </w:r>
      <w:r>
        <w:rPr>
          <w:rFonts w:hint="eastAsia" w:ascii="彩虹粗仿宋" w:hAnsi="宋体" w:eastAsia="彩虹粗仿宋"/>
          <w:snapToGrid w:val="0"/>
          <w:kern w:val="0"/>
          <w:sz w:val="32"/>
          <w:szCs w:val="32"/>
        </w:rPr>
        <w:t>效果进行评价,把服务</w:t>
      </w:r>
      <w:r>
        <w:rPr>
          <w:rFonts w:ascii="彩虹粗仿宋" w:hAnsi="宋体" w:eastAsia="彩虹粗仿宋"/>
          <w:snapToGrid w:val="0"/>
          <w:kern w:val="0"/>
          <w:sz w:val="32"/>
          <w:szCs w:val="32"/>
        </w:rPr>
        <w:t>结果</w:t>
      </w:r>
      <w:r>
        <w:rPr>
          <w:rFonts w:hint="eastAsia" w:ascii="彩虹粗仿宋" w:hAnsi="宋体" w:eastAsia="彩虹粗仿宋"/>
          <w:snapToGrid w:val="0"/>
          <w:kern w:val="0"/>
          <w:sz w:val="32"/>
          <w:szCs w:val="32"/>
        </w:rPr>
        <w:t>分A、B、C三档。</w:t>
      </w:r>
    </w:p>
    <w:tbl>
      <w:tblPr>
        <w:tblStyle w:val="4"/>
        <w:tblW w:w="7869" w:type="dxa"/>
        <w:tblInd w:w="553" w:type="dxa"/>
        <w:tblLayout w:type="autofit"/>
        <w:tblCellMar>
          <w:top w:w="0" w:type="dxa"/>
          <w:left w:w="108" w:type="dxa"/>
          <w:bottom w:w="0" w:type="dxa"/>
          <w:right w:w="108" w:type="dxa"/>
        </w:tblCellMar>
      </w:tblPr>
      <w:tblGrid>
        <w:gridCol w:w="1853"/>
        <w:gridCol w:w="4403"/>
        <w:gridCol w:w="1613"/>
      </w:tblGrid>
      <w:tr>
        <w:tblPrEx>
          <w:tblCellMar>
            <w:top w:w="0" w:type="dxa"/>
            <w:left w:w="108" w:type="dxa"/>
            <w:bottom w:w="0" w:type="dxa"/>
            <w:right w:w="108" w:type="dxa"/>
          </w:tblCellMar>
        </w:tblPrEx>
        <w:trPr>
          <w:trHeight w:val="275" w:hRule="atLeast"/>
        </w:trPr>
        <w:tc>
          <w:tcPr>
            <w:tcW w:w="1853"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彩虹粗仿宋" w:hAnsi="Arial" w:eastAsia="彩虹粗仿宋" w:cs="Arial"/>
                <w:b/>
                <w:bCs/>
                <w:color w:val="000000"/>
                <w:kern w:val="0"/>
                <w:sz w:val="24"/>
              </w:rPr>
            </w:pPr>
            <w:r>
              <w:rPr>
                <w:rFonts w:hint="eastAsia" w:ascii="彩虹粗仿宋" w:hAnsi="Arial" w:eastAsia="彩虹粗仿宋" w:cs="Arial"/>
                <w:b/>
                <w:bCs/>
                <w:color w:val="000000"/>
                <w:kern w:val="0"/>
                <w:sz w:val="24"/>
              </w:rPr>
              <w:t>评价事项</w:t>
            </w:r>
          </w:p>
        </w:tc>
        <w:tc>
          <w:tcPr>
            <w:tcW w:w="4403"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ascii="彩虹粗仿宋" w:hAnsi="Arial" w:eastAsia="彩虹粗仿宋" w:cs="Arial"/>
                <w:b/>
                <w:bCs/>
                <w:color w:val="000000"/>
                <w:kern w:val="0"/>
                <w:sz w:val="24"/>
              </w:rPr>
            </w:pPr>
            <w:r>
              <w:rPr>
                <w:rFonts w:hint="eastAsia" w:ascii="彩虹粗仿宋" w:hAnsi="Arial" w:eastAsia="彩虹粗仿宋" w:cs="Arial"/>
                <w:b/>
                <w:bCs/>
                <w:color w:val="000000"/>
                <w:kern w:val="0"/>
                <w:sz w:val="24"/>
              </w:rPr>
              <w:t>评价内容</w:t>
            </w:r>
          </w:p>
        </w:tc>
        <w:tc>
          <w:tcPr>
            <w:tcW w:w="1613"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ascii="彩虹粗仿宋" w:hAnsi="Arial" w:eastAsia="彩虹粗仿宋" w:cs="Arial"/>
                <w:b/>
                <w:bCs/>
                <w:color w:val="000000"/>
                <w:kern w:val="0"/>
                <w:sz w:val="24"/>
              </w:rPr>
            </w:pPr>
            <w:r>
              <w:rPr>
                <w:rFonts w:hint="eastAsia" w:ascii="彩虹粗仿宋" w:hAnsi="Arial" w:eastAsia="彩虹粗仿宋" w:cs="Arial"/>
                <w:b/>
                <w:bCs/>
                <w:color w:val="000000"/>
                <w:kern w:val="0"/>
                <w:sz w:val="24"/>
              </w:rPr>
              <w:t>评价分值</w:t>
            </w:r>
          </w:p>
        </w:tc>
      </w:tr>
      <w:tr>
        <w:tblPrEx>
          <w:tblCellMar>
            <w:top w:w="0" w:type="dxa"/>
            <w:left w:w="108" w:type="dxa"/>
            <w:bottom w:w="0" w:type="dxa"/>
            <w:right w:w="108" w:type="dxa"/>
          </w:tblCellMar>
        </w:tblPrEx>
        <w:trPr>
          <w:trHeight w:val="275" w:hRule="atLeast"/>
        </w:trPr>
        <w:tc>
          <w:tcPr>
            <w:tcW w:w="1853" w:type="dxa"/>
            <w:tcBorders>
              <w:top w:val="nil"/>
              <w:left w:val="single" w:color="auto" w:sz="8" w:space="0"/>
              <w:bottom w:val="single" w:color="auto" w:sz="8" w:space="0"/>
              <w:right w:val="single" w:color="auto" w:sz="8" w:space="0"/>
            </w:tcBorders>
            <w:shd w:val="clear" w:color="auto" w:fill="auto"/>
            <w:noWrap/>
            <w:vAlign w:val="center"/>
          </w:tcPr>
          <w:p>
            <w:pPr>
              <w:widowControl/>
              <w:jc w:val="center"/>
              <w:rPr>
                <w:rFonts w:ascii="彩虹粗仿宋" w:hAnsi="Arial" w:eastAsia="彩虹粗仿宋" w:cs="Arial"/>
                <w:color w:val="000000"/>
                <w:kern w:val="0"/>
                <w:sz w:val="24"/>
              </w:rPr>
            </w:pPr>
            <w:r>
              <w:rPr>
                <w:rFonts w:hint="eastAsia" w:ascii="彩虹粗仿宋" w:hAnsi="Arial" w:eastAsia="彩虹粗仿宋" w:cs="Arial"/>
                <w:color w:val="000000"/>
                <w:kern w:val="0"/>
                <w:sz w:val="24"/>
              </w:rPr>
              <w:t>服务团队</w:t>
            </w:r>
          </w:p>
        </w:tc>
        <w:tc>
          <w:tcPr>
            <w:tcW w:w="4403" w:type="dxa"/>
            <w:tcBorders>
              <w:top w:val="nil"/>
              <w:left w:val="nil"/>
              <w:bottom w:val="single" w:color="auto" w:sz="8" w:space="0"/>
              <w:right w:val="single" w:color="auto" w:sz="8" w:space="0"/>
            </w:tcBorders>
            <w:shd w:val="clear" w:color="auto" w:fill="auto"/>
            <w:noWrap/>
            <w:vAlign w:val="center"/>
          </w:tcPr>
          <w:p>
            <w:pPr>
              <w:widowControl/>
              <w:jc w:val="left"/>
              <w:rPr>
                <w:rFonts w:ascii="彩虹粗仿宋" w:hAnsi="Arial" w:eastAsia="彩虹粗仿宋" w:cs="Arial"/>
                <w:color w:val="000000"/>
                <w:kern w:val="0"/>
                <w:sz w:val="24"/>
              </w:rPr>
            </w:pPr>
            <w:r>
              <w:rPr>
                <w:rFonts w:hint="eastAsia" w:ascii="彩虹粗仿宋" w:hAnsi="Arial" w:eastAsia="彩虹粗仿宋" w:cs="Arial"/>
                <w:color w:val="000000"/>
                <w:kern w:val="0"/>
                <w:sz w:val="24"/>
              </w:rPr>
              <w:t>供应商是否按照要求配置服务团队</w:t>
            </w:r>
          </w:p>
        </w:tc>
        <w:tc>
          <w:tcPr>
            <w:tcW w:w="1613" w:type="dxa"/>
            <w:tcBorders>
              <w:top w:val="nil"/>
              <w:left w:val="nil"/>
              <w:bottom w:val="single" w:color="auto" w:sz="8" w:space="0"/>
              <w:right w:val="single" w:color="auto" w:sz="8" w:space="0"/>
            </w:tcBorders>
            <w:shd w:val="clear" w:color="auto" w:fill="auto"/>
            <w:noWrap/>
            <w:vAlign w:val="center"/>
          </w:tcPr>
          <w:p>
            <w:pPr>
              <w:widowControl/>
              <w:jc w:val="center"/>
              <w:rPr>
                <w:rFonts w:ascii="彩虹粗仿宋" w:hAnsi="Arial" w:eastAsia="彩虹粗仿宋" w:cs="Arial"/>
                <w:color w:val="000000"/>
                <w:kern w:val="0"/>
                <w:sz w:val="24"/>
              </w:rPr>
            </w:pPr>
            <w:r>
              <w:rPr>
                <w:rFonts w:hint="eastAsia" w:ascii="彩虹粗仿宋" w:hAnsi="Arial" w:eastAsia="彩虹粗仿宋" w:cs="Arial"/>
                <w:color w:val="000000"/>
                <w:kern w:val="0"/>
                <w:sz w:val="24"/>
              </w:rPr>
              <w:t>30</w:t>
            </w:r>
          </w:p>
        </w:tc>
      </w:tr>
      <w:tr>
        <w:tblPrEx>
          <w:tblCellMar>
            <w:top w:w="0" w:type="dxa"/>
            <w:left w:w="108" w:type="dxa"/>
            <w:bottom w:w="0" w:type="dxa"/>
            <w:right w:w="108" w:type="dxa"/>
          </w:tblCellMar>
        </w:tblPrEx>
        <w:trPr>
          <w:trHeight w:val="275" w:hRule="atLeast"/>
        </w:trPr>
        <w:tc>
          <w:tcPr>
            <w:tcW w:w="1853" w:type="dxa"/>
            <w:tcBorders>
              <w:top w:val="nil"/>
              <w:left w:val="single" w:color="auto" w:sz="8" w:space="0"/>
              <w:bottom w:val="single" w:color="auto" w:sz="8" w:space="0"/>
              <w:right w:val="single" w:color="auto" w:sz="8" w:space="0"/>
            </w:tcBorders>
            <w:shd w:val="clear" w:color="auto" w:fill="auto"/>
            <w:noWrap/>
            <w:vAlign w:val="center"/>
          </w:tcPr>
          <w:p>
            <w:pPr>
              <w:widowControl/>
              <w:jc w:val="center"/>
              <w:rPr>
                <w:rFonts w:ascii="彩虹粗仿宋" w:hAnsi="Arial" w:eastAsia="彩虹粗仿宋" w:cs="Arial"/>
                <w:color w:val="000000"/>
                <w:kern w:val="0"/>
                <w:sz w:val="24"/>
              </w:rPr>
            </w:pPr>
            <w:r>
              <w:rPr>
                <w:rFonts w:hint="eastAsia" w:ascii="彩虹粗仿宋" w:hAnsi="Arial" w:eastAsia="彩虹粗仿宋" w:cs="Arial"/>
                <w:color w:val="000000"/>
                <w:kern w:val="0"/>
                <w:sz w:val="24"/>
              </w:rPr>
              <w:t>服务质量</w:t>
            </w:r>
          </w:p>
        </w:tc>
        <w:tc>
          <w:tcPr>
            <w:tcW w:w="4403" w:type="dxa"/>
            <w:tcBorders>
              <w:top w:val="nil"/>
              <w:left w:val="nil"/>
              <w:bottom w:val="single" w:color="auto" w:sz="8" w:space="0"/>
              <w:right w:val="single" w:color="auto" w:sz="8" w:space="0"/>
            </w:tcBorders>
            <w:shd w:val="clear" w:color="auto" w:fill="auto"/>
            <w:noWrap/>
            <w:vAlign w:val="center"/>
          </w:tcPr>
          <w:p>
            <w:pPr>
              <w:widowControl/>
              <w:jc w:val="left"/>
              <w:rPr>
                <w:rFonts w:ascii="彩虹粗仿宋" w:hAnsi="Arial" w:eastAsia="彩虹粗仿宋" w:cs="Arial"/>
                <w:color w:val="000000"/>
                <w:kern w:val="0"/>
                <w:sz w:val="24"/>
              </w:rPr>
            </w:pPr>
            <w:r>
              <w:rPr>
                <w:rFonts w:hint="eastAsia" w:ascii="彩虹粗仿宋" w:hAnsi="Arial" w:eastAsia="彩虹粗仿宋" w:cs="Arial"/>
                <w:color w:val="000000"/>
                <w:kern w:val="0"/>
                <w:sz w:val="24"/>
              </w:rPr>
              <w:t>相关内容是否发现错误</w:t>
            </w:r>
          </w:p>
        </w:tc>
        <w:tc>
          <w:tcPr>
            <w:tcW w:w="1613" w:type="dxa"/>
            <w:tcBorders>
              <w:top w:val="nil"/>
              <w:left w:val="nil"/>
              <w:bottom w:val="single" w:color="auto" w:sz="8" w:space="0"/>
              <w:right w:val="single" w:color="auto" w:sz="8" w:space="0"/>
            </w:tcBorders>
            <w:shd w:val="clear" w:color="auto" w:fill="auto"/>
            <w:noWrap/>
            <w:vAlign w:val="center"/>
          </w:tcPr>
          <w:p>
            <w:pPr>
              <w:widowControl/>
              <w:jc w:val="center"/>
              <w:rPr>
                <w:rFonts w:ascii="彩虹粗仿宋" w:hAnsi="Arial" w:eastAsia="彩虹粗仿宋" w:cs="Arial"/>
                <w:color w:val="000000"/>
                <w:kern w:val="0"/>
                <w:sz w:val="24"/>
              </w:rPr>
            </w:pPr>
            <w:r>
              <w:rPr>
                <w:rFonts w:hint="eastAsia" w:ascii="彩虹粗仿宋" w:hAnsi="Arial" w:eastAsia="彩虹粗仿宋" w:cs="Arial"/>
                <w:color w:val="000000"/>
                <w:kern w:val="0"/>
                <w:sz w:val="24"/>
              </w:rPr>
              <w:t>50</w:t>
            </w:r>
          </w:p>
        </w:tc>
      </w:tr>
      <w:tr>
        <w:tblPrEx>
          <w:tblCellMar>
            <w:top w:w="0" w:type="dxa"/>
            <w:left w:w="108" w:type="dxa"/>
            <w:bottom w:w="0" w:type="dxa"/>
            <w:right w:w="108" w:type="dxa"/>
          </w:tblCellMar>
        </w:tblPrEx>
        <w:trPr>
          <w:trHeight w:val="275" w:hRule="atLeast"/>
        </w:trPr>
        <w:tc>
          <w:tcPr>
            <w:tcW w:w="1853" w:type="dxa"/>
            <w:tcBorders>
              <w:top w:val="nil"/>
              <w:left w:val="single" w:color="auto" w:sz="8" w:space="0"/>
              <w:bottom w:val="single" w:color="auto" w:sz="8" w:space="0"/>
              <w:right w:val="single" w:color="auto" w:sz="8" w:space="0"/>
            </w:tcBorders>
            <w:shd w:val="clear" w:color="auto" w:fill="auto"/>
            <w:noWrap/>
            <w:vAlign w:val="center"/>
          </w:tcPr>
          <w:p>
            <w:pPr>
              <w:widowControl/>
              <w:jc w:val="center"/>
              <w:rPr>
                <w:rFonts w:ascii="彩虹粗仿宋" w:hAnsi="Arial" w:eastAsia="彩虹粗仿宋" w:cs="Arial"/>
                <w:color w:val="000000"/>
                <w:kern w:val="0"/>
                <w:sz w:val="24"/>
              </w:rPr>
            </w:pPr>
            <w:r>
              <w:rPr>
                <w:rFonts w:hint="eastAsia" w:ascii="彩虹粗仿宋" w:hAnsi="Arial" w:eastAsia="彩虹粗仿宋" w:cs="Arial"/>
                <w:color w:val="000000"/>
                <w:kern w:val="0"/>
                <w:sz w:val="24"/>
              </w:rPr>
              <w:t>响应服务</w:t>
            </w:r>
          </w:p>
        </w:tc>
        <w:tc>
          <w:tcPr>
            <w:tcW w:w="4403" w:type="dxa"/>
            <w:tcBorders>
              <w:top w:val="nil"/>
              <w:left w:val="nil"/>
              <w:bottom w:val="single" w:color="auto" w:sz="8" w:space="0"/>
              <w:right w:val="single" w:color="auto" w:sz="8" w:space="0"/>
            </w:tcBorders>
            <w:shd w:val="clear" w:color="auto" w:fill="auto"/>
            <w:noWrap/>
            <w:vAlign w:val="center"/>
          </w:tcPr>
          <w:p>
            <w:pPr>
              <w:widowControl/>
              <w:jc w:val="left"/>
              <w:rPr>
                <w:rFonts w:ascii="彩虹粗仿宋" w:hAnsi="Arial" w:eastAsia="彩虹粗仿宋" w:cs="Arial"/>
                <w:color w:val="000000"/>
                <w:kern w:val="0"/>
                <w:sz w:val="24"/>
              </w:rPr>
            </w:pPr>
            <w:r>
              <w:rPr>
                <w:rFonts w:hint="eastAsia" w:ascii="彩虹粗仿宋" w:hAnsi="Arial" w:eastAsia="彩虹粗仿宋" w:cs="Arial"/>
                <w:color w:val="000000"/>
                <w:kern w:val="0"/>
                <w:sz w:val="24"/>
              </w:rPr>
              <w:t>处理应急事件的响应速度是否及时、措施全面</w:t>
            </w:r>
          </w:p>
        </w:tc>
        <w:tc>
          <w:tcPr>
            <w:tcW w:w="1613" w:type="dxa"/>
            <w:tcBorders>
              <w:top w:val="nil"/>
              <w:left w:val="nil"/>
              <w:bottom w:val="single" w:color="auto" w:sz="8" w:space="0"/>
              <w:right w:val="single" w:color="auto" w:sz="8" w:space="0"/>
            </w:tcBorders>
            <w:shd w:val="clear" w:color="auto" w:fill="auto"/>
            <w:noWrap/>
            <w:vAlign w:val="center"/>
          </w:tcPr>
          <w:p>
            <w:pPr>
              <w:widowControl/>
              <w:jc w:val="center"/>
              <w:rPr>
                <w:rFonts w:ascii="彩虹粗仿宋" w:hAnsi="Arial" w:eastAsia="彩虹粗仿宋" w:cs="Arial"/>
                <w:color w:val="000000"/>
                <w:kern w:val="0"/>
                <w:sz w:val="24"/>
              </w:rPr>
            </w:pPr>
            <w:r>
              <w:rPr>
                <w:rFonts w:hint="eastAsia" w:ascii="彩虹粗仿宋" w:hAnsi="Arial" w:eastAsia="彩虹粗仿宋" w:cs="Arial"/>
                <w:color w:val="000000"/>
                <w:kern w:val="0"/>
                <w:sz w:val="24"/>
              </w:rPr>
              <w:t>20</w:t>
            </w:r>
          </w:p>
        </w:tc>
      </w:tr>
      <w:tr>
        <w:tblPrEx>
          <w:tblCellMar>
            <w:top w:w="0" w:type="dxa"/>
            <w:left w:w="108" w:type="dxa"/>
            <w:bottom w:w="0" w:type="dxa"/>
            <w:right w:w="108" w:type="dxa"/>
          </w:tblCellMar>
        </w:tblPrEx>
        <w:trPr>
          <w:trHeight w:val="275" w:hRule="atLeast"/>
        </w:trPr>
        <w:tc>
          <w:tcPr>
            <w:tcW w:w="6256" w:type="dxa"/>
            <w:gridSpan w:val="2"/>
            <w:tcBorders>
              <w:top w:val="single" w:color="auto" w:sz="8" w:space="0"/>
              <w:left w:val="single" w:color="auto" w:sz="8" w:space="0"/>
              <w:bottom w:val="single" w:color="auto" w:sz="8" w:space="0"/>
              <w:right w:val="single" w:color="000000" w:sz="8" w:space="0"/>
            </w:tcBorders>
            <w:shd w:val="clear" w:color="auto" w:fill="auto"/>
            <w:noWrap/>
            <w:vAlign w:val="center"/>
          </w:tcPr>
          <w:p>
            <w:pPr>
              <w:widowControl/>
              <w:jc w:val="center"/>
              <w:rPr>
                <w:rFonts w:ascii="彩虹粗仿宋" w:hAnsi="Arial" w:eastAsia="彩虹粗仿宋" w:cs="Arial"/>
                <w:color w:val="000000"/>
                <w:kern w:val="0"/>
                <w:sz w:val="24"/>
              </w:rPr>
            </w:pPr>
            <w:r>
              <w:rPr>
                <w:rFonts w:hint="eastAsia" w:ascii="彩虹粗仿宋" w:hAnsi="Arial" w:eastAsia="彩虹粗仿宋" w:cs="Arial"/>
                <w:color w:val="000000"/>
                <w:kern w:val="0"/>
                <w:sz w:val="24"/>
              </w:rPr>
              <w:t>合计</w:t>
            </w:r>
          </w:p>
        </w:tc>
        <w:tc>
          <w:tcPr>
            <w:tcW w:w="1613" w:type="dxa"/>
            <w:tcBorders>
              <w:top w:val="nil"/>
              <w:left w:val="nil"/>
              <w:bottom w:val="single" w:color="auto" w:sz="8" w:space="0"/>
              <w:right w:val="single" w:color="auto" w:sz="8" w:space="0"/>
            </w:tcBorders>
            <w:shd w:val="clear" w:color="auto" w:fill="auto"/>
            <w:noWrap/>
            <w:vAlign w:val="center"/>
          </w:tcPr>
          <w:p>
            <w:pPr>
              <w:widowControl/>
              <w:jc w:val="center"/>
              <w:rPr>
                <w:rFonts w:ascii="彩虹粗仿宋" w:hAnsi="Arial" w:eastAsia="彩虹粗仿宋" w:cs="Arial"/>
                <w:color w:val="000000"/>
                <w:kern w:val="0"/>
                <w:sz w:val="24"/>
              </w:rPr>
            </w:pPr>
            <w:r>
              <w:rPr>
                <w:rFonts w:hint="eastAsia" w:ascii="彩虹粗仿宋" w:hAnsi="Arial" w:eastAsia="彩虹粗仿宋" w:cs="Arial"/>
                <w:color w:val="000000"/>
                <w:kern w:val="0"/>
                <w:sz w:val="24"/>
              </w:rPr>
              <w:t>100</w:t>
            </w:r>
          </w:p>
        </w:tc>
      </w:tr>
      <w:tr>
        <w:tblPrEx>
          <w:tblCellMar>
            <w:top w:w="0" w:type="dxa"/>
            <w:left w:w="108" w:type="dxa"/>
            <w:bottom w:w="0" w:type="dxa"/>
            <w:right w:w="108" w:type="dxa"/>
          </w:tblCellMar>
        </w:tblPrEx>
        <w:trPr>
          <w:trHeight w:val="799" w:hRule="atLeast"/>
        </w:trPr>
        <w:tc>
          <w:tcPr>
            <w:tcW w:w="7869" w:type="dxa"/>
            <w:gridSpan w:val="3"/>
            <w:tcBorders>
              <w:top w:val="single" w:color="auto" w:sz="8" w:space="0"/>
              <w:left w:val="single" w:color="auto" w:sz="8" w:space="0"/>
              <w:bottom w:val="single" w:color="auto" w:sz="8" w:space="0"/>
              <w:right w:val="single" w:color="000000" w:sz="8" w:space="0"/>
            </w:tcBorders>
            <w:shd w:val="clear" w:color="auto" w:fill="auto"/>
            <w:vAlign w:val="center"/>
          </w:tcPr>
          <w:p>
            <w:pPr>
              <w:widowControl/>
              <w:jc w:val="left"/>
              <w:rPr>
                <w:rFonts w:ascii="彩虹粗仿宋" w:hAnsi="Arial" w:eastAsia="彩虹粗仿宋" w:cs="Arial"/>
                <w:b/>
                <w:bCs/>
                <w:color w:val="000000"/>
                <w:kern w:val="0"/>
                <w:sz w:val="24"/>
              </w:rPr>
            </w:pPr>
            <w:r>
              <w:rPr>
                <w:rFonts w:hint="eastAsia" w:ascii="彩虹粗仿宋" w:hAnsi="Arial" w:eastAsia="彩虹粗仿宋" w:cs="Arial"/>
                <w:b/>
                <w:bCs/>
                <w:color w:val="000000"/>
                <w:kern w:val="0"/>
                <w:sz w:val="24"/>
              </w:rPr>
              <w:t>A档 90（含）-100分、款项支付比例100%；B档80（含）-90分、款项支付比例95%；C档 80分以下、款项支付比例90%</w:t>
            </w:r>
            <w:r>
              <w:rPr>
                <w:rFonts w:hint="eastAsia" w:ascii="宋体" w:hAnsi="宋体" w:cs="Arial"/>
                <w:b/>
                <w:bCs/>
                <w:kern w:val="0"/>
                <w:sz w:val="24"/>
              </w:rPr>
              <w:t>.</w:t>
            </w:r>
          </w:p>
        </w:tc>
      </w:tr>
    </w:tbl>
    <w:p>
      <w:pPr>
        <w:adjustRightInd w:val="0"/>
        <w:snapToGrid w:val="0"/>
        <w:spacing w:line="560" w:lineRule="atLeast"/>
        <w:ind w:firstLine="640" w:firstLineChars="200"/>
        <w:rPr>
          <w:rFonts w:ascii="彩虹粗仿宋" w:hAnsi="宋体" w:eastAsia="彩虹粗仿宋"/>
          <w:snapToGrid w:val="0"/>
          <w:color w:val="000000" w:themeColor="text1"/>
          <w:kern w:val="0"/>
          <w:sz w:val="32"/>
          <w:szCs w:val="32"/>
          <w:lang w:val="en-GB"/>
          <w14:textFill>
            <w14:solidFill>
              <w14:schemeClr w14:val="tx1"/>
            </w14:solidFill>
          </w14:textFill>
        </w:rPr>
      </w:pPr>
      <w:r>
        <w:rPr>
          <w:rFonts w:hint="eastAsia" w:ascii="彩虹粗仿宋" w:hAnsi="宋体" w:eastAsia="彩虹粗仿宋"/>
          <w:snapToGrid w:val="0"/>
          <w:color w:val="000000"/>
          <w:kern w:val="0"/>
          <w:sz w:val="32"/>
          <w:szCs w:val="32"/>
        </w:rPr>
        <w:t>上述费用由供应商出具相应金额正式增值税专用发票，采购方在收到正式发票后30日内支付。</w:t>
      </w:r>
    </w:p>
    <w:p>
      <w:pPr>
        <w:spacing w:line="560" w:lineRule="exact"/>
        <w:ind w:firstLine="640" w:firstLineChars="200"/>
        <w:rPr>
          <w:rFonts w:ascii="彩虹黑体" w:hAnsi="宋体" w:eastAsia="彩虹黑体"/>
          <w:snapToGrid w:val="0"/>
          <w:color w:val="000000"/>
          <w:kern w:val="0"/>
          <w:sz w:val="32"/>
          <w:szCs w:val="32"/>
        </w:rPr>
      </w:pPr>
      <w:r>
        <w:rPr>
          <w:rFonts w:hint="eastAsia" w:ascii="彩虹黑体" w:hAnsi="宋体" w:eastAsia="彩虹黑体"/>
          <w:snapToGrid w:val="0"/>
          <w:color w:val="000000"/>
          <w:kern w:val="0"/>
          <w:sz w:val="32"/>
          <w:szCs w:val="32"/>
        </w:rPr>
        <w:t>七、报价要求</w:t>
      </w:r>
    </w:p>
    <w:p>
      <w:pPr>
        <w:tabs>
          <w:tab w:val="left" w:pos="631"/>
        </w:tabs>
        <w:spacing w:line="360" w:lineRule="auto"/>
        <w:ind w:firstLine="640" w:firstLineChars="200"/>
        <w:jc w:val="left"/>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按照以下项目分别报价，报价为价税合计价格，服务过程中，除报价金额外我行不再额外支出任何费用。</w:t>
      </w:r>
    </w:p>
    <w:tbl>
      <w:tblPr>
        <w:tblStyle w:val="4"/>
        <w:tblW w:w="9840" w:type="dxa"/>
        <w:tblInd w:w="93" w:type="dxa"/>
        <w:tblLayout w:type="autofit"/>
        <w:tblCellMar>
          <w:top w:w="0" w:type="dxa"/>
          <w:left w:w="108" w:type="dxa"/>
          <w:bottom w:w="0" w:type="dxa"/>
          <w:right w:w="108" w:type="dxa"/>
        </w:tblCellMar>
      </w:tblPr>
      <w:tblGrid>
        <w:gridCol w:w="1840"/>
        <w:gridCol w:w="2711"/>
        <w:gridCol w:w="1349"/>
        <w:gridCol w:w="800"/>
        <w:gridCol w:w="1520"/>
        <w:gridCol w:w="1620"/>
      </w:tblGrid>
      <w:tr>
        <w:tblPrEx>
          <w:tblCellMar>
            <w:top w:w="0" w:type="dxa"/>
            <w:left w:w="108" w:type="dxa"/>
            <w:bottom w:w="0" w:type="dxa"/>
            <w:right w:w="108" w:type="dxa"/>
          </w:tblCellMar>
        </w:tblPrEx>
        <w:trPr>
          <w:trHeight w:val="324" w:hRule="atLeast"/>
        </w:trPr>
        <w:tc>
          <w:tcPr>
            <w:tcW w:w="4551" w:type="dxa"/>
            <w:gridSpan w:val="2"/>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彩虹粗仿宋" w:hAnsi="Arial" w:eastAsia="彩虹粗仿宋" w:cs="Arial"/>
                <w:b/>
                <w:bCs/>
                <w:color w:val="000000"/>
                <w:kern w:val="0"/>
                <w:sz w:val="24"/>
              </w:rPr>
            </w:pPr>
            <w:r>
              <w:rPr>
                <w:rFonts w:hint="eastAsia" w:ascii="彩虹粗仿宋" w:hAnsi="Arial" w:eastAsia="彩虹粗仿宋" w:cs="Arial"/>
                <w:b/>
                <w:bCs/>
                <w:color w:val="000000"/>
                <w:kern w:val="0"/>
                <w:sz w:val="24"/>
              </w:rPr>
              <w:t>项目名称</w:t>
            </w:r>
          </w:p>
        </w:tc>
        <w:tc>
          <w:tcPr>
            <w:tcW w:w="1349" w:type="dxa"/>
            <w:tcBorders>
              <w:top w:val="single" w:color="auto" w:sz="8" w:space="0"/>
              <w:left w:val="nil"/>
              <w:bottom w:val="single" w:color="auto" w:sz="4" w:space="0"/>
              <w:right w:val="single" w:color="auto" w:sz="4" w:space="0"/>
            </w:tcBorders>
            <w:shd w:val="clear" w:color="auto" w:fill="auto"/>
            <w:vAlign w:val="center"/>
          </w:tcPr>
          <w:p>
            <w:pPr>
              <w:widowControl/>
              <w:jc w:val="center"/>
              <w:rPr>
                <w:rFonts w:ascii="彩虹粗仿宋" w:hAnsi="Arial" w:eastAsia="彩虹粗仿宋" w:cs="Arial"/>
                <w:b/>
                <w:bCs/>
                <w:kern w:val="0"/>
                <w:sz w:val="24"/>
              </w:rPr>
            </w:pPr>
            <w:r>
              <w:rPr>
                <w:rFonts w:hint="eastAsia" w:ascii="彩虹粗仿宋" w:hAnsi="Arial" w:eastAsia="彩虹粗仿宋" w:cs="Arial"/>
                <w:b/>
                <w:bCs/>
                <w:kern w:val="0"/>
                <w:sz w:val="24"/>
              </w:rPr>
              <w:t>数量</w:t>
            </w:r>
          </w:p>
        </w:tc>
        <w:tc>
          <w:tcPr>
            <w:tcW w:w="800" w:type="dxa"/>
            <w:tcBorders>
              <w:top w:val="single" w:color="auto" w:sz="8" w:space="0"/>
              <w:left w:val="nil"/>
              <w:bottom w:val="single" w:color="auto" w:sz="4" w:space="0"/>
              <w:right w:val="single" w:color="auto" w:sz="4" w:space="0"/>
            </w:tcBorders>
            <w:shd w:val="clear" w:color="auto" w:fill="auto"/>
            <w:vAlign w:val="center"/>
          </w:tcPr>
          <w:p>
            <w:pPr>
              <w:widowControl/>
              <w:jc w:val="center"/>
              <w:rPr>
                <w:rFonts w:ascii="彩虹粗仿宋" w:hAnsi="Arial" w:eastAsia="彩虹粗仿宋" w:cs="Arial"/>
                <w:b/>
                <w:bCs/>
                <w:kern w:val="0"/>
                <w:sz w:val="24"/>
              </w:rPr>
            </w:pPr>
            <w:r>
              <w:rPr>
                <w:rFonts w:hint="eastAsia" w:ascii="彩虹粗仿宋" w:hAnsi="Arial" w:eastAsia="彩虹粗仿宋" w:cs="Arial"/>
                <w:b/>
                <w:bCs/>
                <w:kern w:val="0"/>
                <w:sz w:val="24"/>
              </w:rPr>
              <w:t>单位</w:t>
            </w:r>
          </w:p>
        </w:tc>
        <w:tc>
          <w:tcPr>
            <w:tcW w:w="1520" w:type="dxa"/>
            <w:tcBorders>
              <w:top w:val="single" w:color="auto" w:sz="8" w:space="0"/>
              <w:left w:val="nil"/>
              <w:bottom w:val="single" w:color="auto" w:sz="4" w:space="0"/>
              <w:right w:val="single" w:color="auto" w:sz="4" w:space="0"/>
            </w:tcBorders>
            <w:shd w:val="clear" w:color="auto" w:fill="auto"/>
            <w:vAlign w:val="center"/>
          </w:tcPr>
          <w:p>
            <w:pPr>
              <w:widowControl/>
              <w:jc w:val="center"/>
              <w:rPr>
                <w:rFonts w:ascii="彩虹粗仿宋" w:hAnsi="Arial" w:eastAsia="彩虹粗仿宋" w:cs="Arial"/>
                <w:b/>
                <w:bCs/>
                <w:color w:val="000000"/>
                <w:kern w:val="0"/>
                <w:sz w:val="24"/>
              </w:rPr>
            </w:pPr>
            <w:r>
              <w:rPr>
                <w:rFonts w:hint="eastAsia" w:ascii="彩虹粗仿宋" w:hAnsi="Arial" w:eastAsia="彩虹粗仿宋" w:cs="Arial"/>
                <w:b/>
                <w:bCs/>
                <w:color w:val="000000"/>
                <w:kern w:val="0"/>
                <w:sz w:val="24"/>
              </w:rPr>
              <w:t>单价</w:t>
            </w:r>
          </w:p>
        </w:tc>
        <w:tc>
          <w:tcPr>
            <w:tcW w:w="1620" w:type="dxa"/>
            <w:tcBorders>
              <w:top w:val="single" w:color="auto" w:sz="8" w:space="0"/>
              <w:left w:val="nil"/>
              <w:bottom w:val="single" w:color="auto" w:sz="4" w:space="0"/>
              <w:right w:val="single" w:color="auto" w:sz="8" w:space="0"/>
            </w:tcBorders>
            <w:shd w:val="clear" w:color="auto" w:fill="auto"/>
            <w:vAlign w:val="center"/>
          </w:tcPr>
          <w:p>
            <w:pPr>
              <w:widowControl/>
              <w:jc w:val="center"/>
              <w:rPr>
                <w:rFonts w:ascii="彩虹粗仿宋" w:hAnsi="Arial" w:eastAsia="彩虹粗仿宋" w:cs="Arial"/>
                <w:b/>
                <w:bCs/>
                <w:color w:val="000000"/>
                <w:kern w:val="0"/>
                <w:sz w:val="24"/>
              </w:rPr>
            </w:pPr>
            <w:r>
              <w:rPr>
                <w:rFonts w:hint="eastAsia" w:ascii="彩虹粗仿宋" w:hAnsi="Arial" w:eastAsia="彩虹粗仿宋" w:cs="Arial"/>
                <w:b/>
                <w:bCs/>
                <w:color w:val="000000"/>
                <w:kern w:val="0"/>
                <w:sz w:val="24"/>
              </w:rPr>
              <w:t>总价</w:t>
            </w:r>
          </w:p>
        </w:tc>
      </w:tr>
      <w:tr>
        <w:tblPrEx>
          <w:tblCellMar>
            <w:top w:w="0" w:type="dxa"/>
            <w:left w:w="108" w:type="dxa"/>
            <w:bottom w:w="0" w:type="dxa"/>
            <w:right w:w="108" w:type="dxa"/>
          </w:tblCellMar>
        </w:tblPrEx>
        <w:trPr>
          <w:trHeight w:val="324" w:hRule="atLeast"/>
        </w:trPr>
        <w:tc>
          <w:tcPr>
            <w:tcW w:w="1840" w:type="dxa"/>
            <w:vMerge w:val="restart"/>
            <w:tcBorders>
              <w:top w:val="nil"/>
              <w:left w:val="single" w:color="auto" w:sz="8" w:space="0"/>
              <w:bottom w:val="single" w:color="auto" w:sz="4" w:space="0"/>
              <w:right w:val="single" w:color="auto" w:sz="4" w:space="0"/>
            </w:tcBorders>
            <w:shd w:val="clear" w:color="auto" w:fill="auto"/>
            <w:vAlign w:val="center"/>
          </w:tcPr>
          <w:p>
            <w:pPr>
              <w:widowControl/>
              <w:jc w:val="center"/>
              <w:rPr>
                <w:rFonts w:ascii="彩虹粗仿宋" w:hAnsi="Arial" w:eastAsia="彩虹粗仿宋" w:cs="Arial"/>
                <w:color w:val="000000"/>
                <w:kern w:val="0"/>
                <w:sz w:val="24"/>
              </w:rPr>
            </w:pPr>
            <w:r>
              <w:rPr>
                <w:rFonts w:hint="eastAsia" w:ascii="彩虹粗仿宋" w:hAnsi="Arial" w:eastAsia="彩虹粗仿宋" w:cs="Arial"/>
                <w:color w:val="000000"/>
                <w:kern w:val="0"/>
                <w:sz w:val="24"/>
              </w:rPr>
              <w:t>所得税汇算清缴</w:t>
            </w:r>
          </w:p>
        </w:tc>
        <w:tc>
          <w:tcPr>
            <w:tcW w:w="2711" w:type="dxa"/>
            <w:tcBorders>
              <w:top w:val="nil"/>
              <w:left w:val="nil"/>
              <w:bottom w:val="single" w:color="auto" w:sz="4" w:space="0"/>
              <w:right w:val="single" w:color="auto" w:sz="4" w:space="0"/>
            </w:tcBorders>
            <w:shd w:val="clear" w:color="auto" w:fill="auto"/>
            <w:vAlign w:val="center"/>
          </w:tcPr>
          <w:p>
            <w:pPr>
              <w:widowControl/>
              <w:rPr>
                <w:rFonts w:ascii="彩虹粗仿宋" w:hAnsi="Arial" w:eastAsia="彩虹粗仿宋" w:cs="Arial"/>
                <w:color w:val="000000"/>
                <w:kern w:val="0"/>
                <w:sz w:val="24"/>
              </w:rPr>
            </w:pPr>
            <w:r>
              <w:rPr>
                <w:rFonts w:hint="eastAsia" w:ascii="彩虹粗仿宋" w:hAnsi="Arial" w:eastAsia="彩虹粗仿宋" w:cs="Arial"/>
                <w:color w:val="000000"/>
                <w:kern w:val="0"/>
                <w:sz w:val="24"/>
              </w:rPr>
              <w:t>本部汇算清缴（每年度）</w:t>
            </w:r>
          </w:p>
        </w:tc>
        <w:tc>
          <w:tcPr>
            <w:tcW w:w="1349" w:type="dxa"/>
            <w:tcBorders>
              <w:top w:val="nil"/>
              <w:left w:val="nil"/>
              <w:bottom w:val="single" w:color="auto" w:sz="4" w:space="0"/>
              <w:right w:val="single" w:color="auto" w:sz="4" w:space="0"/>
            </w:tcBorders>
            <w:shd w:val="clear" w:color="auto" w:fill="auto"/>
            <w:vAlign w:val="center"/>
          </w:tcPr>
          <w:p>
            <w:pPr>
              <w:widowControl/>
              <w:jc w:val="center"/>
              <w:rPr>
                <w:rFonts w:ascii="彩虹粗仿宋" w:hAnsi="Arial" w:eastAsia="彩虹粗仿宋" w:cs="Arial"/>
                <w:color w:val="000000"/>
                <w:kern w:val="0"/>
                <w:sz w:val="24"/>
              </w:rPr>
            </w:pPr>
            <w:r>
              <w:rPr>
                <w:rFonts w:hint="eastAsia" w:ascii="彩虹粗仿宋" w:hAnsi="Arial" w:eastAsia="彩虹粗仿宋" w:cs="Arial"/>
                <w:color w:val="000000"/>
                <w:kern w:val="0"/>
                <w:sz w:val="24"/>
              </w:rPr>
              <w:t>1</w:t>
            </w:r>
          </w:p>
        </w:tc>
        <w:tc>
          <w:tcPr>
            <w:tcW w:w="800" w:type="dxa"/>
            <w:tcBorders>
              <w:top w:val="nil"/>
              <w:left w:val="nil"/>
              <w:bottom w:val="single" w:color="auto" w:sz="4" w:space="0"/>
              <w:right w:val="single" w:color="auto" w:sz="4" w:space="0"/>
            </w:tcBorders>
            <w:shd w:val="clear" w:color="auto" w:fill="auto"/>
            <w:vAlign w:val="center"/>
          </w:tcPr>
          <w:p>
            <w:pPr>
              <w:widowControl/>
              <w:jc w:val="center"/>
              <w:rPr>
                <w:rFonts w:ascii="彩虹粗仿宋" w:hAnsi="Arial" w:eastAsia="彩虹粗仿宋" w:cs="Arial"/>
                <w:color w:val="000000"/>
                <w:kern w:val="0"/>
                <w:sz w:val="24"/>
              </w:rPr>
            </w:pPr>
            <w:r>
              <w:rPr>
                <w:rFonts w:hint="eastAsia" w:ascii="彩虹粗仿宋" w:hAnsi="Arial" w:eastAsia="彩虹粗仿宋" w:cs="Arial"/>
                <w:color w:val="000000"/>
                <w:kern w:val="0"/>
                <w:sz w:val="24"/>
              </w:rPr>
              <w:t>项</w:t>
            </w:r>
          </w:p>
        </w:tc>
        <w:tc>
          <w:tcPr>
            <w:tcW w:w="1520" w:type="dxa"/>
            <w:tcBorders>
              <w:top w:val="nil"/>
              <w:left w:val="nil"/>
              <w:bottom w:val="single" w:color="auto" w:sz="4" w:space="0"/>
              <w:right w:val="single" w:color="auto" w:sz="4" w:space="0"/>
            </w:tcBorders>
            <w:shd w:val="clear" w:color="auto" w:fill="auto"/>
            <w:vAlign w:val="center"/>
          </w:tcPr>
          <w:p>
            <w:pPr>
              <w:widowControl/>
              <w:jc w:val="center"/>
              <w:rPr>
                <w:rFonts w:ascii="彩虹粗仿宋" w:hAnsi="Arial" w:eastAsia="彩虹粗仿宋" w:cs="Arial"/>
                <w:color w:val="000000"/>
                <w:kern w:val="0"/>
                <w:sz w:val="24"/>
              </w:rPr>
            </w:pPr>
            <w:r>
              <w:rPr>
                <w:rFonts w:hint="eastAsia" w:ascii="彩虹粗仿宋" w:hAnsi="Arial" w:eastAsia="彩虹粗仿宋" w:cs="Arial"/>
                <w:color w:val="000000"/>
                <w:kern w:val="0"/>
                <w:sz w:val="24"/>
              </w:rPr>
              <w:t xml:space="preserve">33,000.00 </w:t>
            </w:r>
          </w:p>
        </w:tc>
        <w:tc>
          <w:tcPr>
            <w:tcW w:w="1620" w:type="dxa"/>
            <w:tcBorders>
              <w:top w:val="nil"/>
              <w:left w:val="nil"/>
              <w:bottom w:val="single" w:color="auto" w:sz="4" w:space="0"/>
              <w:right w:val="single" w:color="auto" w:sz="8" w:space="0"/>
            </w:tcBorders>
            <w:shd w:val="clear" w:color="auto" w:fill="auto"/>
            <w:vAlign w:val="center"/>
          </w:tcPr>
          <w:p>
            <w:pPr>
              <w:widowControl/>
              <w:jc w:val="center"/>
              <w:rPr>
                <w:rFonts w:ascii="彩虹粗仿宋" w:hAnsi="Arial" w:eastAsia="彩虹粗仿宋" w:cs="Arial"/>
                <w:color w:val="000000"/>
                <w:kern w:val="0"/>
                <w:sz w:val="24"/>
              </w:rPr>
            </w:pPr>
            <w:r>
              <w:rPr>
                <w:rFonts w:hint="eastAsia" w:ascii="彩虹粗仿宋" w:hAnsi="Arial" w:eastAsia="彩虹粗仿宋" w:cs="Arial"/>
                <w:color w:val="000000"/>
                <w:kern w:val="0"/>
                <w:sz w:val="24"/>
              </w:rPr>
              <w:t xml:space="preserve">33,000.00 </w:t>
            </w:r>
          </w:p>
        </w:tc>
      </w:tr>
      <w:tr>
        <w:tblPrEx>
          <w:tblCellMar>
            <w:top w:w="0" w:type="dxa"/>
            <w:left w:w="108" w:type="dxa"/>
            <w:bottom w:w="0" w:type="dxa"/>
            <w:right w:w="108" w:type="dxa"/>
          </w:tblCellMar>
        </w:tblPrEx>
        <w:trPr>
          <w:trHeight w:val="324" w:hRule="atLeast"/>
        </w:trPr>
        <w:tc>
          <w:tcPr>
            <w:tcW w:w="1840" w:type="dxa"/>
            <w:vMerge w:val="continue"/>
            <w:tcBorders>
              <w:top w:val="nil"/>
              <w:left w:val="single" w:color="auto" w:sz="8" w:space="0"/>
              <w:bottom w:val="single" w:color="auto" w:sz="4" w:space="0"/>
              <w:right w:val="single" w:color="auto" w:sz="4" w:space="0"/>
            </w:tcBorders>
            <w:vAlign w:val="center"/>
          </w:tcPr>
          <w:p>
            <w:pPr>
              <w:widowControl/>
              <w:jc w:val="left"/>
              <w:rPr>
                <w:rFonts w:ascii="彩虹粗仿宋" w:hAnsi="Arial" w:eastAsia="彩虹粗仿宋" w:cs="Arial"/>
                <w:color w:val="000000"/>
                <w:kern w:val="0"/>
                <w:sz w:val="24"/>
              </w:rPr>
            </w:pPr>
          </w:p>
        </w:tc>
        <w:tc>
          <w:tcPr>
            <w:tcW w:w="2711" w:type="dxa"/>
            <w:tcBorders>
              <w:top w:val="nil"/>
              <w:left w:val="nil"/>
              <w:bottom w:val="single" w:color="auto" w:sz="4" w:space="0"/>
              <w:right w:val="single" w:color="auto" w:sz="4" w:space="0"/>
            </w:tcBorders>
            <w:shd w:val="clear" w:color="auto" w:fill="auto"/>
            <w:vAlign w:val="center"/>
          </w:tcPr>
          <w:p>
            <w:pPr>
              <w:widowControl/>
              <w:rPr>
                <w:rFonts w:ascii="彩虹粗仿宋" w:hAnsi="Arial" w:eastAsia="彩虹粗仿宋" w:cs="Arial"/>
                <w:color w:val="000000"/>
                <w:kern w:val="0"/>
                <w:sz w:val="24"/>
              </w:rPr>
            </w:pPr>
            <w:r>
              <w:rPr>
                <w:rFonts w:hint="eastAsia" w:ascii="彩虹粗仿宋" w:hAnsi="Arial" w:eastAsia="彩虹粗仿宋" w:cs="Arial"/>
                <w:color w:val="000000"/>
                <w:kern w:val="0"/>
                <w:sz w:val="24"/>
              </w:rPr>
              <w:t>全省审核汇总（每年度）</w:t>
            </w:r>
          </w:p>
        </w:tc>
        <w:tc>
          <w:tcPr>
            <w:tcW w:w="1349" w:type="dxa"/>
            <w:tcBorders>
              <w:top w:val="nil"/>
              <w:left w:val="nil"/>
              <w:bottom w:val="single" w:color="auto" w:sz="4" w:space="0"/>
              <w:right w:val="single" w:color="auto" w:sz="4" w:space="0"/>
            </w:tcBorders>
            <w:shd w:val="clear" w:color="auto" w:fill="auto"/>
            <w:vAlign w:val="center"/>
          </w:tcPr>
          <w:p>
            <w:pPr>
              <w:widowControl/>
              <w:jc w:val="center"/>
              <w:rPr>
                <w:rFonts w:ascii="彩虹粗仿宋" w:hAnsi="Arial" w:eastAsia="彩虹粗仿宋" w:cs="Arial"/>
                <w:color w:val="000000"/>
                <w:kern w:val="0"/>
                <w:sz w:val="24"/>
              </w:rPr>
            </w:pPr>
            <w:r>
              <w:rPr>
                <w:rFonts w:hint="eastAsia" w:ascii="彩虹粗仿宋" w:hAnsi="Arial" w:eastAsia="彩虹粗仿宋" w:cs="Arial"/>
                <w:color w:val="000000"/>
                <w:kern w:val="0"/>
                <w:sz w:val="24"/>
              </w:rPr>
              <w:t>1</w:t>
            </w:r>
          </w:p>
        </w:tc>
        <w:tc>
          <w:tcPr>
            <w:tcW w:w="800" w:type="dxa"/>
            <w:tcBorders>
              <w:top w:val="nil"/>
              <w:left w:val="nil"/>
              <w:bottom w:val="single" w:color="auto" w:sz="4" w:space="0"/>
              <w:right w:val="single" w:color="auto" w:sz="4" w:space="0"/>
            </w:tcBorders>
            <w:shd w:val="clear" w:color="auto" w:fill="auto"/>
            <w:vAlign w:val="center"/>
          </w:tcPr>
          <w:p>
            <w:pPr>
              <w:widowControl/>
              <w:jc w:val="center"/>
              <w:rPr>
                <w:rFonts w:ascii="彩虹粗仿宋" w:hAnsi="Arial" w:eastAsia="彩虹粗仿宋" w:cs="Arial"/>
                <w:color w:val="000000"/>
                <w:kern w:val="0"/>
                <w:sz w:val="24"/>
              </w:rPr>
            </w:pPr>
            <w:r>
              <w:rPr>
                <w:rFonts w:hint="eastAsia" w:ascii="彩虹粗仿宋" w:hAnsi="Arial" w:eastAsia="彩虹粗仿宋" w:cs="Arial"/>
                <w:color w:val="000000"/>
                <w:kern w:val="0"/>
                <w:sz w:val="24"/>
              </w:rPr>
              <w:t>项</w:t>
            </w:r>
          </w:p>
        </w:tc>
        <w:tc>
          <w:tcPr>
            <w:tcW w:w="1520" w:type="dxa"/>
            <w:tcBorders>
              <w:top w:val="nil"/>
              <w:left w:val="nil"/>
              <w:bottom w:val="single" w:color="auto" w:sz="4" w:space="0"/>
              <w:right w:val="single" w:color="auto" w:sz="4" w:space="0"/>
            </w:tcBorders>
            <w:shd w:val="clear" w:color="auto" w:fill="auto"/>
            <w:vAlign w:val="center"/>
          </w:tcPr>
          <w:p>
            <w:pPr>
              <w:widowControl/>
              <w:jc w:val="center"/>
              <w:rPr>
                <w:rFonts w:ascii="彩虹粗仿宋" w:hAnsi="Arial" w:eastAsia="彩虹粗仿宋" w:cs="Arial"/>
                <w:color w:val="000000"/>
                <w:kern w:val="0"/>
                <w:sz w:val="24"/>
              </w:rPr>
            </w:pPr>
            <w:r>
              <w:rPr>
                <w:rFonts w:hint="eastAsia" w:ascii="彩虹粗仿宋" w:hAnsi="Arial" w:eastAsia="彩虹粗仿宋" w:cs="Arial"/>
                <w:color w:val="000000"/>
                <w:kern w:val="0"/>
                <w:sz w:val="24"/>
              </w:rPr>
              <w:t xml:space="preserve">80,000.00 </w:t>
            </w:r>
          </w:p>
        </w:tc>
        <w:tc>
          <w:tcPr>
            <w:tcW w:w="1620" w:type="dxa"/>
            <w:tcBorders>
              <w:top w:val="nil"/>
              <w:left w:val="nil"/>
              <w:bottom w:val="single" w:color="auto" w:sz="4" w:space="0"/>
              <w:right w:val="single" w:color="auto" w:sz="8" w:space="0"/>
            </w:tcBorders>
            <w:shd w:val="clear" w:color="auto" w:fill="auto"/>
            <w:vAlign w:val="center"/>
          </w:tcPr>
          <w:p>
            <w:pPr>
              <w:widowControl/>
              <w:jc w:val="center"/>
              <w:rPr>
                <w:rFonts w:ascii="彩虹粗仿宋" w:hAnsi="Arial" w:eastAsia="彩虹粗仿宋" w:cs="Arial"/>
                <w:color w:val="000000"/>
                <w:kern w:val="0"/>
                <w:sz w:val="24"/>
              </w:rPr>
            </w:pPr>
            <w:r>
              <w:rPr>
                <w:rFonts w:hint="eastAsia" w:ascii="彩虹粗仿宋" w:hAnsi="Arial" w:eastAsia="彩虹粗仿宋" w:cs="Arial"/>
                <w:color w:val="000000"/>
                <w:kern w:val="0"/>
                <w:sz w:val="24"/>
              </w:rPr>
              <w:t xml:space="preserve">80,000.00 </w:t>
            </w:r>
          </w:p>
        </w:tc>
      </w:tr>
      <w:tr>
        <w:tblPrEx>
          <w:tblCellMar>
            <w:top w:w="0" w:type="dxa"/>
            <w:left w:w="108" w:type="dxa"/>
            <w:bottom w:w="0" w:type="dxa"/>
            <w:right w:w="108" w:type="dxa"/>
          </w:tblCellMar>
        </w:tblPrEx>
        <w:trPr>
          <w:trHeight w:val="1944" w:hRule="atLeast"/>
        </w:trPr>
        <w:tc>
          <w:tcPr>
            <w:tcW w:w="184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彩虹粗仿宋" w:hAnsi="Arial" w:eastAsia="彩虹粗仿宋" w:cs="Arial"/>
                <w:color w:val="000000"/>
                <w:kern w:val="0"/>
                <w:sz w:val="24"/>
              </w:rPr>
            </w:pPr>
            <w:r>
              <w:rPr>
                <w:rFonts w:hint="eastAsia" w:ascii="彩虹粗仿宋" w:hAnsi="Arial" w:eastAsia="彩虹粗仿宋" w:cs="Arial"/>
                <w:color w:val="000000"/>
                <w:kern w:val="0"/>
                <w:sz w:val="24"/>
              </w:rPr>
              <w:t>资产损失税前扣除、政策性搬迁、残疾人等资料审核；</w:t>
            </w:r>
          </w:p>
        </w:tc>
        <w:tc>
          <w:tcPr>
            <w:tcW w:w="2711" w:type="dxa"/>
            <w:tcBorders>
              <w:top w:val="nil"/>
              <w:left w:val="nil"/>
              <w:bottom w:val="single" w:color="auto" w:sz="4" w:space="0"/>
              <w:right w:val="single" w:color="auto" w:sz="4" w:space="0"/>
            </w:tcBorders>
            <w:shd w:val="clear" w:color="auto" w:fill="auto"/>
            <w:vAlign w:val="center"/>
          </w:tcPr>
          <w:p>
            <w:pPr>
              <w:widowControl/>
              <w:rPr>
                <w:rFonts w:ascii="彩虹粗仿宋" w:hAnsi="Arial" w:eastAsia="彩虹粗仿宋" w:cs="Arial"/>
                <w:color w:val="000000"/>
                <w:kern w:val="0"/>
                <w:sz w:val="24"/>
              </w:rPr>
            </w:pPr>
            <w:r>
              <w:rPr>
                <w:rFonts w:hint="eastAsia" w:ascii="彩虹粗仿宋" w:hAnsi="Arial" w:eastAsia="彩虹粗仿宋" w:cs="Arial"/>
                <w:color w:val="000000"/>
                <w:kern w:val="0"/>
                <w:sz w:val="24"/>
              </w:rPr>
              <w:t>财产损失（每年度）</w:t>
            </w:r>
          </w:p>
        </w:tc>
        <w:tc>
          <w:tcPr>
            <w:tcW w:w="1349" w:type="dxa"/>
            <w:tcBorders>
              <w:top w:val="nil"/>
              <w:left w:val="nil"/>
              <w:bottom w:val="single" w:color="auto" w:sz="4" w:space="0"/>
              <w:right w:val="single" w:color="auto" w:sz="4" w:space="0"/>
            </w:tcBorders>
            <w:shd w:val="clear" w:color="auto" w:fill="auto"/>
            <w:vAlign w:val="center"/>
          </w:tcPr>
          <w:p>
            <w:pPr>
              <w:widowControl/>
              <w:jc w:val="center"/>
              <w:rPr>
                <w:rFonts w:ascii="彩虹粗仿宋" w:hAnsi="Arial" w:eastAsia="彩虹粗仿宋" w:cs="Arial"/>
                <w:color w:val="000000"/>
                <w:kern w:val="0"/>
                <w:sz w:val="24"/>
              </w:rPr>
            </w:pPr>
            <w:r>
              <w:rPr>
                <w:rFonts w:hint="eastAsia" w:ascii="彩虹粗仿宋" w:hAnsi="Arial" w:eastAsia="彩虹粗仿宋" w:cs="Arial"/>
                <w:color w:val="000000"/>
                <w:kern w:val="0"/>
                <w:sz w:val="24"/>
              </w:rPr>
              <w:t>1</w:t>
            </w:r>
          </w:p>
        </w:tc>
        <w:tc>
          <w:tcPr>
            <w:tcW w:w="800" w:type="dxa"/>
            <w:tcBorders>
              <w:top w:val="nil"/>
              <w:left w:val="nil"/>
              <w:bottom w:val="single" w:color="auto" w:sz="4" w:space="0"/>
              <w:right w:val="single" w:color="auto" w:sz="4" w:space="0"/>
            </w:tcBorders>
            <w:shd w:val="clear" w:color="auto" w:fill="auto"/>
            <w:vAlign w:val="center"/>
          </w:tcPr>
          <w:p>
            <w:pPr>
              <w:widowControl/>
              <w:jc w:val="center"/>
              <w:rPr>
                <w:rFonts w:ascii="彩虹粗仿宋" w:hAnsi="Arial" w:eastAsia="彩虹粗仿宋" w:cs="Arial"/>
                <w:color w:val="000000"/>
                <w:kern w:val="0"/>
                <w:sz w:val="24"/>
              </w:rPr>
            </w:pPr>
            <w:r>
              <w:rPr>
                <w:rFonts w:hint="eastAsia" w:ascii="彩虹粗仿宋" w:hAnsi="Arial" w:eastAsia="彩虹粗仿宋" w:cs="Arial"/>
                <w:color w:val="000000"/>
                <w:kern w:val="0"/>
                <w:sz w:val="24"/>
              </w:rPr>
              <w:t>项</w:t>
            </w:r>
          </w:p>
        </w:tc>
        <w:tc>
          <w:tcPr>
            <w:tcW w:w="1520" w:type="dxa"/>
            <w:tcBorders>
              <w:top w:val="nil"/>
              <w:left w:val="nil"/>
              <w:bottom w:val="single" w:color="auto" w:sz="4" w:space="0"/>
              <w:right w:val="single" w:color="auto" w:sz="4" w:space="0"/>
            </w:tcBorders>
            <w:shd w:val="clear" w:color="auto" w:fill="auto"/>
            <w:vAlign w:val="center"/>
          </w:tcPr>
          <w:p>
            <w:pPr>
              <w:widowControl/>
              <w:jc w:val="center"/>
              <w:rPr>
                <w:rFonts w:ascii="彩虹粗仿宋" w:hAnsi="Arial" w:eastAsia="彩虹粗仿宋" w:cs="Arial"/>
                <w:color w:val="000000"/>
                <w:kern w:val="0"/>
                <w:sz w:val="24"/>
              </w:rPr>
            </w:pPr>
            <w:r>
              <w:rPr>
                <w:rFonts w:hint="eastAsia" w:ascii="彩虹粗仿宋" w:hAnsi="Arial" w:eastAsia="彩虹粗仿宋" w:cs="Arial"/>
                <w:color w:val="000000"/>
                <w:kern w:val="0"/>
                <w:sz w:val="24"/>
              </w:rPr>
              <w:t xml:space="preserve">50,000.00 </w:t>
            </w:r>
          </w:p>
        </w:tc>
        <w:tc>
          <w:tcPr>
            <w:tcW w:w="1620" w:type="dxa"/>
            <w:tcBorders>
              <w:top w:val="nil"/>
              <w:left w:val="nil"/>
              <w:bottom w:val="single" w:color="auto" w:sz="4" w:space="0"/>
              <w:right w:val="single" w:color="auto" w:sz="8" w:space="0"/>
            </w:tcBorders>
            <w:shd w:val="clear" w:color="auto" w:fill="auto"/>
            <w:vAlign w:val="center"/>
          </w:tcPr>
          <w:p>
            <w:pPr>
              <w:widowControl/>
              <w:jc w:val="center"/>
              <w:rPr>
                <w:rFonts w:ascii="彩虹粗仿宋" w:hAnsi="Arial" w:eastAsia="彩虹粗仿宋" w:cs="Arial"/>
                <w:color w:val="000000"/>
                <w:kern w:val="0"/>
                <w:sz w:val="24"/>
              </w:rPr>
            </w:pPr>
            <w:r>
              <w:rPr>
                <w:rFonts w:hint="eastAsia" w:ascii="彩虹粗仿宋" w:hAnsi="Arial" w:eastAsia="彩虹粗仿宋" w:cs="Arial"/>
                <w:color w:val="000000"/>
                <w:kern w:val="0"/>
                <w:sz w:val="24"/>
              </w:rPr>
              <w:t xml:space="preserve">50,000.00 </w:t>
            </w:r>
          </w:p>
        </w:tc>
      </w:tr>
      <w:tr>
        <w:tblPrEx>
          <w:tblCellMar>
            <w:top w:w="0" w:type="dxa"/>
            <w:left w:w="108" w:type="dxa"/>
            <w:bottom w:w="0" w:type="dxa"/>
            <w:right w:w="108" w:type="dxa"/>
          </w:tblCellMar>
        </w:tblPrEx>
        <w:trPr>
          <w:trHeight w:val="960" w:hRule="atLeast"/>
        </w:trPr>
        <w:tc>
          <w:tcPr>
            <w:tcW w:w="184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彩虹粗仿宋" w:hAnsi="Arial" w:eastAsia="彩虹粗仿宋" w:cs="Arial"/>
                <w:color w:val="000000"/>
                <w:kern w:val="0"/>
                <w:sz w:val="24"/>
              </w:rPr>
            </w:pPr>
            <w:r>
              <w:rPr>
                <w:rFonts w:hint="eastAsia" w:ascii="彩虹粗仿宋" w:hAnsi="Arial" w:eastAsia="彩虹粗仿宋" w:cs="Arial"/>
                <w:color w:val="000000"/>
                <w:kern w:val="0"/>
                <w:sz w:val="24"/>
              </w:rPr>
              <w:t>日常申报</w:t>
            </w:r>
          </w:p>
        </w:tc>
        <w:tc>
          <w:tcPr>
            <w:tcW w:w="2711" w:type="dxa"/>
            <w:tcBorders>
              <w:top w:val="nil"/>
              <w:left w:val="nil"/>
              <w:bottom w:val="single" w:color="auto" w:sz="4" w:space="0"/>
              <w:right w:val="single" w:color="auto" w:sz="4" w:space="0"/>
            </w:tcBorders>
            <w:shd w:val="clear" w:color="auto" w:fill="auto"/>
            <w:vAlign w:val="center"/>
          </w:tcPr>
          <w:p>
            <w:pPr>
              <w:widowControl/>
              <w:rPr>
                <w:rFonts w:ascii="彩虹粗仿宋" w:hAnsi="Arial" w:eastAsia="彩虹粗仿宋" w:cs="Arial"/>
                <w:color w:val="000000"/>
                <w:kern w:val="0"/>
                <w:sz w:val="24"/>
              </w:rPr>
            </w:pPr>
            <w:r>
              <w:rPr>
                <w:rFonts w:hint="eastAsia" w:ascii="彩虹粗仿宋" w:hAnsi="Arial" w:eastAsia="彩虹粗仿宋" w:cs="Arial"/>
                <w:color w:val="000000"/>
                <w:kern w:val="0"/>
                <w:sz w:val="24"/>
              </w:rPr>
              <w:t>日常申报、税务咨询、评估服务及税局安排的临时性工作（每年度）</w:t>
            </w:r>
          </w:p>
        </w:tc>
        <w:tc>
          <w:tcPr>
            <w:tcW w:w="1349" w:type="dxa"/>
            <w:tcBorders>
              <w:top w:val="nil"/>
              <w:left w:val="nil"/>
              <w:bottom w:val="single" w:color="auto" w:sz="4" w:space="0"/>
              <w:right w:val="single" w:color="auto" w:sz="4" w:space="0"/>
            </w:tcBorders>
            <w:shd w:val="clear" w:color="auto" w:fill="auto"/>
            <w:vAlign w:val="center"/>
          </w:tcPr>
          <w:p>
            <w:pPr>
              <w:widowControl/>
              <w:jc w:val="center"/>
              <w:rPr>
                <w:rFonts w:ascii="彩虹粗仿宋" w:hAnsi="Arial" w:eastAsia="彩虹粗仿宋" w:cs="Arial"/>
                <w:color w:val="000000"/>
                <w:kern w:val="0"/>
                <w:sz w:val="24"/>
              </w:rPr>
            </w:pPr>
            <w:r>
              <w:rPr>
                <w:rFonts w:hint="eastAsia" w:ascii="彩虹粗仿宋" w:hAnsi="Arial" w:eastAsia="彩虹粗仿宋" w:cs="Arial"/>
                <w:color w:val="000000"/>
                <w:kern w:val="0"/>
                <w:sz w:val="24"/>
              </w:rPr>
              <w:t>1</w:t>
            </w:r>
          </w:p>
        </w:tc>
        <w:tc>
          <w:tcPr>
            <w:tcW w:w="800" w:type="dxa"/>
            <w:tcBorders>
              <w:top w:val="nil"/>
              <w:left w:val="nil"/>
              <w:bottom w:val="single" w:color="auto" w:sz="4" w:space="0"/>
              <w:right w:val="single" w:color="auto" w:sz="4" w:space="0"/>
            </w:tcBorders>
            <w:shd w:val="clear" w:color="auto" w:fill="auto"/>
            <w:vAlign w:val="center"/>
          </w:tcPr>
          <w:p>
            <w:pPr>
              <w:widowControl/>
              <w:jc w:val="center"/>
              <w:rPr>
                <w:rFonts w:ascii="彩虹粗仿宋" w:hAnsi="Arial" w:eastAsia="彩虹粗仿宋" w:cs="Arial"/>
                <w:color w:val="000000"/>
                <w:kern w:val="0"/>
                <w:sz w:val="24"/>
              </w:rPr>
            </w:pPr>
            <w:r>
              <w:rPr>
                <w:rFonts w:hint="eastAsia" w:ascii="彩虹粗仿宋" w:hAnsi="Arial" w:eastAsia="彩虹粗仿宋" w:cs="Arial"/>
                <w:color w:val="000000"/>
                <w:kern w:val="0"/>
                <w:sz w:val="24"/>
              </w:rPr>
              <w:t>项</w:t>
            </w:r>
          </w:p>
        </w:tc>
        <w:tc>
          <w:tcPr>
            <w:tcW w:w="1520" w:type="dxa"/>
            <w:tcBorders>
              <w:top w:val="nil"/>
              <w:left w:val="nil"/>
              <w:bottom w:val="single" w:color="auto" w:sz="4" w:space="0"/>
              <w:right w:val="single" w:color="auto" w:sz="4" w:space="0"/>
            </w:tcBorders>
            <w:shd w:val="clear" w:color="auto" w:fill="auto"/>
            <w:vAlign w:val="center"/>
          </w:tcPr>
          <w:p>
            <w:pPr>
              <w:widowControl/>
              <w:jc w:val="center"/>
              <w:rPr>
                <w:rFonts w:ascii="彩虹粗仿宋" w:hAnsi="Arial" w:eastAsia="彩虹粗仿宋" w:cs="Arial"/>
                <w:color w:val="000000"/>
                <w:kern w:val="0"/>
                <w:sz w:val="24"/>
              </w:rPr>
            </w:pPr>
            <w:r>
              <w:rPr>
                <w:rFonts w:hint="eastAsia" w:ascii="彩虹粗仿宋" w:hAnsi="Arial" w:eastAsia="彩虹粗仿宋" w:cs="Arial"/>
                <w:color w:val="000000"/>
                <w:kern w:val="0"/>
                <w:sz w:val="24"/>
              </w:rPr>
              <w:t xml:space="preserve">50,000.00 </w:t>
            </w:r>
          </w:p>
        </w:tc>
        <w:tc>
          <w:tcPr>
            <w:tcW w:w="1620" w:type="dxa"/>
            <w:tcBorders>
              <w:top w:val="nil"/>
              <w:left w:val="nil"/>
              <w:bottom w:val="single" w:color="auto" w:sz="4" w:space="0"/>
              <w:right w:val="single" w:color="auto" w:sz="8" w:space="0"/>
            </w:tcBorders>
            <w:shd w:val="clear" w:color="auto" w:fill="auto"/>
            <w:vAlign w:val="center"/>
          </w:tcPr>
          <w:p>
            <w:pPr>
              <w:widowControl/>
              <w:jc w:val="center"/>
              <w:rPr>
                <w:rFonts w:ascii="彩虹粗仿宋" w:hAnsi="Arial" w:eastAsia="彩虹粗仿宋" w:cs="Arial"/>
                <w:color w:val="000000"/>
                <w:kern w:val="0"/>
                <w:sz w:val="24"/>
              </w:rPr>
            </w:pPr>
            <w:r>
              <w:rPr>
                <w:rFonts w:hint="eastAsia" w:ascii="彩虹粗仿宋" w:hAnsi="Arial" w:eastAsia="彩虹粗仿宋" w:cs="Arial"/>
                <w:color w:val="000000"/>
                <w:kern w:val="0"/>
                <w:sz w:val="24"/>
              </w:rPr>
              <w:t xml:space="preserve">50,000.00 </w:t>
            </w:r>
          </w:p>
        </w:tc>
      </w:tr>
      <w:tr>
        <w:tblPrEx>
          <w:tblCellMar>
            <w:top w:w="0" w:type="dxa"/>
            <w:left w:w="108" w:type="dxa"/>
            <w:bottom w:w="0" w:type="dxa"/>
            <w:right w:w="108" w:type="dxa"/>
          </w:tblCellMar>
        </w:tblPrEx>
        <w:trPr>
          <w:trHeight w:val="324" w:hRule="atLeast"/>
        </w:trPr>
        <w:tc>
          <w:tcPr>
            <w:tcW w:w="1840" w:type="dxa"/>
            <w:vMerge w:val="restart"/>
            <w:tcBorders>
              <w:top w:val="nil"/>
              <w:left w:val="single" w:color="auto" w:sz="8" w:space="0"/>
              <w:bottom w:val="single" w:color="000000" w:sz="8" w:space="0"/>
              <w:right w:val="single" w:color="auto" w:sz="4" w:space="0"/>
            </w:tcBorders>
            <w:shd w:val="clear" w:color="auto" w:fill="auto"/>
            <w:vAlign w:val="center"/>
          </w:tcPr>
          <w:p>
            <w:pPr>
              <w:widowControl/>
              <w:jc w:val="center"/>
              <w:rPr>
                <w:rFonts w:ascii="彩虹粗仿宋" w:hAnsi="Arial" w:eastAsia="彩虹粗仿宋" w:cs="Arial"/>
                <w:color w:val="000000"/>
                <w:kern w:val="0"/>
                <w:sz w:val="24"/>
              </w:rPr>
            </w:pPr>
            <w:r>
              <w:rPr>
                <w:rFonts w:hint="eastAsia" w:ascii="彩虹粗仿宋" w:hAnsi="Arial" w:eastAsia="彩虹粗仿宋" w:cs="Arial"/>
                <w:color w:val="000000"/>
                <w:kern w:val="0"/>
                <w:sz w:val="24"/>
              </w:rPr>
              <w:t>专业税务培训</w:t>
            </w:r>
          </w:p>
        </w:tc>
        <w:tc>
          <w:tcPr>
            <w:tcW w:w="2711" w:type="dxa"/>
            <w:tcBorders>
              <w:top w:val="nil"/>
              <w:left w:val="nil"/>
              <w:bottom w:val="single" w:color="auto" w:sz="4" w:space="0"/>
              <w:right w:val="single" w:color="auto" w:sz="4" w:space="0"/>
            </w:tcBorders>
            <w:shd w:val="clear" w:color="auto" w:fill="auto"/>
            <w:vAlign w:val="center"/>
          </w:tcPr>
          <w:p>
            <w:pPr>
              <w:widowControl/>
              <w:rPr>
                <w:rFonts w:ascii="彩虹粗仿宋" w:hAnsi="Arial" w:eastAsia="彩虹粗仿宋" w:cs="Arial"/>
                <w:color w:val="000000"/>
                <w:kern w:val="0"/>
                <w:sz w:val="24"/>
              </w:rPr>
            </w:pPr>
            <w:r>
              <w:rPr>
                <w:rFonts w:hint="eastAsia" w:ascii="彩虹粗仿宋" w:hAnsi="Arial" w:eastAsia="彩虹粗仿宋" w:cs="Arial"/>
                <w:color w:val="000000"/>
                <w:kern w:val="0"/>
                <w:sz w:val="24"/>
              </w:rPr>
              <w:t>常规授课（单次）</w:t>
            </w:r>
          </w:p>
        </w:tc>
        <w:tc>
          <w:tcPr>
            <w:tcW w:w="1349" w:type="dxa"/>
            <w:tcBorders>
              <w:top w:val="nil"/>
              <w:left w:val="nil"/>
              <w:bottom w:val="single" w:color="auto" w:sz="4" w:space="0"/>
              <w:right w:val="single" w:color="auto" w:sz="4" w:space="0"/>
            </w:tcBorders>
            <w:shd w:val="clear" w:color="auto" w:fill="auto"/>
            <w:vAlign w:val="center"/>
          </w:tcPr>
          <w:p>
            <w:pPr>
              <w:widowControl/>
              <w:jc w:val="center"/>
              <w:rPr>
                <w:rFonts w:ascii="彩虹粗仿宋" w:hAnsi="Arial" w:eastAsia="彩虹粗仿宋" w:cs="Arial"/>
                <w:color w:val="000000"/>
                <w:kern w:val="0"/>
                <w:sz w:val="24"/>
              </w:rPr>
            </w:pPr>
            <w:r>
              <w:rPr>
                <w:rFonts w:hint="eastAsia" w:ascii="彩虹粗仿宋" w:hAnsi="Arial" w:eastAsia="彩虹粗仿宋" w:cs="Arial"/>
                <w:color w:val="000000"/>
                <w:kern w:val="0"/>
                <w:sz w:val="24"/>
              </w:rPr>
              <w:t>2</w:t>
            </w:r>
          </w:p>
        </w:tc>
        <w:tc>
          <w:tcPr>
            <w:tcW w:w="800" w:type="dxa"/>
            <w:tcBorders>
              <w:top w:val="nil"/>
              <w:left w:val="nil"/>
              <w:bottom w:val="single" w:color="auto" w:sz="4" w:space="0"/>
              <w:right w:val="single" w:color="auto" w:sz="4" w:space="0"/>
            </w:tcBorders>
            <w:shd w:val="clear" w:color="auto" w:fill="auto"/>
            <w:vAlign w:val="center"/>
          </w:tcPr>
          <w:p>
            <w:pPr>
              <w:widowControl/>
              <w:jc w:val="center"/>
              <w:rPr>
                <w:rFonts w:ascii="彩虹粗仿宋" w:hAnsi="Arial" w:eastAsia="彩虹粗仿宋" w:cs="Arial"/>
                <w:color w:val="000000"/>
                <w:kern w:val="0"/>
                <w:sz w:val="24"/>
              </w:rPr>
            </w:pPr>
            <w:r>
              <w:rPr>
                <w:rFonts w:hint="eastAsia" w:ascii="彩虹粗仿宋" w:hAnsi="Arial" w:eastAsia="彩虹粗仿宋" w:cs="Arial"/>
                <w:color w:val="000000"/>
                <w:kern w:val="0"/>
                <w:sz w:val="24"/>
              </w:rPr>
              <w:t>次</w:t>
            </w:r>
          </w:p>
        </w:tc>
        <w:tc>
          <w:tcPr>
            <w:tcW w:w="1520" w:type="dxa"/>
            <w:tcBorders>
              <w:top w:val="nil"/>
              <w:left w:val="nil"/>
              <w:bottom w:val="single" w:color="auto" w:sz="4" w:space="0"/>
              <w:right w:val="single" w:color="auto" w:sz="4" w:space="0"/>
            </w:tcBorders>
            <w:shd w:val="clear" w:color="auto" w:fill="auto"/>
            <w:vAlign w:val="center"/>
          </w:tcPr>
          <w:p>
            <w:pPr>
              <w:widowControl/>
              <w:jc w:val="center"/>
              <w:rPr>
                <w:rFonts w:ascii="彩虹粗仿宋" w:hAnsi="Arial" w:eastAsia="彩虹粗仿宋" w:cs="Arial"/>
                <w:color w:val="000000"/>
                <w:kern w:val="0"/>
                <w:sz w:val="24"/>
              </w:rPr>
            </w:pPr>
            <w:r>
              <w:rPr>
                <w:rFonts w:hint="eastAsia" w:ascii="彩虹粗仿宋" w:hAnsi="Arial" w:eastAsia="彩虹粗仿宋" w:cs="Arial"/>
                <w:color w:val="000000"/>
                <w:kern w:val="0"/>
                <w:sz w:val="24"/>
              </w:rPr>
              <w:t xml:space="preserve">1,000.00 </w:t>
            </w:r>
          </w:p>
        </w:tc>
        <w:tc>
          <w:tcPr>
            <w:tcW w:w="1620" w:type="dxa"/>
            <w:tcBorders>
              <w:top w:val="nil"/>
              <w:left w:val="nil"/>
              <w:bottom w:val="single" w:color="auto" w:sz="4" w:space="0"/>
              <w:right w:val="single" w:color="auto" w:sz="8" w:space="0"/>
            </w:tcBorders>
            <w:shd w:val="clear" w:color="auto" w:fill="auto"/>
            <w:vAlign w:val="center"/>
          </w:tcPr>
          <w:p>
            <w:pPr>
              <w:widowControl/>
              <w:jc w:val="center"/>
              <w:rPr>
                <w:rFonts w:ascii="彩虹粗仿宋" w:hAnsi="Arial" w:eastAsia="彩虹粗仿宋" w:cs="Arial"/>
                <w:color w:val="000000"/>
                <w:kern w:val="0"/>
                <w:sz w:val="24"/>
              </w:rPr>
            </w:pPr>
            <w:r>
              <w:rPr>
                <w:rFonts w:hint="eastAsia" w:ascii="彩虹粗仿宋" w:hAnsi="Arial" w:eastAsia="彩虹粗仿宋" w:cs="Arial"/>
                <w:color w:val="000000"/>
                <w:kern w:val="0"/>
                <w:sz w:val="24"/>
              </w:rPr>
              <w:t xml:space="preserve">2,000.00 </w:t>
            </w:r>
          </w:p>
        </w:tc>
      </w:tr>
      <w:tr>
        <w:tblPrEx>
          <w:tblCellMar>
            <w:top w:w="0" w:type="dxa"/>
            <w:left w:w="108" w:type="dxa"/>
            <w:bottom w:w="0" w:type="dxa"/>
            <w:right w:w="108" w:type="dxa"/>
          </w:tblCellMar>
        </w:tblPrEx>
        <w:trPr>
          <w:trHeight w:val="336" w:hRule="atLeast"/>
        </w:trPr>
        <w:tc>
          <w:tcPr>
            <w:tcW w:w="1840" w:type="dxa"/>
            <w:vMerge w:val="continue"/>
            <w:tcBorders>
              <w:top w:val="nil"/>
              <w:left w:val="single" w:color="auto" w:sz="8" w:space="0"/>
              <w:bottom w:val="single" w:color="000000" w:sz="8" w:space="0"/>
              <w:right w:val="single" w:color="auto" w:sz="4" w:space="0"/>
            </w:tcBorders>
            <w:vAlign w:val="center"/>
          </w:tcPr>
          <w:p>
            <w:pPr>
              <w:widowControl/>
              <w:jc w:val="left"/>
              <w:rPr>
                <w:rFonts w:ascii="彩虹粗仿宋" w:hAnsi="Arial" w:eastAsia="彩虹粗仿宋" w:cs="Arial"/>
                <w:color w:val="000000"/>
                <w:kern w:val="0"/>
                <w:sz w:val="24"/>
              </w:rPr>
            </w:pPr>
          </w:p>
        </w:tc>
        <w:tc>
          <w:tcPr>
            <w:tcW w:w="2711" w:type="dxa"/>
            <w:tcBorders>
              <w:top w:val="nil"/>
              <w:left w:val="nil"/>
              <w:bottom w:val="single" w:color="auto" w:sz="8" w:space="0"/>
              <w:right w:val="single" w:color="auto" w:sz="4" w:space="0"/>
            </w:tcBorders>
            <w:shd w:val="clear" w:color="auto" w:fill="auto"/>
            <w:vAlign w:val="center"/>
          </w:tcPr>
          <w:p>
            <w:pPr>
              <w:widowControl/>
              <w:rPr>
                <w:rFonts w:ascii="彩虹粗仿宋" w:hAnsi="Arial" w:eastAsia="彩虹粗仿宋" w:cs="Arial"/>
                <w:color w:val="000000"/>
                <w:kern w:val="0"/>
                <w:sz w:val="24"/>
              </w:rPr>
            </w:pPr>
            <w:r>
              <w:rPr>
                <w:rFonts w:hint="eastAsia" w:ascii="彩虹粗仿宋" w:hAnsi="Arial" w:eastAsia="彩虹粗仿宋" w:cs="Arial"/>
                <w:color w:val="000000"/>
                <w:kern w:val="0"/>
                <w:sz w:val="24"/>
              </w:rPr>
              <w:t>专家授课（单次）</w:t>
            </w:r>
          </w:p>
        </w:tc>
        <w:tc>
          <w:tcPr>
            <w:tcW w:w="1349" w:type="dxa"/>
            <w:tcBorders>
              <w:top w:val="nil"/>
              <w:left w:val="nil"/>
              <w:bottom w:val="single" w:color="auto" w:sz="8" w:space="0"/>
              <w:right w:val="single" w:color="auto" w:sz="4" w:space="0"/>
            </w:tcBorders>
            <w:shd w:val="clear" w:color="auto" w:fill="auto"/>
            <w:vAlign w:val="center"/>
          </w:tcPr>
          <w:p>
            <w:pPr>
              <w:widowControl/>
              <w:jc w:val="center"/>
              <w:rPr>
                <w:rFonts w:ascii="彩虹粗仿宋" w:hAnsi="Arial" w:eastAsia="彩虹粗仿宋" w:cs="Arial"/>
                <w:color w:val="000000"/>
                <w:kern w:val="0"/>
                <w:sz w:val="24"/>
              </w:rPr>
            </w:pPr>
            <w:r>
              <w:rPr>
                <w:rFonts w:hint="eastAsia" w:ascii="彩虹粗仿宋" w:hAnsi="Arial" w:eastAsia="彩虹粗仿宋" w:cs="Arial"/>
                <w:color w:val="000000"/>
                <w:kern w:val="0"/>
                <w:sz w:val="24"/>
              </w:rPr>
              <w:t>2</w:t>
            </w:r>
          </w:p>
        </w:tc>
        <w:tc>
          <w:tcPr>
            <w:tcW w:w="800" w:type="dxa"/>
            <w:tcBorders>
              <w:top w:val="nil"/>
              <w:left w:val="nil"/>
              <w:bottom w:val="single" w:color="auto" w:sz="8" w:space="0"/>
              <w:right w:val="single" w:color="auto" w:sz="4" w:space="0"/>
            </w:tcBorders>
            <w:shd w:val="clear" w:color="auto" w:fill="auto"/>
            <w:vAlign w:val="center"/>
          </w:tcPr>
          <w:p>
            <w:pPr>
              <w:widowControl/>
              <w:jc w:val="center"/>
              <w:rPr>
                <w:rFonts w:ascii="彩虹粗仿宋" w:hAnsi="Arial" w:eastAsia="彩虹粗仿宋" w:cs="Arial"/>
                <w:color w:val="000000"/>
                <w:kern w:val="0"/>
                <w:sz w:val="24"/>
              </w:rPr>
            </w:pPr>
            <w:r>
              <w:rPr>
                <w:rFonts w:hint="eastAsia" w:ascii="彩虹粗仿宋" w:hAnsi="Arial" w:eastAsia="彩虹粗仿宋" w:cs="Arial"/>
                <w:color w:val="000000"/>
                <w:kern w:val="0"/>
                <w:sz w:val="24"/>
              </w:rPr>
              <w:t>次</w:t>
            </w:r>
          </w:p>
        </w:tc>
        <w:tc>
          <w:tcPr>
            <w:tcW w:w="1520" w:type="dxa"/>
            <w:tcBorders>
              <w:top w:val="nil"/>
              <w:left w:val="nil"/>
              <w:bottom w:val="single" w:color="auto" w:sz="8" w:space="0"/>
              <w:right w:val="single" w:color="auto" w:sz="4" w:space="0"/>
            </w:tcBorders>
            <w:shd w:val="clear" w:color="auto" w:fill="auto"/>
            <w:vAlign w:val="center"/>
          </w:tcPr>
          <w:p>
            <w:pPr>
              <w:widowControl/>
              <w:jc w:val="center"/>
              <w:rPr>
                <w:rFonts w:ascii="彩虹粗仿宋" w:hAnsi="Arial" w:eastAsia="彩虹粗仿宋" w:cs="Arial"/>
                <w:color w:val="000000"/>
                <w:kern w:val="0"/>
                <w:sz w:val="24"/>
              </w:rPr>
            </w:pPr>
            <w:r>
              <w:rPr>
                <w:rFonts w:hint="eastAsia" w:ascii="彩虹粗仿宋" w:hAnsi="Arial" w:eastAsia="彩虹粗仿宋" w:cs="Arial"/>
                <w:color w:val="000000"/>
                <w:kern w:val="0"/>
                <w:sz w:val="24"/>
              </w:rPr>
              <w:t xml:space="preserve">2,000.00 </w:t>
            </w:r>
          </w:p>
        </w:tc>
        <w:tc>
          <w:tcPr>
            <w:tcW w:w="1620" w:type="dxa"/>
            <w:tcBorders>
              <w:top w:val="nil"/>
              <w:left w:val="nil"/>
              <w:bottom w:val="single" w:color="auto" w:sz="8" w:space="0"/>
              <w:right w:val="single" w:color="auto" w:sz="8" w:space="0"/>
            </w:tcBorders>
            <w:shd w:val="clear" w:color="auto" w:fill="auto"/>
            <w:vAlign w:val="center"/>
          </w:tcPr>
          <w:p>
            <w:pPr>
              <w:widowControl/>
              <w:jc w:val="center"/>
              <w:rPr>
                <w:rFonts w:ascii="彩虹粗仿宋" w:hAnsi="Arial" w:eastAsia="彩虹粗仿宋" w:cs="Arial"/>
                <w:color w:val="000000"/>
                <w:kern w:val="0"/>
                <w:sz w:val="24"/>
              </w:rPr>
            </w:pPr>
            <w:r>
              <w:rPr>
                <w:rFonts w:hint="eastAsia" w:ascii="彩虹粗仿宋" w:hAnsi="Arial" w:eastAsia="彩虹粗仿宋" w:cs="Arial"/>
                <w:color w:val="000000"/>
                <w:kern w:val="0"/>
                <w:sz w:val="24"/>
              </w:rPr>
              <w:t xml:space="preserve">4,000.00 </w:t>
            </w:r>
          </w:p>
        </w:tc>
      </w:tr>
    </w:tbl>
    <w:p>
      <w:pPr>
        <w:spacing w:line="560" w:lineRule="exact"/>
        <w:ind w:firstLine="640" w:firstLineChars="200"/>
        <w:rPr>
          <w:rFonts w:ascii="彩虹黑体" w:hAnsi="宋体" w:eastAsia="彩虹黑体"/>
          <w:snapToGrid w:val="0"/>
          <w:color w:val="000000"/>
          <w:kern w:val="0"/>
          <w:sz w:val="32"/>
          <w:szCs w:val="32"/>
        </w:rPr>
      </w:pPr>
      <w:r>
        <w:rPr>
          <w:rFonts w:hint="eastAsia" w:ascii="彩虹黑体" w:hAnsi="宋体" w:eastAsia="彩虹黑体"/>
          <w:snapToGrid w:val="0"/>
          <w:color w:val="000000"/>
          <w:kern w:val="0"/>
          <w:sz w:val="32"/>
          <w:szCs w:val="32"/>
        </w:rPr>
        <w:t>八、合同签署</w:t>
      </w:r>
    </w:p>
    <w:p>
      <w:pPr>
        <w:spacing w:line="560" w:lineRule="exact"/>
        <w:ind w:firstLine="640" w:firstLineChars="200"/>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拟与供应商签署一年期采购合同。</w:t>
      </w:r>
    </w:p>
    <w:p>
      <w:pPr>
        <w:spacing w:line="560" w:lineRule="exact"/>
        <w:ind w:firstLine="640" w:firstLineChars="200"/>
        <w:rPr>
          <w:rFonts w:ascii="彩虹黑体" w:hAnsi="宋体" w:eastAsia="彩虹黑体"/>
          <w:snapToGrid w:val="0"/>
          <w:color w:val="000000"/>
          <w:kern w:val="0"/>
          <w:sz w:val="32"/>
          <w:szCs w:val="32"/>
        </w:rPr>
      </w:pPr>
      <w:r>
        <w:rPr>
          <w:rFonts w:hint="eastAsia" w:ascii="彩虹黑体" w:hAnsi="宋体" w:eastAsia="彩虹黑体"/>
          <w:snapToGrid w:val="0"/>
          <w:color w:val="000000"/>
          <w:kern w:val="0"/>
          <w:sz w:val="32"/>
          <w:szCs w:val="32"/>
        </w:rPr>
        <w:t>九、其他</w:t>
      </w:r>
    </w:p>
    <w:p>
      <w:pPr>
        <w:spacing w:line="560" w:lineRule="exact"/>
        <w:ind w:firstLine="640" w:firstLineChars="200"/>
        <w:rPr>
          <w:rFonts w:ascii="彩虹粗仿宋" w:hAnsi="宋体" w:eastAsia="彩虹粗仿宋"/>
          <w:snapToGrid w:val="0"/>
          <w:color w:val="000000"/>
          <w:kern w:val="0"/>
          <w:sz w:val="32"/>
          <w:szCs w:val="32"/>
        </w:rPr>
      </w:pPr>
      <w:r>
        <w:rPr>
          <w:rFonts w:hint="eastAsia" w:ascii="彩虹粗仿宋" w:hAnsi="宋体" w:eastAsia="彩虹粗仿宋"/>
          <w:snapToGrid w:val="0"/>
          <w:color w:val="000000"/>
          <w:kern w:val="0"/>
          <w:sz w:val="32"/>
          <w:szCs w:val="32"/>
        </w:rPr>
        <w:t>提供公司所有从业人员资质证明材料及拟派本项目税务服务团队资质证明材料。</w:t>
      </w:r>
    </w:p>
    <w:p/>
    <w:p>
      <w:pPr>
        <w:adjustRightInd w:val="0"/>
        <w:snapToGrid w:val="0"/>
        <w:spacing w:line="560" w:lineRule="exact"/>
        <w:ind w:firstLine="420" w:firstLineChars="200"/>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彩虹小标宋">
    <w:panose1 w:val="03000509000000000000"/>
    <w:charset w:val="86"/>
    <w:family w:val="script"/>
    <w:pitch w:val="default"/>
    <w:sig w:usb0="00000001" w:usb1="080E0000" w:usb2="00000000" w:usb3="00000000" w:csb0="00040000" w:csb1="00000000"/>
  </w:font>
  <w:font w:name="彩虹黑体">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 w:name="CHCFS">
    <w:altName w:val="Arial"/>
    <w:panose1 w:val="00000000000000000000"/>
    <w:charset w:val="00"/>
    <w:family w:val="swiss"/>
    <w:pitch w:val="default"/>
    <w:sig w:usb0="00000000" w:usb1="00000000" w:usb2="00000000" w:usb3="00000000" w:csb0="00000001" w:csb1="00000000"/>
  </w:font>
  <w:font w:name="Arial">
    <w:panose1 w:val="020B0604020202020204"/>
    <w:charset w:val="00"/>
    <w:family w:val="swiss"/>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4A80"/>
    <w:rsid w:val="00006767"/>
    <w:rsid w:val="00253B43"/>
    <w:rsid w:val="004B025E"/>
    <w:rsid w:val="00560839"/>
    <w:rsid w:val="00641F5A"/>
    <w:rsid w:val="006A4062"/>
    <w:rsid w:val="006D51A5"/>
    <w:rsid w:val="00B536BF"/>
    <w:rsid w:val="00B76DAB"/>
    <w:rsid w:val="00C91C59"/>
    <w:rsid w:val="00D54A80"/>
    <w:rsid w:val="00DE19F1"/>
    <w:rsid w:val="00F01690"/>
    <w:rsid w:val="1EA40A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unhideWhenUsed/>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List Paragraph"/>
    <w:basedOn w:val="1"/>
    <w:qFormat/>
    <w:uiPriority w:val="34"/>
    <w:pPr>
      <w:ind w:firstLine="420" w:firstLineChars="200"/>
    </w:pPr>
  </w:style>
  <w:style w:type="character" w:customStyle="1" w:styleId="7">
    <w:name w:val="页眉 Char"/>
    <w:basedOn w:val="5"/>
    <w:link w:val="3"/>
    <w:uiPriority w:val="99"/>
    <w:rPr>
      <w:sz w:val="18"/>
      <w:szCs w:val="18"/>
    </w:rPr>
  </w:style>
  <w:style w:type="character" w:customStyle="1" w:styleId="8">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中国建设银行股份有限公司河南省分行</Company>
  <Pages>1</Pages>
  <Words>408</Words>
  <Characters>2327</Characters>
  <Lines>19</Lines>
  <Paragraphs>5</Paragraphs>
  <TotalTime>1</TotalTime>
  <ScaleCrop>false</ScaleCrop>
  <LinksUpToDate>false</LinksUpToDate>
  <CharactersWithSpaces>2730</CharactersWithSpaces>
  <Application>WPS Office_11.8.2.9086_F1E327BC-269C-435d-A152-05C5408002CA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2023-12-13T08:40:00Z</dcterms:created>
  <dc:creator>Apache POI</dc:creator>
  <cp:lastModifiedBy>haccb</cp:lastModifiedBy>
  <dcterms:modified xsi:type="dcterms:W3CDTF">2023-12-13T08:41:51Z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2052-11.8.2.9086</vt:lpwstr>
  </property>
</Properties>
</file>