
<file path=[Content_Types].xml><?xml version="1.0" encoding="utf-8"?>
<Types xmlns="http://schemas.openxmlformats.org/package/2006/content-types">
  <Default Extension="xlsx" ContentType="application/vnd.openxmlformats-officedocument.spreadsheetml.shee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b/>
          <w:kern w:val="0"/>
          <w:sz w:val="48"/>
          <w:szCs w:val="48"/>
        </w:rPr>
      </w:pPr>
      <w:r>
        <w:rPr>
          <w:rFonts w:hint="eastAsia" w:ascii="微软雅黑" w:hAnsi="微软雅黑" w:eastAsia="微软雅黑"/>
          <w:b/>
          <w:kern w:val="0"/>
          <w:sz w:val="48"/>
          <w:szCs w:val="48"/>
        </w:rPr>
        <w:t>中国建设银行股份有限公司运营数据中心</w:t>
      </w:r>
    </w:p>
    <w:p>
      <w:pPr>
        <w:widowControl/>
        <w:spacing w:line="360" w:lineRule="auto"/>
        <w:jc w:val="center"/>
        <w:rPr>
          <w:rFonts w:ascii="Arial" w:hAnsi="Arial"/>
          <w:snapToGrid w:val="0"/>
          <w:sz w:val="36"/>
          <w:szCs w:val="36"/>
        </w:rPr>
      </w:pPr>
      <w:r>
        <w:rPr>
          <w:rFonts w:hint="eastAsia" w:ascii="微软雅黑" w:hAnsi="微软雅黑" w:eastAsia="微软雅黑"/>
          <w:b/>
          <w:kern w:val="0"/>
          <w:sz w:val="48"/>
          <w:szCs w:val="48"/>
        </w:rPr>
        <w:t>腾讯云容器软件维护服务工作说明书</w:t>
      </w:r>
    </w:p>
    <w:p>
      <w:pPr>
        <w:pStyle w:val="3"/>
        <w:rPr>
          <w:sz w:val="30"/>
          <w:szCs w:val="30"/>
        </w:rPr>
      </w:pPr>
      <w:r>
        <w:rPr>
          <w:rFonts w:hint="eastAsia"/>
          <w:sz w:val="30"/>
          <w:szCs w:val="30"/>
        </w:rPr>
        <w:t>一、</w:t>
      </w:r>
      <w:bookmarkStart w:id="0" w:name="_Toc426660076"/>
      <w:bookmarkStart w:id="1" w:name="_Toc426991999"/>
      <w:bookmarkStart w:id="2" w:name="_Toc426986429"/>
      <w:bookmarkStart w:id="3" w:name="_Toc426986279"/>
      <w:bookmarkStart w:id="4" w:name="_Toc10375"/>
      <w:r>
        <w:rPr>
          <w:rFonts w:hint="eastAsia"/>
          <w:sz w:val="30"/>
          <w:szCs w:val="30"/>
        </w:rPr>
        <w:t>服务范围</w:t>
      </w:r>
      <w:bookmarkEnd w:id="0"/>
      <w:bookmarkEnd w:id="1"/>
      <w:bookmarkEnd w:id="2"/>
      <w:bookmarkEnd w:id="3"/>
      <w:bookmarkEnd w:id="4"/>
    </w:p>
    <w:p>
      <w:pPr>
        <w:ind w:firstLine="560"/>
        <w:rPr>
          <w:rFonts w:ascii="彩虹粗仿宋" w:eastAsia="彩虹粗仿宋"/>
          <w:sz w:val="28"/>
          <w:szCs w:val="28"/>
        </w:rPr>
      </w:pPr>
      <w:r>
        <w:rPr>
          <w:rFonts w:hint="eastAsia" w:ascii="彩虹粗仿宋" w:eastAsia="彩虹粗仿宋"/>
          <w:sz w:val="28"/>
          <w:szCs w:val="28"/>
        </w:rPr>
        <w:t>服务提供商（以下简称乙方或服务提供商）将依照本工作说明书为中国建设银行股份有限公司（以下简称甲方或中国建设银行）提供腾讯云容</w:t>
      </w:r>
      <w:r>
        <w:rPr>
          <w:rFonts w:hint="eastAsia" w:ascii="彩虹粗仿宋" w:eastAsia="彩虹粗仿宋"/>
          <w:sz w:val="28"/>
          <w:szCs w:val="28"/>
          <w:highlight w:val="none"/>
        </w:rPr>
        <w:t>器</w:t>
      </w:r>
      <w:r>
        <w:rPr>
          <w:rFonts w:hint="eastAsia" w:ascii="彩虹粗仿宋" w:eastAsia="彩虹粗仿宋"/>
          <w:sz w:val="28"/>
          <w:szCs w:val="28"/>
          <w:highlight w:val="none"/>
          <w:lang w:val="en-US" w:eastAsia="zh-CN"/>
        </w:rPr>
        <w:t>原厂维护服务</w:t>
      </w:r>
      <w:r>
        <w:rPr>
          <w:rFonts w:hint="eastAsia" w:ascii="彩虹粗仿宋" w:eastAsia="彩虹粗仿宋"/>
          <w:sz w:val="28"/>
          <w:szCs w:val="28"/>
          <w:highlight w:val="none"/>
        </w:rPr>
        <w:t>（含</w:t>
      </w:r>
      <w:r>
        <w:rPr>
          <w:rFonts w:hint="eastAsia" w:ascii="彩虹粗仿宋" w:eastAsia="彩虹粗仿宋"/>
          <w:sz w:val="28"/>
          <w:szCs w:val="28"/>
        </w:rPr>
        <w:t>配套的且可作为独立产</w:t>
      </w:r>
      <w:bookmarkStart w:id="85" w:name="_GoBack"/>
      <w:bookmarkEnd w:id="85"/>
      <w:r>
        <w:rPr>
          <w:rFonts w:hint="eastAsia" w:ascii="彩虹粗仿宋" w:eastAsia="彩虹粗仿宋"/>
          <w:sz w:val="28"/>
          <w:szCs w:val="28"/>
        </w:rPr>
        <w:t>品使用的腾讯云Redis和腾讯云MQ软件维护服务），紧急故障服务地点为甲方指定地点。</w:t>
      </w:r>
    </w:p>
    <w:p>
      <w:pPr>
        <w:ind w:firstLine="560"/>
        <w:rPr>
          <w:rFonts w:ascii="彩虹粗仿宋"/>
        </w:rPr>
      </w:pPr>
      <w:r>
        <w:rPr>
          <w:rFonts w:hint="eastAsia" w:ascii="彩虹粗仿宋" w:eastAsia="彩虹粗仿宋"/>
          <w:sz w:val="28"/>
          <w:szCs w:val="28"/>
        </w:rPr>
        <w:t>软件维护清单见合同正文</w:t>
      </w:r>
      <w:r>
        <w:rPr>
          <w:rFonts w:hint="eastAsia" w:ascii="彩虹粗仿宋"/>
        </w:rPr>
        <w:t>。</w:t>
      </w:r>
    </w:p>
    <w:p>
      <w:pPr>
        <w:pStyle w:val="3"/>
        <w:rPr>
          <w:sz w:val="30"/>
          <w:szCs w:val="30"/>
        </w:rPr>
      </w:pPr>
      <w:bookmarkStart w:id="5" w:name="_Toc426992000"/>
      <w:bookmarkStart w:id="6" w:name="_Toc426986280"/>
      <w:bookmarkStart w:id="7" w:name="_Toc3251"/>
      <w:bookmarkStart w:id="8" w:name="_Toc426660077"/>
      <w:bookmarkStart w:id="9" w:name="_Toc426986430"/>
      <w:r>
        <w:rPr>
          <w:rFonts w:hint="eastAsia"/>
          <w:sz w:val="30"/>
          <w:szCs w:val="30"/>
        </w:rPr>
        <w:t>二、服务期限</w:t>
      </w:r>
      <w:bookmarkEnd w:id="5"/>
      <w:bookmarkEnd w:id="6"/>
      <w:bookmarkEnd w:id="7"/>
      <w:bookmarkEnd w:id="8"/>
      <w:bookmarkEnd w:id="9"/>
    </w:p>
    <w:p>
      <w:pPr>
        <w:ind w:firstLine="560"/>
        <w:rPr>
          <w:rFonts w:ascii="彩虹粗仿宋" w:eastAsia="彩虹粗仿宋"/>
          <w:sz w:val="28"/>
          <w:szCs w:val="28"/>
        </w:rPr>
      </w:pPr>
      <w:r>
        <w:rPr>
          <w:rFonts w:hint="eastAsia" w:ascii="彩虹粗仿宋" w:eastAsia="彩虹粗仿宋"/>
          <w:sz w:val="28"/>
          <w:szCs w:val="28"/>
        </w:rPr>
        <w:t>维护服务的服务期限与本工作说明书对应的主合同或相关附件约定一致。</w:t>
      </w:r>
    </w:p>
    <w:p>
      <w:pPr>
        <w:pStyle w:val="3"/>
        <w:rPr>
          <w:sz w:val="30"/>
          <w:szCs w:val="30"/>
        </w:rPr>
      </w:pPr>
      <w:bookmarkStart w:id="10" w:name="_Toc426986281"/>
      <w:bookmarkStart w:id="11" w:name="_Toc426660078"/>
      <w:bookmarkStart w:id="12" w:name="_Toc426986431"/>
      <w:bookmarkStart w:id="13" w:name="_Toc22883"/>
      <w:bookmarkStart w:id="14" w:name="_Toc426992001"/>
      <w:r>
        <w:rPr>
          <w:rFonts w:hint="eastAsia"/>
          <w:sz w:val="30"/>
          <w:szCs w:val="30"/>
        </w:rPr>
        <w:t>三、服务等级</w:t>
      </w:r>
      <w:bookmarkEnd w:id="10"/>
      <w:bookmarkEnd w:id="11"/>
      <w:bookmarkEnd w:id="12"/>
      <w:bookmarkEnd w:id="13"/>
      <w:bookmarkEnd w:id="14"/>
    </w:p>
    <w:p>
      <w:pPr>
        <w:ind w:firstLine="560" w:firstLineChars="200"/>
        <w:rPr>
          <w:rFonts w:ascii="彩虹粗仿宋" w:eastAsia="彩虹粗仿宋"/>
          <w:sz w:val="28"/>
          <w:szCs w:val="28"/>
        </w:rPr>
      </w:pPr>
      <w:r>
        <w:rPr>
          <w:rFonts w:hint="eastAsia" w:ascii="彩虹粗仿宋" w:eastAsia="彩虹粗仿宋"/>
          <w:sz w:val="28"/>
          <w:szCs w:val="28"/>
        </w:rPr>
        <w:t>服务提供商为甲方提供全年7x24的软件维护支持服务，主要涵盖产品实施、运行等过程所需相关技术支持服务。</w:t>
      </w:r>
    </w:p>
    <w:p>
      <w:pPr>
        <w:pStyle w:val="3"/>
        <w:rPr>
          <w:sz w:val="30"/>
          <w:szCs w:val="30"/>
        </w:rPr>
      </w:pPr>
      <w:bookmarkStart w:id="15" w:name="_Toc426986282"/>
      <w:bookmarkStart w:id="16" w:name="_Toc426986432"/>
      <w:bookmarkStart w:id="17" w:name="_Toc25770"/>
      <w:bookmarkStart w:id="18" w:name="_Toc426992002"/>
      <w:bookmarkStart w:id="19" w:name="_Toc426660079"/>
      <w:r>
        <w:rPr>
          <w:rFonts w:hint="eastAsia"/>
          <w:sz w:val="30"/>
          <w:szCs w:val="30"/>
        </w:rPr>
        <w:t>四、服务方式</w:t>
      </w:r>
      <w:bookmarkEnd w:id="15"/>
      <w:bookmarkEnd w:id="16"/>
      <w:bookmarkEnd w:id="17"/>
      <w:bookmarkEnd w:id="18"/>
      <w:bookmarkEnd w:id="19"/>
      <w:r>
        <w:rPr>
          <w:rFonts w:hint="eastAsia"/>
          <w:sz w:val="30"/>
          <w:szCs w:val="30"/>
        </w:rPr>
        <w:t xml:space="preserve"> </w:t>
      </w:r>
    </w:p>
    <w:p>
      <w:pPr>
        <w:pStyle w:val="5"/>
        <w:numPr>
          <w:ilvl w:val="0"/>
          <w:numId w:val="1"/>
        </w:numPr>
        <w:spacing w:before="260" w:line="360" w:lineRule="auto"/>
        <w:ind w:left="368" w:hanging="368" w:hangingChars="131"/>
        <w:jc w:val="left"/>
        <w:rPr>
          <w:rFonts w:ascii="彩虹粗仿宋" w:hAnsi="宋体" w:eastAsia="彩虹粗仿宋"/>
          <w:sz w:val="28"/>
          <w:szCs w:val="28"/>
          <w:lang w:val="zh-CN"/>
        </w:rPr>
      </w:pPr>
      <w:bookmarkStart w:id="20" w:name="_Toc211346756"/>
      <w:r>
        <w:rPr>
          <w:rFonts w:hint="eastAsia" w:ascii="彩虹粗仿宋" w:hAnsi="宋体" w:eastAsia="彩虹粗仿宋"/>
          <w:sz w:val="28"/>
          <w:szCs w:val="28"/>
          <w:lang w:val="zh-CN"/>
        </w:rPr>
        <w:t>远程技术支持</w:t>
      </w:r>
      <w:bookmarkEnd w:id="20"/>
    </w:p>
    <w:p>
      <w:pPr>
        <w:ind w:firstLine="560" w:firstLineChars="200"/>
        <w:rPr>
          <w:rFonts w:ascii="彩虹粗仿宋" w:eastAsia="彩虹粗仿宋"/>
          <w:sz w:val="28"/>
          <w:szCs w:val="28"/>
        </w:rPr>
      </w:pPr>
      <w:r>
        <w:rPr>
          <w:rFonts w:hint="eastAsia" w:ascii="彩虹粗仿宋" w:eastAsia="彩虹粗仿宋"/>
          <w:sz w:val="28"/>
          <w:szCs w:val="28"/>
        </w:rPr>
        <w:t>服务提供商为甲方指派固定的技术支持团队，提供</w:t>
      </w:r>
      <w:r>
        <w:rPr>
          <w:rFonts w:ascii="彩虹粗仿宋" w:eastAsia="彩虹粗仿宋"/>
          <w:sz w:val="28"/>
          <w:szCs w:val="28"/>
        </w:rPr>
        <w:t>7*24</w:t>
      </w:r>
      <w:r>
        <w:rPr>
          <w:rFonts w:hint="eastAsia" w:ascii="彩虹粗仿宋" w:eastAsia="彩虹粗仿宋"/>
          <w:sz w:val="28"/>
          <w:szCs w:val="28"/>
        </w:rPr>
        <w:t>小时的远程技术支持服务。支持范围包括产品的功能、配置、安装、调优、升级、迁移、产品缺陷修复及补丁、问题分析诊断、故障排查等技术支持。</w:t>
      </w:r>
    </w:p>
    <w:p>
      <w:pPr>
        <w:pStyle w:val="5"/>
        <w:numPr>
          <w:ilvl w:val="0"/>
          <w:numId w:val="1"/>
        </w:numPr>
        <w:spacing w:before="260" w:line="360" w:lineRule="auto"/>
        <w:ind w:left="368" w:hanging="368" w:hangingChars="131"/>
        <w:jc w:val="left"/>
        <w:rPr>
          <w:rFonts w:ascii="彩虹粗仿宋" w:hAnsi="宋体" w:eastAsia="彩虹粗仿宋"/>
          <w:sz w:val="28"/>
          <w:szCs w:val="28"/>
          <w:lang w:val="zh-CN"/>
        </w:rPr>
      </w:pPr>
      <w:bookmarkStart w:id="21" w:name="_Toc211346757"/>
      <w:r>
        <w:rPr>
          <w:rFonts w:hint="eastAsia" w:ascii="彩虹粗仿宋" w:hAnsi="宋体" w:eastAsia="彩虹粗仿宋"/>
          <w:sz w:val="28"/>
          <w:szCs w:val="28"/>
          <w:lang w:val="zh-CN"/>
        </w:rPr>
        <w:t>系统紧急故障和应急处理服务支持</w:t>
      </w:r>
      <w:bookmarkEnd w:id="21"/>
    </w:p>
    <w:p>
      <w:pPr>
        <w:ind w:firstLine="560" w:firstLineChars="200"/>
        <w:rPr>
          <w:rFonts w:ascii="彩虹粗仿宋" w:eastAsia="彩虹粗仿宋"/>
          <w:sz w:val="28"/>
          <w:szCs w:val="28"/>
        </w:rPr>
      </w:pPr>
      <w:r>
        <w:rPr>
          <w:rFonts w:hint="eastAsia" w:ascii="彩虹粗仿宋" w:eastAsia="彩虹粗仿宋"/>
          <w:sz w:val="28"/>
          <w:szCs w:val="28"/>
        </w:rPr>
        <w:t>合同签订后</w:t>
      </w:r>
      <w:r>
        <w:rPr>
          <w:rFonts w:ascii="彩虹粗仿宋" w:eastAsia="彩虹粗仿宋"/>
          <w:sz w:val="28"/>
          <w:szCs w:val="28"/>
        </w:rPr>
        <w:t xml:space="preserve">, </w:t>
      </w:r>
      <w:r>
        <w:rPr>
          <w:rFonts w:hint="eastAsia" w:ascii="彩虹粗仿宋" w:eastAsia="彩虹粗仿宋"/>
          <w:sz w:val="28"/>
          <w:szCs w:val="28"/>
        </w:rPr>
        <w:t>服务提供商与甲方一起制定一套紧急情况管理流程并相应为甲方提供紧急情况处理服务，提供紧急问题的快速升级和响应，及时引入后台研发资源，请求更高级的专家支持，加快问题的处理和解决。紧急处理流程包括：应急响应机制，应急处理机制，紧急事件汇报沟通机制，恢复后的问题跟踪处理。并在可能的情况下进行实际演练，以保障突发故障状态下的应对方案和取得故障原因分析所需的数据。如遇紧急情况，远程支持无法解决，乙方应委派专家直接到甲方现场进行服务支持，以协助甲方尽快解决。</w:t>
      </w:r>
    </w:p>
    <w:p>
      <w:pPr>
        <w:pStyle w:val="3"/>
        <w:rPr>
          <w:sz w:val="30"/>
          <w:szCs w:val="30"/>
        </w:rPr>
      </w:pPr>
      <w:bookmarkStart w:id="22" w:name="_Toc426986286"/>
      <w:bookmarkStart w:id="23" w:name="_Toc426986436"/>
      <w:bookmarkStart w:id="24" w:name="_Toc426992006"/>
      <w:bookmarkStart w:id="25" w:name="_Toc31371"/>
      <w:bookmarkStart w:id="26" w:name="_Toc426660083"/>
      <w:r>
        <w:rPr>
          <w:rFonts w:hint="eastAsia"/>
          <w:sz w:val="30"/>
          <w:szCs w:val="30"/>
        </w:rPr>
        <w:t>五、服务内容</w:t>
      </w:r>
      <w:bookmarkEnd w:id="22"/>
      <w:bookmarkEnd w:id="23"/>
      <w:bookmarkEnd w:id="24"/>
      <w:bookmarkEnd w:id="25"/>
      <w:bookmarkEnd w:id="26"/>
    </w:p>
    <w:p>
      <w:pPr>
        <w:ind w:firstLine="560" w:firstLineChars="200"/>
        <w:rPr>
          <w:rFonts w:ascii="彩虹粗仿宋" w:eastAsia="彩虹粗仿宋"/>
          <w:sz w:val="28"/>
          <w:szCs w:val="28"/>
        </w:rPr>
      </w:pPr>
      <w:r>
        <w:rPr>
          <w:rFonts w:hint="eastAsia" w:ascii="彩虹粗仿宋" w:eastAsia="彩虹粗仿宋"/>
          <w:sz w:val="28"/>
          <w:szCs w:val="28"/>
        </w:rPr>
        <w:t>服务提供商提供产品运行过程中标准产品支持维护服务、问题根因分析解决、事件管理、技术转移服务等支持服务。</w:t>
      </w:r>
    </w:p>
    <w:p>
      <w:pPr>
        <w:pStyle w:val="5"/>
        <w:numPr>
          <w:ilvl w:val="0"/>
          <w:numId w:val="2"/>
        </w:numPr>
        <w:spacing w:before="260" w:line="360" w:lineRule="auto"/>
        <w:ind w:left="368" w:hanging="368" w:hangingChars="131"/>
        <w:jc w:val="left"/>
        <w:rPr>
          <w:rFonts w:ascii="彩虹粗仿宋" w:eastAsia="彩虹粗仿宋" w:cs="CHCFS"/>
          <w:sz w:val="28"/>
          <w:szCs w:val="28"/>
          <w:shd w:val="clear" w:color="auto" w:fill="FFFFFF"/>
        </w:rPr>
      </w:pPr>
      <w:bookmarkStart w:id="27" w:name="_Toc211346760"/>
      <w:r>
        <w:rPr>
          <w:rFonts w:hint="eastAsia" w:ascii="彩虹粗仿宋" w:eastAsia="彩虹粗仿宋" w:cs="CHCFS"/>
          <w:sz w:val="28"/>
          <w:szCs w:val="28"/>
          <w:shd w:val="clear" w:color="auto" w:fill="FFFFFF"/>
        </w:rPr>
        <w:t>产品维护服务</w:t>
      </w:r>
      <w:bookmarkEnd w:id="27"/>
    </w:p>
    <w:p>
      <w:pPr>
        <w:ind w:firstLine="560" w:firstLineChars="200"/>
        <w:rPr>
          <w:rFonts w:ascii="彩虹粗仿宋" w:eastAsia="彩虹粗仿宋"/>
          <w:sz w:val="28"/>
          <w:szCs w:val="28"/>
        </w:rPr>
      </w:pPr>
      <w:r>
        <w:rPr>
          <w:rFonts w:hint="eastAsia" w:ascii="彩虹粗仿宋" w:eastAsia="彩虹粗仿宋"/>
          <w:sz w:val="28"/>
          <w:szCs w:val="28"/>
        </w:rPr>
        <w:t>产品维护服务是服务提供商将为甲方产品提供全面服务的一个重要组成部分，服务内容如下：</w:t>
      </w:r>
    </w:p>
    <w:p>
      <w:pPr>
        <w:ind w:firstLine="560" w:firstLineChars="200"/>
        <w:rPr>
          <w:rFonts w:ascii="彩虹粗仿宋" w:eastAsia="彩虹粗仿宋"/>
          <w:sz w:val="28"/>
          <w:szCs w:val="28"/>
        </w:rPr>
      </w:pPr>
      <w:r>
        <w:rPr>
          <w:rFonts w:hint="eastAsia" w:ascii="彩虹粗仿宋" w:eastAsia="彩虹粗仿宋"/>
          <w:sz w:val="28"/>
          <w:szCs w:val="28"/>
        </w:rPr>
        <w:t>1、远程技术支持服务：解决或解答产品故障问题、解决或解答与产品相关的日常运作和安装、产品问题咨询等。</w:t>
      </w:r>
    </w:p>
    <w:p>
      <w:pPr>
        <w:ind w:firstLine="560" w:firstLineChars="200"/>
        <w:rPr>
          <w:rFonts w:ascii="彩虹粗仿宋" w:eastAsia="彩虹粗仿宋"/>
          <w:sz w:val="28"/>
          <w:szCs w:val="28"/>
        </w:rPr>
      </w:pPr>
      <w:r>
        <w:rPr>
          <w:rFonts w:hint="eastAsia" w:ascii="彩虹粗仿宋" w:eastAsia="彩虹粗仿宋"/>
          <w:sz w:val="28"/>
          <w:szCs w:val="28"/>
        </w:rPr>
        <w:t>2、产品补丁及安装服务：乙方为甲方提供产品（含补丁）软件安装包及对应配置包，并为甲方提供安装支持服务。</w:t>
      </w:r>
    </w:p>
    <w:p>
      <w:pPr>
        <w:ind w:firstLine="560" w:firstLineChars="200"/>
        <w:rPr>
          <w:rFonts w:ascii="彩虹粗仿宋" w:eastAsia="彩虹粗仿宋"/>
          <w:sz w:val="28"/>
          <w:szCs w:val="28"/>
        </w:rPr>
      </w:pPr>
      <w:r>
        <w:rPr>
          <w:rFonts w:hint="eastAsia" w:ascii="彩虹粗仿宋" w:eastAsia="彩虹粗仿宋"/>
          <w:sz w:val="28"/>
          <w:szCs w:val="28"/>
        </w:rPr>
        <w:t>3、提供产品标准支持服务，包括产品功能升级支持服务等。</w:t>
      </w:r>
    </w:p>
    <w:p>
      <w:pPr>
        <w:pStyle w:val="5"/>
        <w:numPr>
          <w:ilvl w:val="0"/>
          <w:numId w:val="2"/>
        </w:numPr>
        <w:spacing w:before="260" w:line="360" w:lineRule="auto"/>
        <w:ind w:left="368" w:hanging="368" w:hangingChars="131"/>
        <w:jc w:val="left"/>
        <w:rPr>
          <w:rFonts w:ascii="彩虹粗仿宋" w:eastAsia="彩虹粗仿宋" w:cs="CHCFS"/>
          <w:sz w:val="28"/>
          <w:szCs w:val="28"/>
          <w:shd w:val="clear" w:color="auto" w:fill="FFFFFF"/>
        </w:rPr>
      </w:pPr>
      <w:bookmarkStart w:id="28" w:name="_Toc211346765"/>
      <w:r>
        <w:rPr>
          <w:rFonts w:hint="eastAsia" w:ascii="彩虹粗仿宋" w:eastAsia="彩虹粗仿宋" w:cs="CHCFS"/>
          <w:sz w:val="28"/>
          <w:szCs w:val="28"/>
          <w:shd w:val="clear" w:color="auto" w:fill="FFFFFF"/>
        </w:rPr>
        <w:t>根源分析和事件管理服务</w:t>
      </w:r>
      <w:bookmarkEnd w:id="28"/>
    </w:p>
    <w:p>
      <w:pPr>
        <w:ind w:firstLine="560" w:firstLineChars="200"/>
        <w:rPr>
          <w:rFonts w:ascii="彩虹粗仿宋" w:eastAsia="彩虹粗仿宋"/>
          <w:sz w:val="28"/>
          <w:szCs w:val="28"/>
        </w:rPr>
      </w:pPr>
      <w:r>
        <w:rPr>
          <w:rFonts w:hint="eastAsia" w:ascii="彩虹粗仿宋" w:eastAsia="彩虹粗仿宋"/>
          <w:sz w:val="28"/>
          <w:szCs w:val="28"/>
        </w:rPr>
        <w:t>服务提供商负责对产品故障进行问题根源详细分析，为参与的重要事件建立档案。对事件根源进行分类，主要包括：技术</w:t>
      </w:r>
      <w:r>
        <w:rPr>
          <w:rFonts w:ascii="彩虹粗仿宋" w:eastAsia="彩虹粗仿宋"/>
          <w:sz w:val="28"/>
          <w:szCs w:val="28"/>
        </w:rPr>
        <w:t>/</w:t>
      </w:r>
      <w:r>
        <w:rPr>
          <w:rFonts w:hint="eastAsia" w:ascii="彩虹粗仿宋" w:eastAsia="彩虹粗仿宋"/>
          <w:sz w:val="28"/>
          <w:szCs w:val="28"/>
        </w:rPr>
        <w:t>产品方面问题、操作方面问题、应用方面问题、未知问题。并将历史事件根据分类进行分析和追踪。定期回顾事件进展情况和历史事件的根源趋势分析。通过分析建立事件的关联性，为下一步采取的行动计划提供数据支持。</w:t>
      </w:r>
    </w:p>
    <w:p>
      <w:pPr>
        <w:pStyle w:val="5"/>
        <w:numPr>
          <w:ilvl w:val="0"/>
          <w:numId w:val="2"/>
        </w:numPr>
        <w:spacing w:before="260" w:line="360" w:lineRule="auto"/>
        <w:ind w:left="368" w:hanging="368" w:hangingChars="131"/>
        <w:jc w:val="left"/>
        <w:rPr>
          <w:rFonts w:ascii="彩虹粗仿宋" w:eastAsia="彩虹粗仿宋" w:cs="CHCFS"/>
          <w:sz w:val="28"/>
          <w:szCs w:val="28"/>
          <w:shd w:val="clear" w:color="auto" w:fill="FFFFFF"/>
        </w:rPr>
      </w:pPr>
      <w:bookmarkStart w:id="29" w:name="_Toc211346766"/>
      <w:r>
        <w:rPr>
          <w:rFonts w:hint="eastAsia" w:ascii="彩虹粗仿宋" w:eastAsia="彩虹粗仿宋" w:cs="CHCFS"/>
          <w:sz w:val="28"/>
          <w:szCs w:val="28"/>
          <w:shd w:val="clear" w:color="auto" w:fill="FFFFFF"/>
        </w:rPr>
        <w:t>技术转移服务</w:t>
      </w:r>
      <w:bookmarkEnd w:id="29"/>
    </w:p>
    <w:p>
      <w:pPr>
        <w:ind w:firstLine="560" w:firstLineChars="200"/>
        <w:rPr>
          <w:rFonts w:ascii="彩虹粗仿宋" w:eastAsia="彩虹粗仿宋"/>
          <w:sz w:val="28"/>
          <w:szCs w:val="28"/>
        </w:rPr>
      </w:pPr>
      <w:r>
        <w:rPr>
          <w:rFonts w:hint="eastAsia" w:ascii="彩虹粗仿宋" w:eastAsia="彩虹粗仿宋"/>
          <w:sz w:val="28"/>
          <w:szCs w:val="28"/>
        </w:rPr>
        <w:t>根据甲方要求，服务提供商为甲方提供技术传授和培训，并应向甲方提供必要的技术文档。</w:t>
      </w:r>
    </w:p>
    <w:p>
      <w:pPr>
        <w:pStyle w:val="3"/>
        <w:rPr>
          <w:sz w:val="30"/>
          <w:szCs w:val="30"/>
        </w:rPr>
      </w:pPr>
      <w:bookmarkStart w:id="30" w:name="_Toc426986448"/>
      <w:bookmarkStart w:id="31" w:name="_Toc426660095"/>
      <w:bookmarkStart w:id="32" w:name="_Toc1993"/>
      <w:bookmarkStart w:id="33" w:name="_Toc426992018"/>
      <w:bookmarkStart w:id="34" w:name="_Toc426986298"/>
      <w:r>
        <w:rPr>
          <w:rFonts w:hint="eastAsia"/>
          <w:sz w:val="30"/>
          <w:szCs w:val="30"/>
        </w:rPr>
        <w:t>六、服务水平</w:t>
      </w:r>
      <w:bookmarkEnd w:id="30"/>
      <w:bookmarkEnd w:id="31"/>
      <w:bookmarkEnd w:id="32"/>
      <w:bookmarkEnd w:id="33"/>
      <w:bookmarkEnd w:id="34"/>
      <w:r>
        <w:rPr>
          <w:rFonts w:hint="eastAsia"/>
          <w:sz w:val="30"/>
          <w:szCs w:val="30"/>
        </w:rPr>
        <w:t>要求</w:t>
      </w:r>
    </w:p>
    <w:p>
      <w:pPr>
        <w:pStyle w:val="10"/>
        <w:rPr>
          <w:rFonts w:ascii="彩虹粗仿宋" w:hAnsi="Times New Roman"/>
          <w:sz w:val="28"/>
        </w:rPr>
      </w:pPr>
      <w:r>
        <w:rPr>
          <w:rFonts w:hint="eastAsia" w:ascii="彩虹粗仿宋" w:hAnsi="Times New Roman"/>
          <w:sz w:val="28"/>
        </w:rPr>
        <w:t>乙方承诺提供积极主动的服务，在服务合同执行期间，保证产品所设计的服务水平要求。</w:t>
      </w:r>
    </w:p>
    <w:p>
      <w:pPr>
        <w:pStyle w:val="5"/>
        <w:numPr>
          <w:ilvl w:val="0"/>
          <w:numId w:val="3"/>
        </w:numPr>
        <w:spacing w:before="260" w:line="360" w:lineRule="auto"/>
        <w:jc w:val="left"/>
        <w:rPr>
          <w:rFonts w:ascii="彩虹粗仿宋" w:eastAsia="彩虹粗仿宋" w:cs="CHCFS"/>
          <w:sz w:val="28"/>
          <w:szCs w:val="28"/>
          <w:shd w:val="clear" w:color="auto" w:fill="FFFFFF"/>
        </w:rPr>
      </w:pPr>
      <w:r>
        <w:rPr>
          <w:rFonts w:hint="eastAsia" w:ascii="彩虹粗仿宋" w:eastAsia="彩虹粗仿宋" w:cs="CHCFS"/>
          <w:sz w:val="28"/>
          <w:szCs w:val="28"/>
          <w:shd w:val="clear" w:color="auto" w:fill="FFFFFF"/>
        </w:rPr>
        <w:t xml:space="preserve"> </w:t>
      </w:r>
      <w:bookmarkStart w:id="35" w:name="_Toc211346768"/>
      <w:r>
        <w:rPr>
          <w:rFonts w:hint="eastAsia" w:ascii="彩虹粗仿宋" w:eastAsia="彩虹粗仿宋" w:cs="CHCFS"/>
          <w:sz w:val="28"/>
          <w:szCs w:val="28"/>
          <w:shd w:val="clear" w:color="auto" w:fill="FFFFFF"/>
        </w:rPr>
        <w:t>服务响应时间要求</w:t>
      </w:r>
      <w:bookmarkEnd w:id="35"/>
    </w:p>
    <w:p>
      <w:pPr>
        <w:pStyle w:val="10"/>
        <w:rPr>
          <w:rFonts w:ascii="彩虹粗仿宋" w:hAnsi="Times New Roman"/>
          <w:sz w:val="28"/>
        </w:rPr>
      </w:pPr>
      <w:r>
        <w:rPr>
          <w:rFonts w:hint="eastAsia" w:ascii="彩虹粗仿宋" w:hAnsi="Times New Roman"/>
          <w:sz w:val="28"/>
        </w:rPr>
        <w:t>乙方在接到支持请求</w:t>
      </w:r>
      <w:r>
        <w:rPr>
          <w:rFonts w:ascii="彩虹粗仿宋" w:hAnsi="Times New Roman"/>
          <w:sz w:val="28"/>
        </w:rPr>
        <w:t>15</w:t>
      </w:r>
      <w:r>
        <w:rPr>
          <w:rFonts w:hint="eastAsia" w:ascii="彩虹粗仿宋" w:hAnsi="Times New Roman"/>
          <w:sz w:val="28"/>
        </w:rPr>
        <w:t>分钟内提供远程技术支持服务。</w:t>
      </w:r>
    </w:p>
    <w:p>
      <w:pPr>
        <w:pStyle w:val="10"/>
        <w:rPr>
          <w:rFonts w:ascii="彩虹粗仿宋" w:hAnsi="Times New Roman"/>
          <w:sz w:val="28"/>
        </w:rPr>
      </w:pPr>
      <w:r>
        <w:rPr>
          <w:rFonts w:hint="eastAsia" w:ascii="彩虹粗仿宋" w:hAnsi="Times New Roman"/>
          <w:sz w:val="28"/>
        </w:rPr>
        <w:t>问题升级流程及响应时间：</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4"/>
        <w:gridCol w:w="2265"/>
        <w:gridCol w:w="2265"/>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tcPr>
          <w:p>
            <w:pPr>
              <w:spacing w:line="360" w:lineRule="auto"/>
              <w:jc w:val="center"/>
              <w:rPr>
                <w:rFonts w:ascii="彩虹粗仿宋" w:hAnsi="宋体" w:eastAsia="彩虹粗仿宋"/>
                <w:b/>
                <w:sz w:val="24"/>
              </w:rPr>
            </w:pPr>
            <w:r>
              <w:rPr>
                <w:rFonts w:hint="eastAsia" w:ascii="彩虹粗仿宋" w:hAnsi="宋体" w:eastAsia="彩虹粗仿宋" w:cs="CHCFS"/>
                <w:b/>
                <w:sz w:val="24"/>
                <w:shd w:val="clear" w:color="auto" w:fill="FFFFFF"/>
              </w:rPr>
              <w:t>故障影响程度</w:t>
            </w:r>
          </w:p>
        </w:tc>
        <w:tc>
          <w:tcPr>
            <w:tcW w:w="2265" w:type="dxa"/>
          </w:tcPr>
          <w:p>
            <w:pPr>
              <w:pStyle w:val="11"/>
              <w:spacing w:line="360" w:lineRule="auto"/>
              <w:jc w:val="center"/>
              <w:rPr>
                <w:rFonts w:ascii="彩虹粗仿宋" w:hAnsi="宋体" w:eastAsia="彩虹粗仿宋" w:cs="CHCFS"/>
                <w:b/>
                <w:shd w:val="clear" w:color="auto" w:fill="FFFFFF"/>
              </w:rPr>
            </w:pPr>
            <w:r>
              <w:rPr>
                <w:rFonts w:hint="eastAsia" w:ascii="彩虹粗仿宋" w:hAnsi="宋体" w:eastAsia="彩虹粗仿宋" w:cs="CHCFS"/>
                <w:b/>
                <w:shd w:val="clear" w:color="auto" w:fill="FFFFFF"/>
              </w:rPr>
              <w:t>故障级别</w:t>
            </w:r>
          </w:p>
          <w:p>
            <w:pPr>
              <w:pStyle w:val="11"/>
              <w:spacing w:line="360" w:lineRule="auto"/>
              <w:jc w:val="center"/>
              <w:rPr>
                <w:rFonts w:ascii="彩虹粗仿宋" w:hAnsi="宋体" w:eastAsia="彩虹粗仿宋" w:cs="CHCFS"/>
                <w:b/>
                <w:shd w:val="clear" w:color="auto" w:fill="FFFFFF"/>
              </w:rPr>
            </w:pPr>
            <w:r>
              <w:rPr>
                <w:rFonts w:hint="eastAsia" w:ascii="彩虹粗仿宋" w:hAnsi="宋体" w:eastAsia="彩虹粗仿宋" w:cs="CHCFS"/>
                <w:b/>
                <w:shd w:val="clear" w:color="auto" w:fill="FFFFFF"/>
              </w:rPr>
              <w:t>定义</w:t>
            </w:r>
          </w:p>
        </w:tc>
        <w:tc>
          <w:tcPr>
            <w:tcW w:w="2265" w:type="dxa"/>
          </w:tcPr>
          <w:p>
            <w:pPr>
              <w:pStyle w:val="11"/>
              <w:spacing w:line="360" w:lineRule="auto"/>
              <w:jc w:val="center"/>
              <w:rPr>
                <w:rFonts w:ascii="彩虹粗仿宋" w:hAnsi="宋体" w:eastAsia="彩虹粗仿宋" w:cs="CHCFS"/>
                <w:b/>
                <w:shd w:val="clear" w:color="auto" w:fill="FFFFFF"/>
              </w:rPr>
            </w:pPr>
            <w:r>
              <w:rPr>
                <w:rFonts w:hint="eastAsia" w:ascii="彩虹粗仿宋" w:hAnsi="宋体" w:eastAsia="彩虹粗仿宋" w:cs="CHCFS"/>
                <w:b/>
                <w:shd w:val="clear" w:color="auto" w:fill="FFFFFF"/>
              </w:rPr>
              <w:t>一线响应</w:t>
            </w:r>
          </w:p>
        </w:tc>
        <w:tc>
          <w:tcPr>
            <w:tcW w:w="2256" w:type="dxa"/>
          </w:tcPr>
          <w:p>
            <w:pPr>
              <w:pStyle w:val="11"/>
              <w:spacing w:line="360" w:lineRule="auto"/>
              <w:jc w:val="center"/>
              <w:rPr>
                <w:rFonts w:ascii="彩虹粗仿宋" w:hAnsi="宋体" w:eastAsia="彩虹粗仿宋" w:cs="CHCFS"/>
                <w:b/>
                <w:shd w:val="clear" w:color="auto" w:fill="FFFFFF"/>
              </w:rPr>
            </w:pPr>
            <w:r>
              <w:rPr>
                <w:rFonts w:hint="eastAsia" w:ascii="彩虹粗仿宋" w:hAnsi="宋体" w:eastAsia="彩虹粗仿宋" w:cs="CHCFS"/>
                <w:b/>
                <w:shd w:val="clear" w:color="auto" w:fill="FFFFFF"/>
              </w:rPr>
              <w:t>二线及后台研发回复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tcPr>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至少一个应用系统的全部业务都不可用； </w:t>
            </w:r>
          </w:p>
          <w:p>
            <w:pPr>
              <w:spacing w:line="360" w:lineRule="auto"/>
              <w:rPr>
                <w:rFonts w:ascii="彩虹粗仿宋" w:hAnsi="宋体" w:eastAsia="彩虹粗仿宋"/>
                <w:sz w:val="24"/>
              </w:rPr>
            </w:pPr>
            <w:r>
              <w:rPr>
                <w:rFonts w:hint="eastAsia" w:ascii="彩虹粗仿宋" w:hAnsi="宋体" w:eastAsia="彩虹粗仿宋" w:cs="CHCFS"/>
                <w:sz w:val="24"/>
                <w:shd w:val="clear" w:color="auto" w:fill="FFFFFF"/>
              </w:rPr>
              <w:t>或超过3个应用系统的部分业务不可用</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一级故障（红色）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立即响应、5分钟内提供支持 </w:t>
            </w:r>
          </w:p>
        </w:tc>
        <w:tc>
          <w:tcPr>
            <w:tcW w:w="2256"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每4h更新一遍状态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tcPr>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一个应用系统的部分业务都不可用； </w:t>
            </w:r>
          </w:p>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或至少一个系统应用业务部分不可用（比如管控接口不可用等）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二级故障（橙色）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立即响应、15分钟内提供支持 </w:t>
            </w:r>
          </w:p>
        </w:tc>
        <w:tc>
          <w:tcPr>
            <w:tcW w:w="2256"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每24h更新一遍状态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tcPr>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影响租户端管控功能使用但无应用业务影响 ； </w:t>
            </w:r>
          </w:p>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或无应用业务影响，技术咨询、操作系统等问题； </w:t>
            </w:r>
          </w:p>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或影响建设实施进度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三级故障（黄色）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立即响应、15分钟内提供支持 </w:t>
            </w:r>
          </w:p>
        </w:tc>
        <w:tc>
          <w:tcPr>
            <w:tcW w:w="2256"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3d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tcPr>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影响内部管控功能使用； </w:t>
            </w:r>
          </w:p>
          <w:p>
            <w:pPr>
              <w:spacing w:line="360" w:lineRule="auto"/>
              <w:rPr>
                <w:rFonts w:ascii="彩虹粗仿宋" w:hAnsi="宋体" w:eastAsia="彩虹粗仿宋" w:cs="CHCFS"/>
                <w:sz w:val="24"/>
                <w:shd w:val="clear" w:color="auto" w:fill="FFFFFF"/>
              </w:rPr>
            </w:pPr>
            <w:r>
              <w:rPr>
                <w:rFonts w:hint="eastAsia" w:ascii="彩虹粗仿宋" w:hAnsi="宋体" w:eastAsia="彩虹粗仿宋" w:cs="CHCFS"/>
                <w:sz w:val="24"/>
                <w:shd w:val="clear" w:color="auto" w:fill="FFFFFF"/>
              </w:rPr>
              <w:t xml:space="preserve">或无租户端管控功能影响，技术咨询、操作系统等问题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四级故障（蓝色） </w:t>
            </w:r>
          </w:p>
        </w:tc>
        <w:tc>
          <w:tcPr>
            <w:tcW w:w="2265"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立即响应、30分钟内提供支持 </w:t>
            </w:r>
          </w:p>
        </w:tc>
        <w:tc>
          <w:tcPr>
            <w:tcW w:w="2256" w:type="dxa"/>
          </w:tcPr>
          <w:p>
            <w:pPr>
              <w:pStyle w:val="11"/>
              <w:spacing w:line="360" w:lineRule="auto"/>
              <w:jc w:val="both"/>
              <w:rPr>
                <w:rFonts w:ascii="彩虹粗仿宋" w:hAnsi="宋体" w:eastAsia="彩虹粗仿宋" w:cs="CHCFS"/>
                <w:shd w:val="clear" w:color="auto" w:fill="FFFFFF"/>
              </w:rPr>
            </w:pPr>
            <w:r>
              <w:rPr>
                <w:rFonts w:hint="eastAsia" w:ascii="彩虹粗仿宋" w:hAnsi="宋体" w:eastAsia="彩虹粗仿宋" w:cs="CHCFS"/>
                <w:shd w:val="clear" w:color="auto" w:fill="FFFFFF"/>
              </w:rPr>
              <w:t xml:space="preserve">7d </w:t>
            </w:r>
          </w:p>
        </w:tc>
      </w:tr>
    </w:tbl>
    <w:p>
      <w:pPr>
        <w:pStyle w:val="5"/>
        <w:numPr>
          <w:ilvl w:val="0"/>
          <w:numId w:val="3"/>
        </w:numPr>
        <w:spacing w:before="260" w:line="360" w:lineRule="auto"/>
        <w:jc w:val="left"/>
        <w:rPr>
          <w:rFonts w:ascii="彩虹粗仿宋" w:eastAsia="彩虹粗仿宋" w:cs="CHCFS"/>
          <w:sz w:val="28"/>
          <w:szCs w:val="28"/>
          <w:shd w:val="clear" w:color="auto" w:fill="FFFFFF"/>
        </w:rPr>
      </w:pPr>
      <w:bookmarkStart w:id="36" w:name="_Toc211346769"/>
      <w:r>
        <w:rPr>
          <w:rFonts w:hint="eastAsia" w:ascii="彩虹粗仿宋" w:eastAsia="彩虹粗仿宋" w:cs="CHCFS"/>
          <w:sz w:val="28"/>
          <w:szCs w:val="28"/>
          <w:shd w:val="clear" w:color="auto" w:fill="FFFFFF"/>
        </w:rPr>
        <w:t>产品事件有效支持率</w:t>
      </w:r>
      <w:bookmarkEnd w:id="36"/>
    </w:p>
    <w:p>
      <w:pPr>
        <w:pStyle w:val="10"/>
        <w:rPr>
          <w:rFonts w:ascii="彩虹粗仿宋" w:hAnsi="Times New Roman"/>
          <w:sz w:val="28"/>
        </w:rPr>
      </w:pPr>
      <w:r>
        <w:rPr>
          <w:rFonts w:hint="eastAsia" w:ascii="彩虹粗仿宋" w:hAnsi="Times New Roman"/>
          <w:sz w:val="28"/>
        </w:rPr>
        <w:t>在本合同执行期间，服务提供商工程师需对甲方与产品相关的生产事件、问题、应急、咨询等，提供及时有效的支持和处理，服务支持有效率不得低于</w:t>
      </w:r>
      <w:r>
        <w:rPr>
          <w:rFonts w:ascii="彩虹粗仿宋" w:hAnsi="Times New Roman"/>
          <w:sz w:val="28"/>
        </w:rPr>
        <w:t>90%</w:t>
      </w:r>
      <w:r>
        <w:rPr>
          <w:rFonts w:hint="eastAsia" w:ascii="彩虹粗仿宋" w:hAnsi="Times New Roman"/>
          <w:sz w:val="28"/>
        </w:rPr>
        <w:t>。</w:t>
      </w:r>
      <w:r>
        <w:rPr>
          <w:rFonts w:ascii="彩虹粗仿宋" w:hAnsi="Times New Roman"/>
          <w:sz w:val="28"/>
        </w:rPr>
        <w:t xml:space="preserve"> </w:t>
      </w:r>
      <w:r>
        <w:rPr>
          <w:rFonts w:hint="eastAsia" w:ascii="彩虹粗仿宋" w:hAnsi="Times New Roman"/>
          <w:sz w:val="28"/>
        </w:rPr>
        <w:t>不属于产品有效支持的情况为：</w:t>
      </w:r>
      <w:r>
        <w:rPr>
          <w:rFonts w:ascii="彩虹粗仿宋" w:hAnsi="Times New Roman"/>
          <w:sz w:val="28"/>
        </w:rPr>
        <w:t xml:space="preserve"> </w:t>
      </w:r>
    </w:p>
    <w:p>
      <w:pPr>
        <w:pStyle w:val="10"/>
        <w:rPr>
          <w:rFonts w:ascii="彩虹粗仿宋" w:hAnsi="Times New Roman"/>
          <w:sz w:val="28"/>
        </w:rPr>
      </w:pPr>
      <w:r>
        <w:rPr>
          <w:rFonts w:ascii="彩虹粗仿宋" w:hAnsi="Times New Roman"/>
          <w:sz w:val="28"/>
        </w:rPr>
        <w:t>1</w:t>
      </w:r>
      <w:r>
        <w:rPr>
          <w:rFonts w:hint="eastAsia" w:ascii="彩虹粗仿宋" w:hAnsi="Times New Roman"/>
          <w:sz w:val="28"/>
        </w:rPr>
        <w:t>）甲方要求服务提供商工程师分析和处理事件，服务提供商工程师初步排除是自己的产品问题，但是各相关证据或者后续分析证实的确属于服务提供商产品问题的。</w:t>
      </w:r>
      <w:r>
        <w:rPr>
          <w:rFonts w:ascii="彩虹粗仿宋" w:hAnsi="Times New Roman"/>
          <w:sz w:val="28"/>
        </w:rPr>
        <w:t xml:space="preserve"> </w:t>
      </w:r>
    </w:p>
    <w:p>
      <w:pPr>
        <w:pStyle w:val="10"/>
        <w:rPr>
          <w:rFonts w:ascii="彩虹粗仿宋" w:hAnsi="Times New Roman"/>
          <w:sz w:val="28"/>
        </w:rPr>
      </w:pPr>
      <w:r>
        <w:rPr>
          <w:rFonts w:ascii="彩虹粗仿宋" w:hAnsi="Times New Roman"/>
          <w:sz w:val="28"/>
        </w:rPr>
        <w:t>2</w:t>
      </w:r>
      <w:r>
        <w:rPr>
          <w:rFonts w:hint="eastAsia" w:ascii="彩虹粗仿宋" w:hAnsi="Times New Roman"/>
          <w:sz w:val="28"/>
        </w:rPr>
        <w:t xml:space="preserve">）甲方要求服务提供商工程师协助调查和处理事件，但是服务提供商工程师不做深入分析，不能清楚澄清自己产品问题责任的。 </w:t>
      </w:r>
    </w:p>
    <w:p>
      <w:pPr>
        <w:pStyle w:val="5"/>
        <w:numPr>
          <w:ilvl w:val="0"/>
          <w:numId w:val="3"/>
        </w:numPr>
        <w:spacing w:before="260" w:line="360" w:lineRule="auto"/>
        <w:jc w:val="left"/>
        <w:rPr>
          <w:rFonts w:ascii="彩虹粗仿宋" w:eastAsia="彩虹粗仿宋" w:cs="CHCFS"/>
          <w:sz w:val="28"/>
          <w:szCs w:val="28"/>
          <w:shd w:val="clear" w:color="auto" w:fill="FFFFFF"/>
        </w:rPr>
      </w:pPr>
      <w:bookmarkStart w:id="37" w:name="_Toc211346770"/>
      <w:r>
        <w:rPr>
          <w:rFonts w:hint="eastAsia" w:ascii="彩虹粗仿宋" w:eastAsia="彩虹粗仿宋" w:cs="CHCFS"/>
          <w:sz w:val="28"/>
          <w:szCs w:val="28"/>
          <w:shd w:val="clear" w:color="auto" w:fill="FFFFFF"/>
        </w:rPr>
        <w:t>问题平均解决时间</w:t>
      </w:r>
      <w:bookmarkEnd w:id="37"/>
    </w:p>
    <w:p>
      <w:pPr>
        <w:pStyle w:val="10"/>
        <w:rPr>
          <w:rFonts w:ascii="彩虹粗仿宋" w:hAnsi="Times New Roman"/>
          <w:sz w:val="28"/>
        </w:rPr>
      </w:pPr>
      <w:r>
        <w:rPr>
          <w:rFonts w:hint="eastAsia" w:ascii="彩虹粗仿宋" w:hAnsi="Times New Roman"/>
          <w:sz w:val="28"/>
        </w:rPr>
        <w:t>在本合同执行期间，服务提供商承诺问题平均解决时间不超过</w:t>
      </w:r>
      <w:r>
        <w:rPr>
          <w:rFonts w:ascii="彩虹粗仿宋" w:hAnsi="Times New Roman"/>
          <w:sz w:val="28"/>
        </w:rPr>
        <w:t>30</w:t>
      </w:r>
      <w:r>
        <w:rPr>
          <w:rFonts w:hint="eastAsia" w:ascii="彩虹粗仿宋" w:hAnsi="Times New Roman"/>
          <w:sz w:val="28"/>
        </w:rPr>
        <w:t>天。</w:t>
      </w:r>
    </w:p>
    <w:p>
      <w:pPr>
        <w:pStyle w:val="5"/>
        <w:numPr>
          <w:ilvl w:val="0"/>
          <w:numId w:val="3"/>
        </w:numPr>
        <w:spacing w:before="260" w:line="360" w:lineRule="auto"/>
        <w:jc w:val="left"/>
        <w:rPr>
          <w:rFonts w:ascii="彩虹粗仿宋" w:eastAsia="彩虹粗仿宋" w:cs="CHCFS"/>
          <w:sz w:val="28"/>
          <w:szCs w:val="28"/>
          <w:shd w:val="clear" w:color="auto" w:fill="FFFFFF"/>
        </w:rPr>
      </w:pPr>
      <w:bookmarkStart w:id="38" w:name="_Toc211346771"/>
      <w:r>
        <w:rPr>
          <w:rFonts w:hint="eastAsia" w:ascii="彩虹粗仿宋" w:eastAsia="彩虹粗仿宋" w:cs="CHCFS"/>
          <w:sz w:val="28"/>
          <w:szCs w:val="28"/>
          <w:shd w:val="clear" w:color="auto" w:fill="FFFFFF"/>
        </w:rPr>
        <w:t>问题根源确定率</w:t>
      </w:r>
      <w:bookmarkEnd w:id="38"/>
    </w:p>
    <w:p>
      <w:pPr>
        <w:pStyle w:val="10"/>
        <w:rPr>
          <w:rFonts w:ascii="彩虹粗仿宋" w:hAnsi="Times New Roman"/>
          <w:sz w:val="28"/>
        </w:rPr>
      </w:pPr>
      <w:r>
        <w:rPr>
          <w:rFonts w:hint="eastAsia" w:ascii="彩虹粗仿宋" w:hAnsi="Times New Roman"/>
          <w:sz w:val="28"/>
        </w:rPr>
        <w:t>在本合同执行期间，服务提供商承诺确认问题最终根源率不低于</w:t>
      </w:r>
      <w:r>
        <w:rPr>
          <w:rFonts w:ascii="彩虹粗仿宋" w:hAnsi="Times New Roman"/>
          <w:sz w:val="28"/>
        </w:rPr>
        <w:t>95%</w:t>
      </w:r>
      <w:r>
        <w:rPr>
          <w:rFonts w:hint="eastAsia" w:ascii="彩虹粗仿宋" w:hAnsi="Times New Roman"/>
          <w:sz w:val="28"/>
        </w:rPr>
        <w:t>。</w:t>
      </w:r>
    </w:p>
    <w:p>
      <w:pPr>
        <w:pStyle w:val="5"/>
        <w:numPr>
          <w:ilvl w:val="0"/>
          <w:numId w:val="3"/>
        </w:numPr>
        <w:spacing w:before="260" w:line="360" w:lineRule="auto"/>
        <w:jc w:val="left"/>
        <w:rPr>
          <w:rFonts w:ascii="彩虹粗仿宋" w:eastAsia="彩虹粗仿宋" w:cs="CHCFS"/>
          <w:sz w:val="28"/>
          <w:szCs w:val="28"/>
          <w:shd w:val="clear" w:color="auto" w:fill="FFFFFF"/>
        </w:rPr>
      </w:pPr>
      <w:bookmarkStart w:id="39" w:name="_Toc211099842"/>
      <w:r>
        <w:rPr>
          <w:rFonts w:hint="eastAsia" w:ascii="彩虹粗仿宋" w:eastAsia="彩虹粗仿宋" w:cs="CHCFS"/>
          <w:sz w:val="28"/>
          <w:szCs w:val="28"/>
          <w:shd w:val="clear" w:color="auto" w:fill="FFFFFF"/>
        </w:rPr>
        <w:t>版本质量合格率</w:t>
      </w:r>
      <w:bookmarkEnd w:id="39"/>
    </w:p>
    <w:p>
      <w:pPr>
        <w:ind w:firstLine="560" w:firstLineChars="200"/>
        <w:rPr>
          <w:rFonts w:ascii="彩虹粗仿宋" w:eastAsia="彩虹粗仿宋"/>
          <w:sz w:val="28"/>
          <w:szCs w:val="28"/>
        </w:rPr>
      </w:pPr>
      <w:r>
        <w:rPr>
          <w:rFonts w:hint="eastAsia" w:ascii="彩虹粗仿宋" w:eastAsia="彩虹粗仿宋"/>
          <w:sz w:val="28"/>
          <w:szCs w:val="28"/>
        </w:rPr>
        <w:t>在本合同执行期间，服务提供商承诺版本质量合格率不得低于97%。</w:t>
      </w:r>
    </w:p>
    <w:p>
      <w:pPr>
        <w:ind w:firstLine="560" w:firstLineChars="200"/>
        <w:rPr>
          <w:rFonts w:ascii="彩虹粗仿宋" w:eastAsia="彩虹粗仿宋"/>
          <w:sz w:val="28"/>
          <w:szCs w:val="28"/>
        </w:rPr>
      </w:pPr>
      <w:r>
        <w:rPr>
          <w:rFonts w:hint="eastAsia" w:ascii="彩虹粗仿宋" w:eastAsia="彩虹粗仿宋"/>
          <w:sz w:val="28"/>
          <w:szCs w:val="28"/>
        </w:rPr>
        <w:t>不属于版本质量合格的情况为：</w:t>
      </w:r>
    </w:p>
    <w:p>
      <w:pPr>
        <w:ind w:firstLine="560" w:firstLineChars="200"/>
        <w:rPr>
          <w:rFonts w:ascii="彩虹粗仿宋" w:eastAsia="彩虹粗仿宋"/>
          <w:sz w:val="28"/>
          <w:szCs w:val="28"/>
        </w:rPr>
      </w:pPr>
      <w:r>
        <w:rPr>
          <w:rFonts w:hint="eastAsia" w:ascii="彩虹粗仿宋" w:eastAsia="彩虹粗仿宋"/>
          <w:sz w:val="28"/>
          <w:szCs w:val="28"/>
        </w:rPr>
        <w:t>1）版本投产失败，需要回退的；</w:t>
      </w:r>
    </w:p>
    <w:p>
      <w:pPr>
        <w:ind w:firstLine="560" w:firstLineChars="200"/>
        <w:rPr>
          <w:rFonts w:ascii="彩虹粗仿宋" w:eastAsia="彩虹粗仿宋"/>
          <w:i/>
          <w:sz w:val="28"/>
          <w:szCs w:val="28"/>
        </w:rPr>
      </w:pPr>
      <w:r>
        <w:rPr>
          <w:rFonts w:hint="eastAsia" w:ascii="彩虹粗仿宋" w:eastAsia="彩虹粗仿宋"/>
          <w:sz w:val="28"/>
          <w:szCs w:val="28"/>
        </w:rPr>
        <w:t>2）未达到预期效果需要进行二次变更的。</w:t>
      </w:r>
    </w:p>
    <w:p>
      <w:pPr>
        <w:pStyle w:val="3"/>
        <w:rPr>
          <w:sz w:val="30"/>
          <w:szCs w:val="30"/>
        </w:rPr>
      </w:pPr>
      <w:bookmarkStart w:id="40" w:name="_Toc426986454"/>
      <w:bookmarkStart w:id="41" w:name="_Toc426986304"/>
      <w:bookmarkStart w:id="42" w:name="_Toc426992024"/>
      <w:bookmarkStart w:id="43" w:name="_Toc426660101"/>
      <w:bookmarkStart w:id="44" w:name="_Toc8093"/>
      <w:r>
        <w:rPr>
          <w:rFonts w:hint="eastAsia"/>
          <w:sz w:val="30"/>
          <w:szCs w:val="30"/>
        </w:rPr>
        <w:t>七、服务流程</w:t>
      </w:r>
      <w:bookmarkEnd w:id="40"/>
      <w:bookmarkEnd w:id="41"/>
      <w:bookmarkEnd w:id="42"/>
    </w:p>
    <w:p>
      <w:pPr>
        <w:pStyle w:val="10"/>
        <w:rPr>
          <w:rFonts w:ascii="彩虹粗仿宋" w:hAnsi="Times New Roman"/>
          <w:sz w:val="28"/>
        </w:rPr>
      </w:pPr>
      <w:r>
        <w:rPr>
          <w:rFonts w:hint="eastAsia" w:ascii="彩虹粗仿宋" w:hAnsi="Times New Roman"/>
          <w:sz w:val="28"/>
        </w:rPr>
        <w:t>腾讯云容器及其配套软件在运行过程中有任何技术疑问，可随时通过服务提供商远程支持渠道获取支持。</w:t>
      </w:r>
      <w:r>
        <w:rPr>
          <w:rFonts w:ascii="彩虹粗仿宋" w:hAnsi="Times New Roman"/>
          <w:sz w:val="28"/>
        </w:rPr>
        <w:t xml:space="preserve"> </w:t>
      </w:r>
    </w:p>
    <w:p>
      <w:pPr>
        <w:pStyle w:val="10"/>
        <w:rPr>
          <w:rFonts w:ascii="彩虹粗仿宋" w:hAnsi="Times New Roman"/>
          <w:sz w:val="28"/>
        </w:rPr>
      </w:pPr>
      <w:r>
        <w:rPr>
          <w:rFonts w:hint="eastAsia" w:ascii="彩虹粗仿宋" w:hAnsi="Times New Roman"/>
          <w:sz w:val="28"/>
        </w:rPr>
        <w:t>服务提供商需提供每年</w:t>
      </w:r>
      <w:r>
        <w:rPr>
          <w:rFonts w:ascii="彩虹粗仿宋" w:hAnsi="Times New Roman"/>
          <w:sz w:val="28"/>
        </w:rPr>
        <w:t>365</w:t>
      </w:r>
      <w:r>
        <w:rPr>
          <w:rFonts w:hint="eastAsia" w:ascii="彩虹粗仿宋" w:hAnsi="Times New Roman"/>
          <w:sz w:val="28"/>
        </w:rPr>
        <w:t>天、每天</w:t>
      </w:r>
      <w:r>
        <w:rPr>
          <w:rFonts w:ascii="彩虹粗仿宋" w:hAnsi="Times New Roman"/>
          <w:sz w:val="28"/>
        </w:rPr>
        <w:t>24</w:t>
      </w:r>
      <w:r>
        <w:rPr>
          <w:rFonts w:hint="eastAsia" w:ascii="彩虹粗仿宋" w:hAnsi="Times New Roman"/>
          <w:sz w:val="28"/>
        </w:rPr>
        <w:t>小时支持服务。响应时限：远程</w:t>
      </w:r>
      <w:r>
        <w:rPr>
          <w:rFonts w:ascii="彩虹粗仿宋" w:hAnsi="Times New Roman"/>
          <w:sz w:val="28"/>
        </w:rPr>
        <w:t>15</w:t>
      </w:r>
      <w:r>
        <w:rPr>
          <w:rFonts w:hint="eastAsia" w:ascii="彩虹粗仿宋" w:hAnsi="Times New Roman"/>
          <w:sz w:val="28"/>
        </w:rPr>
        <w:t>分钟内响应，并根据本工作说明书，最晚不得超过约定时间，积极解决故障和提供相应的技术问题解决方案。</w:t>
      </w:r>
    </w:p>
    <w:p>
      <w:pPr>
        <w:pStyle w:val="3"/>
        <w:rPr>
          <w:sz w:val="30"/>
          <w:szCs w:val="30"/>
        </w:rPr>
      </w:pPr>
      <w:r>
        <w:rPr>
          <w:rFonts w:hint="eastAsia"/>
          <w:sz w:val="30"/>
          <w:szCs w:val="30"/>
        </w:rPr>
        <w:t>八、服务质量要求</w:t>
      </w:r>
    </w:p>
    <w:p>
      <w:pPr>
        <w:pStyle w:val="10"/>
        <w:rPr>
          <w:rFonts w:ascii="彩虹粗仿宋" w:hAnsi="Times New Roman"/>
          <w:sz w:val="28"/>
        </w:rPr>
      </w:pPr>
      <w:r>
        <w:rPr>
          <w:rFonts w:hint="eastAsia" w:ascii="彩虹粗仿宋" w:hAnsi="Times New Roman"/>
          <w:sz w:val="28"/>
        </w:rPr>
        <w:t>在本合同执行期间，服务提供商根据甲方的要求阶段性提供服务报告，包括但不限于工作情况、突出问题总结和计划等，并根据甲方的建议和意见协商和实施改进办法。</w:t>
      </w:r>
    </w:p>
    <w:p>
      <w:pPr>
        <w:pStyle w:val="10"/>
        <w:rPr>
          <w:rFonts w:ascii="彩虹粗仿宋" w:hAnsi="Times New Roman"/>
          <w:sz w:val="28"/>
        </w:rPr>
      </w:pPr>
      <w:r>
        <w:rPr>
          <w:rFonts w:hint="eastAsia" w:ascii="彩虹粗仿宋" w:hAnsi="Times New Roman"/>
          <w:sz w:val="28"/>
        </w:rPr>
        <w:t>服务期满后，按照工作说明书要求完成相应服务，并按以下标准进行考核及评测。</w:t>
      </w:r>
    </w:p>
    <w:p>
      <w:pPr>
        <w:pStyle w:val="10"/>
        <w:rPr>
          <w:rFonts w:ascii="彩虹粗仿宋" w:hAnsi="Times New Roman"/>
          <w:sz w:val="28"/>
        </w:rPr>
      </w:pPr>
      <w:r>
        <w:rPr>
          <w:rFonts w:hint="eastAsia" w:ascii="彩虹粗仿宋" w:hAnsi="Times New Roman"/>
          <w:sz w:val="28"/>
        </w:rPr>
        <w:t>对于故障的响应和处理，满足SOW中相关服务水平的约定</w:t>
      </w:r>
      <w:bookmarkStart w:id="45" w:name="_Toc472522023"/>
      <w:r>
        <w:rPr>
          <w:rFonts w:hint="eastAsia" w:ascii="彩虹粗仿宋" w:hAnsi="Times New Roman"/>
          <w:sz w:val="28"/>
        </w:rPr>
        <w:t>，参考基本服务评价标准。</w:t>
      </w:r>
    </w:p>
    <w:p>
      <w:pPr>
        <w:pStyle w:val="12"/>
        <w:keepNext/>
        <w:keepLines/>
        <w:numPr>
          <w:ilvl w:val="0"/>
          <w:numId w:val="4"/>
        </w:numPr>
        <w:tabs>
          <w:tab w:val="left" w:pos="426"/>
        </w:tabs>
        <w:spacing w:before="260" w:line="360" w:lineRule="auto"/>
        <w:ind w:right="210" w:rightChars="100" w:firstLineChars="0"/>
        <w:outlineLvl w:val="2"/>
        <w:rPr>
          <w:rFonts w:ascii="彩虹粗仿宋" w:hAnsi="宋体" w:eastAsia="彩虹粗仿宋"/>
          <w:b/>
          <w:bCs/>
          <w:vanish/>
          <w:sz w:val="24"/>
          <w:lang w:val="zh-CN"/>
        </w:rPr>
      </w:pPr>
      <w:bookmarkStart w:id="46" w:name="_Toc10142"/>
      <w:bookmarkEnd w:id="46"/>
      <w:bookmarkStart w:id="47" w:name="_Toc26455397"/>
      <w:bookmarkEnd w:id="47"/>
      <w:bookmarkStart w:id="48" w:name="_Toc24986255"/>
      <w:bookmarkEnd w:id="48"/>
      <w:bookmarkStart w:id="49" w:name="_Toc26440965"/>
      <w:bookmarkEnd w:id="49"/>
      <w:bookmarkStart w:id="50" w:name="_Toc211346776"/>
      <w:bookmarkEnd w:id="50"/>
      <w:bookmarkStart w:id="51" w:name="_Toc26440830"/>
      <w:bookmarkEnd w:id="51"/>
      <w:bookmarkStart w:id="52" w:name="_Toc24986284"/>
      <w:bookmarkEnd w:id="52"/>
      <w:bookmarkStart w:id="53" w:name="_Toc211080458"/>
      <w:bookmarkEnd w:id="53"/>
      <w:bookmarkStart w:id="54" w:name="_Toc26452125"/>
      <w:bookmarkEnd w:id="54"/>
    </w:p>
    <w:p>
      <w:pPr>
        <w:pStyle w:val="12"/>
        <w:keepNext/>
        <w:keepLines/>
        <w:numPr>
          <w:ilvl w:val="0"/>
          <w:numId w:val="4"/>
        </w:numPr>
        <w:tabs>
          <w:tab w:val="left" w:pos="426"/>
        </w:tabs>
        <w:spacing w:before="260" w:line="360" w:lineRule="auto"/>
        <w:ind w:right="210" w:rightChars="100" w:firstLineChars="0"/>
        <w:outlineLvl w:val="2"/>
        <w:rPr>
          <w:rFonts w:ascii="彩虹粗仿宋" w:hAnsi="宋体" w:eastAsia="彩虹粗仿宋"/>
          <w:b/>
          <w:bCs/>
          <w:vanish/>
          <w:sz w:val="24"/>
          <w:lang w:val="zh-CN"/>
        </w:rPr>
      </w:pPr>
      <w:bookmarkStart w:id="55" w:name="_Toc26455398"/>
      <w:bookmarkEnd w:id="55"/>
      <w:bookmarkStart w:id="56" w:name="_Toc211346777"/>
      <w:bookmarkEnd w:id="56"/>
      <w:bookmarkStart w:id="57" w:name="_Toc32207"/>
      <w:bookmarkEnd w:id="57"/>
      <w:bookmarkStart w:id="58" w:name="_Toc26452126"/>
      <w:bookmarkEnd w:id="58"/>
      <w:bookmarkStart w:id="59" w:name="_Toc26440831"/>
      <w:bookmarkEnd w:id="59"/>
      <w:bookmarkStart w:id="60" w:name="_Toc24986285"/>
      <w:bookmarkEnd w:id="60"/>
      <w:bookmarkStart w:id="61" w:name="_Toc211080459"/>
      <w:bookmarkEnd w:id="61"/>
      <w:bookmarkStart w:id="62" w:name="_Toc26440966"/>
      <w:bookmarkEnd w:id="62"/>
      <w:bookmarkStart w:id="63" w:name="_Toc24986256"/>
      <w:bookmarkEnd w:id="63"/>
    </w:p>
    <w:p>
      <w:pPr>
        <w:pStyle w:val="12"/>
        <w:keepNext/>
        <w:keepLines/>
        <w:numPr>
          <w:ilvl w:val="0"/>
          <w:numId w:val="4"/>
        </w:numPr>
        <w:tabs>
          <w:tab w:val="left" w:pos="426"/>
        </w:tabs>
        <w:spacing w:before="260" w:line="360" w:lineRule="auto"/>
        <w:ind w:right="210" w:rightChars="100" w:firstLineChars="0"/>
        <w:outlineLvl w:val="2"/>
        <w:rPr>
          <w:rFonts w:ascii="彩虹粗仿宋" w:hAnsi="宋体" w:eastAsia="彩虹粗仿宋"/>
          <w:b/>
          <w:bCs/>
          <w:vanish/>
          <w:sz w:val="24"/>
          <w:lang w:val="zh-CN"/>
        </w:rPr>
      </w:pPr>
      <w:bookmarkStart w:id="64" w:name="_Toc13085"/>
      <w:bookmarkEnd w:id="64"/>
      <w:bookmarkStart w:id="65" w:name="_Toc24986286"/>
      <w:bookmarkEnd w:id="65"/>
      <w:bookmarkStart w:id="66" w:name="_Toc211346778"/>
      <w:bookmarkEnd w:id="66"/>
      <w:bookmarkStart w:id="67" w:name="_Toc26440832"/>
      <w:bookmarkEnd w:id="67"/>
      <w:bookmarkStart w:id="68" w:name="_Toc26440967"/>
      <w:bookmarkEnd w:id="68"/>
      <w:bookmarkStart w:id="69" w:name="_Toc24986257"/>
      <w:bookmarkEnd w:id="69"/>
      <w:bookmarkStart w:id="70" w:name="_Toc26452127"/>
      <w:bookmarkEnd w:id="70"/>
      <w:bookmarkStart w:id="71" w:name="_Toc211080460"/>
      <w:bookmarkEnd w:id="71"/>
      <w:bookmarkStart w:id="72" w:name="_Toc26455399"/>
      <w:bookmarkEnd w:id="72"/>
    </w:p>
    <w:p>
      <w:pPr>
        <w:pStyle w:val="5"/>
        <w:numPr>
          <w:ilvl w:val="0"/>
          <w:numId w:val="5"/>
        </w:numPr>
        <w:spacing w:before="260" w:line="360" w:lineRule="auto"/>
        <w:jc w:val="left"/>
        <w:rPr>
          <w:rFonts w:ascii="彩虹粗仿宋" w:eastAsia="彩虹粗仿宋" w:cs="CHCFS"/>
          <w:sz w:val="28"/>
          <w:szCs w:val="28"/>
          <w:shd w:val="clear" w:color="auto" w:fill="FFFFFF"/>
        </w:rPr>
      </w:pPr>
      <w:bookmarkStart w:id="73" w:name="_Toc211346779"/>
      <w:r>
        <w:rPr>
          <w:rFonts w:hint="eastAsia" w:ascii="彩虹粗仿宋" w:eastAsia="彩虹粗仿宋" w:cs="CHCFS"/>
          <w:sz w:val="28"/>
          <w:szCs w:val="28"/>
          <w:shd w:val="clear" w:color="auto" w:fill="FFFFFF"/>
        </w:rPr>
        <w:t>基本服务评价标准</w:t>
      </w:r>
      <w:bookmarkEnd w:id="45"/>
      <w:bookmarkEnd w:id="73"/>
    </w:p>
    <w:p>
      <w:pPr>
        <w:pStyle w:val="10"/>
        <w:rPr>
          <w:rFonts w:ascii="彩虹粗仿宋" w:hAnsi="Times New Roman"/>
          <w:sz w:val="28"/>
        </w:rPr>
      </w:pPr>
      <w:r>
        <w:rPr>
          <w:rFonts w:hint="eastAsia" w:ascii="彩虹粗仿宋" w:hAnsi="Times New Roman"/>
          <w:sz w:val="28"/>
        </w:rPr>
        <w:t>在本合同执行期间，基本服务评价标准的各项指标参见“服务水平约定”，具体标准如下：</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2"/>
        <w:gridCol w:w="6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shd w:val="clear" w:color="auto" w:fill="D9D9D9"/>
          </w:tcPr>
          <w:p>
            <w:pPr>
              <w:pStyle w:val="10"/>
              <w:ind w:firstLine="0" w:firstLineChars="0"/>
              <w:jc w:val="center"/>
              <w:rPr>
                <w:rFonts w:ascii="彩虹粗仿宋"/>
                <w:szCs w:val="21"/>
              </w:rPr>
            </w:pPr>
            <w:r>
              <w:rPr>
                <w:rFonts w:hint="eastAsia" w:ascii="彩虹粗仿宋"/>
                <w:szCs w:val="21"/>
              </w:rPr>
              <w:t>考核类型</w:t>
            </w:r>
          </w:p>
        </w:tc>
        <w:tc>
          <w:tcPr>
            <w:tcW w:w="6474" w:type="dxa"/>
            <w:shd w:val="clear" w:color="auto" w:fill="D9D9D9"/>
          </w:tcPr>
          <w:p>
            <w:pPr>
              <w:pStyle w:val="10"/>
              <w:ind w:firstLine="0" w:firstLineChars="0"/>
              <w:jc w:val="center"/>
              <w:rPr>
                <w:rFonts w:ascii="彩虹粗仿宋"/>
                <w:szCs w:val="24"/>
              </w:rPr>
            </w:pPr>
            <w:r>
              <w:rPr>
                <w:rFonts w:hint="eastAsia" w:ascii="彩虹粗仿宋"/>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hAnsi="宋体" w:cs="CHCFS"/>
                <w:shd w:val="clear" w:color="auto" w:fill="FFFFFF"/>
              </w:rPr>
            </w:pPr>
            <w:r>
              <w:rPr>
                <w:rFonts w:hint="eastAsia" w:ascii="彩虹粗仿宋" w:hAnsi="宋体" w:eastAsia="彩虹粗仿宋"/>
                <w:color w:val="auto"/>
              </w:rPr>
              <w:t>产品故障率</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 xml:space="preserve">1) </w:t>
            </w:r>
            <w:r>
              <w:rPr>
                <w:rFonts w:hint="eastAsia" w:ascii="彩虹粗仿宋" w:hAnsi="宋体" w:eastAsia="彩虹粗仿宋"/>
                <w:color w:val="auto"/>
              </w:rPr>
              <w:t>产品故障率低于</w:t>
            </w:r>
            <w:r>
              <w:rPr>
                <w:rFonts w:ascii="彩虹粗仿宋" w:hAnsi="宋体" w:eastAsia="彩虹粗仿宋"/>
                <w:color w:val="auto"/>
              </w:rPr>
              <w:t>3%</w:t>
            </w:r>
            <w:r>
              <w:rPr>
                <w:rFonts w:hint="eastAsia" w:ascii="彩虹粗仿宋" w:hAnsi="宋体" w:eastAsia="彩虹粗仿宋"/>
                <w:color w:val="auto"/>
              </w:rPr>
              <w:t>，并且没有由于产品缺陷、参数配置等原因导致</w:t>
            </w:r>
            <w:r>
              <w:rPr>
                <w:rFonts w:ascii="彩虹粗仿宋" w:hAnsi="宋体" w:eastAsia="彩虹粗仿宋"/>
                <w:color w:val="auto"/>
              </w:rPr>
              <w:t>5</w:t>
            </w:r>
            <w:r>
              <w:rPr>
                <w:rFonts w:hint="eastAsia" w:ascii="彩虹粗仿宋" w:hAnsi="宋体" w:eastAsia="彩虹粗仿宋"/>
                <w:color w:val="auto"/>
              </w:rPr>
              <w:t>级以上生产事故，评价为：满意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2) </w:t>
            </w:r>
            <w:r>
              <w:rPr>
                <w:rFonts w:hint="eastAsia" w:ascii="彩虹粗仿宋" w:hAnsi="宋体" w:eastAsia="彩虹粗仿宋"/>
                <w:color w:val="auto"/>
              </w:rPr>
              <w:t>产品故障率低于</w:t>
            </w:r>
            <w:r>
              <w:rPr>
                <w:rFonts w:ascii="彩虹粗仿宋" w:hAnsi="宋体" w:eastAsia="彩虹粗仿宋"/>
                <w:color w:val="auto"/>
              </w:rPr>
              <w:t>3%</w:t>
            </w:r>
            <w:r>
              <w:rPr>
                <w:rFonts w:hint="eastAsia" w:ascii="彩虹粗仿宋" w:hAnsi="宋体" w:eastAsia="彩虹粗仿宋"/>
                <w:color w:val="auto"/>
              </w:rPr>
              <w:t>，但是由于产品缺陷、参数配置等原因导致不多于</w:t>
            </w:r>
            <w:r>
              <w:rPr>
                <w:rFonts w:ascii="彩虹粗仿宋" w:hAnsi="宋体" w:eastAsia="彩虹粗仿宋"/>
                <w:color w:val="auto"/>
              </w:rPr>
              <w:t>1</w:t>
            </w:r>
            <w:r>
              <w:rPr>
                <w:rFonts w:hint="eastAsia" w:ascii="彩虹粗仿宋" w:hAnsi="宋体" w:eastAsia="彩虹粗仿宋"/>
                <w:color w:val="auto"/>
              </w:rPr>
              <w:t>次上的</w:t>
            </w:r>
            <w:r>
              <w:rPr>
                <w:rFonts w:ascii="彩虹粗仿宋" w:hAnsi="宋体" w:eastAsia="彩虹粗仿宋"/>
                <w:color w:val="auto"/>
              </w:rPr>
              <w:t>5</w:t>
            </w:r>
            <w:r>
              <w:rPr>
                <w:rFonts w:hint="eastAsia" w:ascii="彩虹粗仿宋" w:hAnsi="宋体" w:eastAsia="彩虹粗仿宋"/>
                <w:color w:val="auto"/>
              </w:rPr>
              <w:t>级以上生产事故，评价为：一般</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3) </w:t>
            </w:r>
            <w:r>
              <w:rPr>
                <w:rFonts w:hint="eastAsia" w:ascii="彩虹粗仿宋" w:hAnsi="宋体" w:eastAsia="彩虹粗仿宋"/>
                <w:color w:val="auto"/>
              </w:rPr>
              <w:t>产品故障率高于</w:t>
            </w:r>
            <w:r>
              <w:rPr>
                <w:rFonts w:ascii="彩虹粗仿宋" w:hAnsi="宋体" w:eastAsia="彩虹粗仿宋"/>
                <w:color w:val="auto"/>
              </w:rPr>
              <w:t>3%</w:t>
            </w:r>
            <w:r>
              <w:rPr>
                <w:rFonts w:hint="eastAsia" w:ascii="彩虹粗仿宋" w:hAnsi="宋体" w:eastAsia="彩虹粗仿宋"/>
                <w:color w:val="auto"/>
              </w:rPr>
              <w:t>，或者由于产品缺陷、参数配置等原因导致高于</w:t>
            </w:r>
            <w:r>
              <w:rPr>
                <w:rFonts w:ascii="彩虹粗仿宋" w:hAnsi="宋体" w:eastAsia="彩虹粗仿宋"/>
                <w:color w:val="auto"/>
              </w:rPr>
              <w:t>1</w:t>
            </w:r>
            <w:r>
              <w:rPr>
                <w:rFonts w:hint="eastAsia" w:ascii="彩虹粗仿宋" w:hAnsi="宋体" w:eastAsia="彩虹粗仿宋"/>
                <w:color w:val="auto"/>
              </w:rPr>
              <w:t>次的</w:t>
            </w:r>
            <w:r>
              <w:rPr>
                <w:rFonts w:ascii="彩虹粗仿宋" w:hAnsi="宋体" w:eastAsia="彩虹粗仿宋"/>
                <w:color w:val="auto"/>
              </w:rPr>
              <w:t>5</w:t>
            </w:r>
            <w:r>
              <w:rPr>
                <w:rFonts w:hint="eastAsia" w:ascii="彩虹粗仿宋" w:hAnsi="宋体" w:eastAsia="彩虹粗仿宋"/>
                <w:color w:val="auto"/>
              </w:rPr>
              <w:t>级以上生产事故，评价为：不满意</w:t>
            </w:r>
            <w:r>
              <w:rPr>
                <w:rFonts w:ascii="彩虹粗仿宋" w:hAnsi="宋体" w:eastAsia="彩虹粗仿宋"/>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ascii="彩虹粗仿宋" w:hAnsi="宋体" w:eastAsia="彩虹粗仿宋"/>
                <w:color w:val="auto"/>
              </w:rPr>
            </w:pPr>
            <w:r>
              <w:rPr>
                <w:rFonts w:hint="eastAsia" w:ascii="彩虹粗仿宋" w:hAnsi="宋体" w:eastAsia="彩虹粗仿宋"/>
                <w:color w:val="auto"/>
              </w:rPr>
              <w:t>技术服务响应时间</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 xml:space="preserve">1) </w:t>
            </w:r>
            <w:r>
              <w:rPr>
                <w:rFonts w:hint="eastAsia" w:ascii="彩虹粗仿宋" w:hAnsi="宋体" w:eastAsia="彩虹粗仿宋"/>
                <w:color w:val="auto"/>
              </w:rPr>
              <w:t>响应时间如果均满足服务水平约定，则评价为：满意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2) </w:t>
            </w:r>
            <w:r>
              <w:rPr>
                <w:rFonts w:hint="eastAsia" w:ascii="彩虹粗仿宋" w:hAnsi="宋体" w:eastAsia="彩虹粗仿宋"/>
                <w:color w:val="auto"/>
              </w:rPr>
              <w:t>响应时间不满足服务水平约定的次数少于</w:t>
            </w:r>
            <w:r>
              <w:rPr>
                <w:rFonts w:ascii="彩虹粗仿宋" w:hAnsi="宋体" w:eastAsia="彩虹粗仿宋"/>
                <w:color w:val="auto"/>
              </w:rPr>
              <w:t>5</w:t>
            </w:r>
            <w:r>
              <w:rPr>
                <w:rFonts w:hint="eastAsia" w:ascii="彩虹粗仿宋" w:hAnsi="宋体" w:eastAsia="彩虹粗仿宋"/>
                <w:color w:val="auto"/>
              </w:rPr>
              <w:t>次，则评价为：一般</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3) </w:t>
            </w:r>
            <w:r>
              <w:rPr>
                <w:rFonts w:hint="eastAsia" w:ascii="彩虹粗仿宋" w:hAnsi="宋体" w:eastAsia="彩虹粗仿宋"/>
                <w:color w:val="auto"/>
              </w:rPr>
              <w:t>响应时间不满足服务水平约定的次数超过</w:t>
            </w:r>
            <w:r>
              <w:rPr>
                <w:rFonts w:ascii="彩虹粗仿宋" w:hAnsi="宋体" w:eastAsia="彩虹粗仿宋"/>
                <w:color w:val="auto"/>
              </w:rPr>
              <w:t>5</w:t>
            </w:r>
            <w:r>
              <w:rPr>
                <w:rFonts w:hint="eastAsia" w:ascii="彩虹粗仿宋" w:hAnsi="宋体" w:eastAsia="彩虹粗仿宋"/>
                <w:color w:val="auto"/>
              </w:rPr>
              <w:t>次，则评价为：不满意</w:t>
            </w:r>
            <w:r>
              <w:rPr>
                <w:rFonts w:ascii="彩虹粗仿宋" w:hAnsi="宋体" w:eastAsia="彩虹粗仿宋"/>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ascii="彩虹粗仿宋" w:hAnsi="宋体" w:eastAsia="彩虹粗仿宋"/>
                <w:color w:val="auto"/>
              </w:rPr>
            </w:pPr>
            <w:r>
              <w:rPr>
                <w:rFonts w:hint="eastAsia" w:ascii="彩虹粗仿宋" w:hAnsi="宋体" w:eastAsia="彩虹粗仿宋"/>
                <w:color w:val="auto"/>
              </w:rPr>
              <w:t>产品事件有效支持率</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 xml:space="preserve">1) </w:t>
            </w:r>
            <w:r>
              <w:rPr>
                <w:rFonts w:hint="eastAsia" w:ascii="彩虹粗仿宋" w:hAnsi="宋体" w:eastAsia="彩虹粗仿宋"/>
                <w:color w:val="auto"/>
              </w:rPr>
              <w:t>对甲方产生的产品事件，提供的有效支持超过</w:t>
            </w:r>
            <w:r>
              <w:rPr>
                <w:rFonts w:ascii="彩虹粗仿宋" w:hAnsi="宋体" w:eastAsia="彩虹粗仿宋"/>
                <w:color w:val="auto"/>
              </w:rPr>
              <w:t>90%</w:t>
            </w:r>
            <w:r>
              <w:rPr>
                <w:rFonts w:hint="eastAsia" w:ascii="彩虹粗仿宋" w:hAnsi="宋体" w:eastAsia="彩虹粗仿宋"/>
                <w:color w:val="auto"/>
              </w:rPr>
              <w:t>，则评价为：满意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2) </w:t>
            </w:r>
            <w:r>
              <w:rPr>
                <w:rFonts w:hint="eastAsia" w:ascii="彩虹粗仿宋" w:hAnsi="宋体" w:eastAsia="彩虹粗仿宋"/>
                <w:color w:val="auto"/>
              </w:rPr>
              <w:t>对甲方产生的产品事件，提供的有效支持超过</w:t>
            </w:r>
            <w:r>
              <w:rPr>
                <w:rFonts w:ascii="彩虹粗仿宋" w:hAnsi="宋体" w:eastAsia="彩虹粗仿宋"/>
                <w:color w:val="auto"/>
              </w:rPr>
              <w:t>60%</w:t>
            </w:r>
            <w:r>
              <w:rPr>
                <w:rFonts w:hint="eastAsia" w:ascii="彩虹粗仿宋" w:hAnsi="宋体" w:eastAsia="彩虹粗仿宋"/>
                <w:color w:val="auto"/>
              </w:rPr>
              <w:t>，则评价为：一般</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3) </w:t>
            </w:r>
            <w:r>
              <w:rPr>
                <w:rFonts w:hint="eastAsia" w:ascii="彩虹粗仿宋" w:hAnsi="宋体" w:eastAsia="彩虹粗仿宋"/>
                <w:color w:val="auto"/>
              </w:rPr>
              <w:t>对甲方产生的产品事件，提供的有效支持低于</w:t>
            </w:r>
            <w:r>
              <w:rPr>
                <w:rFonts w:ascii="彩虹粗仿宋" w:hAnsi="宋体" w:eastAsia="彩虹粗仿宋"/>
                <w:color w:val="auto"/>
              </w:rPr>
              <w:t>60%</w:t>
            </w:r>
            <w:r>
              <w:rPr>
                <w:rFonts w:hint="eastAsia" w:ascii="彩虹粗仿宋" w:hAnsi="宋体" w:eastAsia="彩虹粗仿宋"/>
                <w:color w:val="auto"/>
              </w:rPr>
              <w:t>，则评价为：不满意</w:t>
            </w:r>
            <w:r>
              <w:rPr>
                <w:rFonts w:ascii="彩虹粗仿宋" w:hAnsi="宋体" w:eastAsia="彩虹粗仿宋"/>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ascii="彩虹粗仿宋" w:hAnsi="宋体" w:eastAsia="彩虹粗仿宋"/>
                <w:color w:val="auto"/>
              </w:rPr>
            </w:pPr>
            <w:r>
              <w:rPr>
                <w:rFonts w:hint="eastAsia" w:ascii="彩虹粗仿宋" w:hAnsi="宋体" w:eastAsia="彩虹粗仿宋"/>
                <w:color w:val="auto"/>
              </w:rPr>
              <w:t>问题平均解决时间</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 xml:space="preserve">1) </w:t>
            </w:r>
            <w:r>
              <w:rPr>
                <w:rFonts w:hint="eastAsia" w:ascii="彩虹粗仿宋" w:hAnsi="宋体" w:eastAsia="彩虹粗仿宋"/>
                <w:color w:val="auto"/>
              </w:rPr>
              <w:t>问题平均解决时间少于</w:t>
            </w:r>
            <w:r>
              <w:rPr>
                <w:rFonts w:ascii="彩虹粗仿宋" w:hAnsi="宋体" w:eastAsia="彩虹粗仿宋"/>
                <w:color w:val="auto"/>
              </w:rPr>
              <w:t>20</w:t>
            </w:r>
            <w:r>
              <w:rPr>
                <w:rFonts w:hint="eastAsia" w:ascii="彩虹粗仿宋" w:hAnsi="宋体" w:eastAsia="彩虹粗仿宋"/>
                <w:color w:val="auto"/>
              </w:rPr>
              <w:t>天的，评价为：满意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 xml:space="preserve">2) </w:t>
            </w:r>
            <w:r>
              <w:rPr>
                <w:rFonts w:hint="eastAsia" w:ascii="彩虹粗仿宋" w:hAnsi="宋体" w:eastAsia="彩虹粗仿宋"/>
                <w:color w:val="auto"/>
              </w:rPr>
              <w:t>问题平均解决时间超过</w:t>
            </w:r>
            <w:r>
              <w:rPr>
                <w:rFonts w:ascii="彩虹粗仿宋" w:hAnsi="宋体" w:eastAsia="彩虹粗仿宋"/>
                <w:color w:val="auto"/>
              </w:rPr>
              <w:t>20</w:t>
            </w:r>
            <w:r>
              <w:rPr>
                <w:rFonts w:hint="eastAsia" w:ascii="彩虹粗仿宋" w:hAnsi="宋体" w:eastAsia="彩虹粗仿宋"/>
                <w:color w:val="auto"/>
              </w:rPr>
              <w:t>天的，评价为：不满意</w:t>
            </w:r>
            <w:r>
              <w:rPr>
                <w:rFonts w:ascii="彩虹粗仿宋" w:hAnsi="宋体" w:eastAsia="彩虹粗仿宋"/>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ascii="彩虹粗仿宋" w:hAnsi="宋体" w:eastAsia="彩虹粗仿宋"/>
                <w:color w:val="auto"/>
              </w:rPr>
            </w:pPr>
            <w:r>
              <w:rPr>
                <w:rFonts w:hint="eastAsia" w:ascii="彩虹粗仿宋" w:hAnsi="宋体" w:eastAsia="彩虹粗仿宋"/>
                <w:color w:val="auto"/>
              </w:rPr>
              <w:t>问题根源确定率</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1</w:t>
            </w:r>
            <w:r>
              <w:rPr>
                <w:rFonts w:hint="eastAsia" w:ascii="彩虹粗仿宋" w:hAnsi="宋体" w:eastAsia="彩虹粗仿宋"/>
                <w:color w:val="auto"/>
              </w:rPr>
              <w:t>）问题根源确定率高于</w:t>
            </w:r>
            <w:r>
              <w:rPr>
                <w:rFonts w:ascii="彩虹粗仿宋" w:hAnsi="宋体" w:eastAsia="彩虹粗仿宋"/>
                <w:color w:val="auto"/>
              </w:rPr>
              <w:t>95%</w:t>
            </w:r>
            <w:r>
              <w:rPr>
                <w:rFonts w:hint="eastAsia" w:ascii="彩虹粗仿宋" w:hAnsi="宋体" w:eastAsia="彩虹粗仿宋"/>
                <w:color w:val="auto"/>
              </w:rPr>
              <w:t>，评价为：满意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2</w:t>
            </w:r>
            <w:r>
              <w:rPr>
                <w:rFonts w:hint="eastAsia" w:ascii="彩虹粗仿宋" w:hAnsi="宋体" w:eastAsia="彩虹粗仿宋"/>
                <w:color w:val="auto"/>
              </w:rPr>
              <w:t>）问题根源确定率低于</w:t>
            </w:r>
            <w:r>
              <w:rPr>
                <w:rFonts w:ascii="彩虹粗仿宋" w:hAnsi="宋体" w:eastAsia="彩虹粗仿宋"/>
                <w:color w:val="auto"/>
              </w:rPr>
              <w:t>95%</w:t>
            </w:r>
            <w:r>
              <w:rPr>
                <w:rFonts w:hint="eastAsia" w:ascii="彩虹粗仿宋" w:hAnsi="宋体" w:eastAsia="彩虹粗仿宋"/>
                <w:color w:val="auto"/>
              </w:rPr>
              <w:t>，评价为：不满意</w:t>
            </w:r>
            <w:r>
              <w:rPr>
                <w:rFonts w:ascii="彩虹粗仿宋" w:hAnsi="宋体" w:eastAsia="彩虹粗仿宋"/>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6" w:type="dxa"/>
            <w:vAlign w:val="center"/>
          </w:tcPr>
          <w:p>
            <w:pPr>
              <w:pStyle w:val="11"/>
              <w:spacing w:line="360" w:lineRule="auto"/>
              <w:jc w:val="center"/>
              <w:rPr>
                <w:rFonts w:ascii="彩虹粗仿宋" w:hAnsi="宋体" w:eastAsia="彩虹粗仿宋"/>
                <w:color w:val="auto"/>
              </w:rPr>
            </w:pPr>
            <w:r>
              <w:rPr>
                <w:rFonts w:hint="eastAsia" w:ascii="彩虹粗仿宋" w:hAnsi="宋体" w:eastAsia="彩虹粗仿宋"/>
                <w:color w:val="auto"/>
              </w:rPr>
              <w:t>版本质量合格率</w:t>
            </w:r>
          </w:p>
        </w:tc>
        <w:tc>
          <w:tcPr>
            <w:tcW w:w="6474" w:type="dxa"/>
          </w:tcPr>
          <w:p>
            <w:pPr>
              <w:pStyle w:val="11"/>
              <w:spacing w:line="360" w:lineRule="auto"/>
              <w:rPr>
                <w:rFonts w:ascii="彩虹粗仿宋" w:hAnsi="宋体" w:eastAsia="彩虹粗仿宋"/>
                <w:color w:val="auto"/>
              </w:rPr>
            </w:pPr>
            <w:r>
              <w:rPr>
                <w:rFonts w:ascii="彩虹粗仿宋" w:hAnsi="宋体" w:eastAsia="彩虹粗仿宋"/>
                <w:color w:val="auto"/>
              </w:rPr>
              <w:t>1</w:t>
            </w:r>
            <w:r>
              <w:rPr>
                <w:rFonts w:hint="eastAsia" w:ascii="彩虹粗仿宋" w:hAnsi="宋体" w:eastAsia="彩虹粗仿宋"/>
                <w:color w:val="auto"/>
              </w:rPr>
              <w:t>）版本质量合格率高于</w:t>
            </w:r>
            <w:r>
              <w:rPr>
                <w:rFonts w:ascii="彩虹粗仿宋" w:hAnsi="宋体" w:eastAsia="彩虹粗仿宋"/>
                <w:color w:val="auto"/>
              </w:rPr>
              <w:t>98%</w:t>
            </w:r>
            <w:r>
              <w:rPr>
                <w:rFonts w:hint="eastAsia" w:ascii="彩虹粗仿宋" w:hAnsi="宋体" w:eastAsia="彩虹粗仿宋"/>
                <w:color w:val="auto"/>
              </w:rPr>
              <w:t>，评价为：满意</w:t>
            </w:r>
            <w:r>
              <w:rPr>
                <w:rFonts w:ascii="彩虹粗仿宋" w:hAnsi="宋体" w:eastAsia="彩虹粗仿宋"/>
                <w:color w:val="auto"/>
              </w:rPr>
              <w:t xml:space="preserve"> </w:t>
            </w:r>
          </w:p>
          <w:p>
            <w:pPr>
              <w:pStyle w:val="11"/>
              <w:spacing w:line="360" w:lineRule="auto"/>
              <w:rPr>
                <w:rFonts w:ascii="彩虹粗仿宋" w:hAnsi="宋体" w:eastAsia="彩虹粗仿宋"/>
                <w:color w:val="auto"/>
              </w:rPr>
            </w:pPr>
            <w:r>
              <w:rPr>
                <w:rFonts w:ascii="彩虹粗仿宋" w:hAnsi="宋体" w:eastAsia="彩虹粗仿宋"/>
                <w:color w:val="auto"/>
              </w:rPr>
              <w:t>2</w:t>
            </w:r>
            <w:r>
              <w:rPr>
                <w:rFonts w:hint="eastAsia" w:ascii="彩虹粗仿宋" w:hAnsi="宋体" w:eastAsia="彩虹粗仿宋"/>
                <w:color w:val="auto"/>
              </w:rPr>
              <w:t>）版本质量合格率低于</w:t>
            </w:r>
            <w:r>
              <w:rPr>
                <w:rFonts w:ascii="彩虹粗仿宋" w:hAnsi="宋体" w:eastAsia="彩虹粗仿宋"/>
                <w:color w:val="auto"/>
              </w:rPr>
              <w:t>98%</w:t>
            </w:r>
            <w:r>
              <w:rPr>
                <w:rFonts w:hint="eastAsia" w:ascii="彩虹粗仿宋" w:hAnsi="宋体" w:eastAsia="彩虹粗仿宋"/>
                <w:color w:val="auto"/>
              </w:rPr>
              <w:t>，评价为：不满意</w:t>
            </w:r>
            <w:r>
              <w:rPr>
                <w:rFonts w:ascii="彩虹粗仿宋" w:hAnsi="宋体" w:eastAsia="彩虹粗仿宋"/>
                <w:color w:val="auto"/>
              </w:rPr>
              <w:t xml:space="preserve"> </w:t>
            </w:r>
          </w:p>
        </w:tc>
      </w:tr>
    </w:tbl>
    <w:p>
      <w:pPr>
        <w:pStyle w:val="10"/>
        <w:ind w:firstLine="0" w:firstLineChars="0"/>
        <w:rPr>
          <w:rFonts w:ascii="彩虹粗仿宋" w:hAnsi="Times New Roman"/>
          <w:sz w:val="28"/>
        </w:rPr>
      </w:pPr>
    </w:p>
    <w:p>
      <w:pPr>
        <w:pStyle w:val="3"/>
        <w:rPr>
          <w:sz w:val="30"/>
          <w:szCs w:val="30"/>
        </w:rPr>
      </w:pPr>
      <w:bookmarkStart w:id="74" w:name="_Toc426986303"/>
      <w:bookmarkStart w:id="75" w:name="_Toc426986453"/>
      <w:bookmarkStart w:id="76" w:name="_Toc426660100"/>
      <w:bookmarkStart w:id="77" w:name="_Toc20318"/>
      <w:bookmarkStart w:id="78" w:name="_Toc426992023"/>
      <w:bookmarkStart w:id="79" w:name="_Toc426992026"/>
      <w:bookmarkStart w:id="80" w:name="_Toc426986307"/>
      <w:bookmarkStart w:id="81" w:name="_Toc426986456"/>
      <w:r>
        <w:rPr>
          <w:rFonts w:hint="eastAsia"/>
          <w:sz w:val="30"/>
          <w:szCs w:val="30"/>
        </w:rPr>
        <w:t>九、供应商</w:t>
      </w:r>
      <w:bookmarkEnd w:id="74"/>
      <w:bookmarkEnd w:id="75"/>
      <w:bookmarkEnd w:id="76"/>
      <w:bookmarkEnd w:id="77"/>
      <w:bookmarkEnd w:id="78"/>
      <w:r>
        <w:rPr>
          <w:rFonts w:hint="eastAsia"/>
          <w:sz w:val="30"/>
          <w:szCs w:val="30"/>
        </w:rPr>
        <w:t>要求</w:t>
      </w:r>
    </w:p>
    <w:p>
      <w:pPr>
        <w:pStyle w:val="10"/>
        <w:rPr>
          <w:rFonts w:hint="eastAsia" w:ascii="彩虹粗仿宋" w:hAnsi="Times New Roman"/>
          <w:sz w:val="28"/>
          <w:highlight w:val="none"/>
          <w:lang w:val="en-US" w:eastAsia="zh-CN"/>
        </w:rPr>
      </w:pPr>
      <w:r>
        <w:rPr>
          <w:rFonts w:hint="eastAsia" w:ascii="彩虹粗仿宋" w:hAnsi="Times New Roman"/>
          <w:sz w:val="28"/>
          <w:highlight w:val="none"/>
          <w:lang w:val="en-US" w:eastAsia="zh-CN"/>
        </w:rPr>
        <w:t>供应商必须拥有腾讯云容器软件的知识产权，为我行提供腾讯云容器软件的原厂维护服务。</w:t>
      </w:r>
    </w:p>
    <w:p>
      <w:pPr>
        <w:pStyle w:val="10"/>
        <w:rPr>
          <w:rFonts w:ascii="彩虹粗仿宋" w:hAnsi="Times New Roman"/>
          <w:sz w:val="28"/>
        </w:rPr>
      </w:pPr>
      <w:r>
        <w:rPr>
          <w:rFonts w:hint="eastAsia" w:ascii="彩虹粗仿宋" w:hAnsi="Times New Roman"/>
          <w:sz w:val="28"/>
        </w:rPr>
        <w:t>服务提供商应为甲方提供固定的技术咨询服务人员，并保证技术资源服务人员对问题响应满足服务说明要求。</w:t>
      </w:r>
    </w:p>
    <w:p>
      <w:pPr>
        <w:pStyle w:val="10"/>
        <w:rPr>
          <w:rFonts w:ascii="彩虹粗仿宋" w:hAnsi="Times New Roman"/>
          <w:sz w:val="28"/>
        </w:rPr>
      </w:pPr>
      <w:r>
        <w:rPr>
          <w:rFonts w:hint="eastAsia" w:ascii="彩虹粗仿宋" w:hAnsi="Times New Roman"/>
          <w:sz w:val="28"/>
        </w:rPr>
        <w:t>本事项不允许由乙方子公司或关联公司提供服务。</w:t>
      </w:r>
    </w:p>
    <w:p>
      <w:pPr>
        <w:pStyle w:val="10"/>
        <w:rPr>
          <w:rFonts w:ascii="彩虹粗仿宋" w:hAnsi="Times New Roman"/>
          <w:sz w:val="28"/>
        </w:rPr>
      </w:pPr>
      <w:r>
        <w:rPr>
          <w:rFonts w:hint="eastAsia" w:ascii="彩虹粗仿宋" w:hAnsi="Times New Roman"/>
          <w:sz w:val="28"/>
        </w:rPr>
        <w:t>供应商应具有制造该类产品或承接相关服务的资质和专业能力，具备销售许可或同等证明材料。</w:t>
      </w:r>
    </w:p>
    <w:p>
      <w:pPr>
        <w:pStyle w:val="10"/>
        <w:rPr>
          <w:rFonts w:ascii="彩虹粗仿宋" w:hAnsi="Times New Roman"/>
          <w:sz w:val="28"/>
        </w:rPr>
      </w:pPr>
      <w:r>
        <w:rPr>
          <w:rFonts w:hint="eastAsia" w:ascii="彩虹粗仿宋" w:hAnsi="Times New Roman"/>
          <w:sz w:val="28"/>
        </w:rPr>
        <w:t>国家或监管明确规定的安全产品和服务，应按照国家和监管要求提供有效期内的检测凭证、证书、销售许可等。</w:t>
      </w:r>
    </w:p>
    <w:p>
      <w:pPr>
        <w:pStyle w:val="10"/>
        <w:rPr>
          <w:rFonts w:ascii="彩虹粗仿宋" w:hAnsi="Times New Roman"/>
          <w:sz w:val="28"/>
        </w:rPr>
      </w:pPr>
      <w:r>
        <w:rPr>
          <w:rFonts w:hint="eastAsia" w:ascii="彩虹粗仿宋" w:hAnsi="Times New Roman"/>
          <w:sz w:val="28"/>
        </w:rPr>
        <w:t>公司组织架构中设立信息安全管理部门和内控管理部门。</w:t>
      </w:r>
    </w:p>
    <w:p>
      <w:pPr>
        <w:pStyle w:val="10"/>
        <w:rPr>
          <w:rFonts w:ascii="彩虹粗仿宋" w:hAnsi="Times New Roman"/>
          <w:sz w:val="28"/>
        </w:rPr>
      </w:pPr>
      <w:r>
        <w:rPr>
          <w:rFonts w:hint="eastAsia" w:ascii="彩虹粗仿宋" w:hAnsi="Times New Roman"/>
          <w:sz w:val="28"/>
        </w:rPr>
        <w:t>供应商应建立符合国家标准的信息安全管理体系，上述体系应通过业界公认较为权威的资质认证。</w:t>
      </w:r>
    </w:p>
    <w:p>
      <w:pPr>
        <w:pStyle w:val="10"/>
        <w:rPr>
          <w:rFonts w:ascii="彩虹粗仿宋" w:hAnsi="Times New Roman"/>
          <w:sz w:val="28"/>
        </w:rPr>
      </w:pPr>
      <w:r>
        <w:rPr>
          <w:rFonts w:hint="eastAsia" w:ascii="彩虹粗仿宋" w:hAnsi="Times New Roman"/>
          <w:sz w:val="28"/>
        </w:rPr>
        <w:t>供应商具有足够的技术能力、人力资源和设施、环境，满足产品或服务的质量和安全管理要求，原则上，该类产品制造场地或所承担的服务场地应当设在中国境内。</w:t>
      </w:r>
    </w:p>
    <w:p>
      <w:pPr>
        <w:pStyle w:val="10"/>
        <w:rPr>
          <w:rFonts w:ascii="彩虹粗仿宋" w:hAnsi="Times New Roman"/>
          <w:sz w:val="28"/>
        </w:rPr>
      </w:pPr>
      <w:r>
        <w:rPr>
          <w:rFonts w:hint="eastAsia" w:ascii="彩虹粗仿宋" w:hAnsi="Times New Roman"/>
          <w:sz w:val="28"/>
        </w:rPr>
        <w:t>供应商对产品和服务研发、制造过程中涉及的实体拥有或控制的已知技术专利等知识产权获得10年以上授权，或在产品和服务使用期内获得持续授权。</w:t>
      </w:r>
    </w:p>
    <w:bookmarkEnd w:id="43"/>
    <w:bookmarkEnd w:id="44"/>
    <w:bookmarkEnd w:id="79"/>
    <w:bookmarkEnd w:id="80"/>
    <w:bookmarkEnd w:id="81"/>
    <w:p>
      <w:pPr>
        <w:pStyle w:val="3"/>
        <w:rPr>
          <w:sz w:val="30"/>
          <w:szCs w:val="30"/>
        </w:rPr>
      </w:pPr>
      <w:bookmarkStart w:id="82" w:name="_Toc120454114"/>
      <w:bookmarkStart w:id="83" w:name="_Toc119869400"/>
      <w:r>
        <w:rPr>
          <w:rFonts w:hint="eastAsia"/>
          <w:sz w:val="30"/>
          <w:szCs w:val="30"/>
        </w:rPr>
        <w:t>十、供应链管理要求</w:t>
      </w:r>
    </w:p>
    <w:p>
      <w:pPr>
        <w:pStyle w:val="10"/>
        <w:rPr>
          <w:rFonts w:ascii="彩虹粗仿宋" w:hAnsi="Times New Roman"/>
          <w:sz w:val="28"/>
        </w:rPr>
      </w:pPr>
      <w:r>
        <w:rPr>
          <w:rFonts w:hint="eastAsia" w:ascii="彩虹粗仿宋" w:hAnsi="Times New Roman"/>
          <w:sz w:val="28"/>
        </w:rPr>
        <w:t>本事项属于“重要等级产品和服务” 。</w:t>
      </w:r>
    </w:p>
    <w:p>
      <w:pPr>
        <w:pStyle w:val="10"/>
        <w:rPr>
          <w:rFonts w:ascii="彩虹粗仿宋" w:hAnsi="Times New Roman"/>
          <w:sz w:val="28"/>
        </w:rPr>
      </w:pPr>
      <w:r>
        <w:rPr>
          <w:rFonts w:hint="eastAsia" w:ascii="彩虹粗仿宋" w:hAnsi="Times New Roman"/>
          <w:sz w:val="28"/>
        </w:rPr>
        <w:t>乙方需签署《供应链企业安全责任与保密承诺函》，如属于联合体投标或代理商的情况，原厂商及代理商均需承诺遵守并签订承诺函。除承诺函要求外，乙方还应满足以下要求。</w:t>
      </w:r>
    </w:p>
    <w:p>
      <w:pPr>
        <w:numPr>
          <w:ilvl w:val="0"/>
          <w:numId w:val="6"/>
        </w:numPr>
        <w:rPr>
          <w:rFonts w:ascii="彩虹粗仿宋" w:eastAsia="彩虹粗仿宋"/>
          <w:sz w:val="28"/>
          <w:szCs w:val="28"/>
        </w:rPr>
      </w:pPr>
      <w:r>
        <w:rPr>
          <w:rFonts w:hint="eastAsia" w:ascii="彩虹粗仿宋" w:eastAsia="彩虹粗仿宋"/>
          <w:sz w:val="28"/>
          <w:szCs w:val="28"/>
        </w:rPr>
        <w:t>安全管理要求</w:t>
      </w:r>
    </w:p>
    <w:p>
      <w:pPr>
        <w:pStyle w:val="10"/>
        <w:rPr>
          <w:rFonts w:ascii="彩虹粗仿宋" w:hAnsi="Times New Roman"/>
          <w:sz w:val="28"/>
        </w:rPr>
      </w:pPr>
      <w:r>
        <w:rPr>
          <w:rFonts w:hint="eastAsia" w:ascii="彩虹粗仿宋" w:hAnsi="Times New Roman"/>
          <w:sz w:val="28"/>
        </w:rPr>
        <w:t>1、重要等级的产品和服务供应商，应具有完善的灾难恢复设施和应急管理体系，提供必要的应急和灾备资源保障，强化备品备件管理，制定企业安全事件的应急响应预案，预案场景应覆盖供应链风险，应针对安全类、运营类、管理类等事件进行分级分类，制定事件的监测发现、分析研判、上报、处置等措施，场景应覆盖1）网络安全风险；2）数据泄露、丢失和篡改风险；3）供应中断风险；4）侵权风险。5）资金损失风险；。预案中应明确为我行提供应急响应和恢复的优先级，原则上应为最高级，应急预案应定期报送我行。</w:t>
      </w:r>
    </w:p>
    <w:p>
      <w:pPr>
        <w:pStyle w:val="10"/>
        <w:rPr>
          <w:rFonts w:ascii="彩虹粗仿宋" w:hAnsi="Times New Roman"/>
          <w:sz w:val="28"/>
        </w:rPr>
      </w:pPr>
      <w:r>
        <w:rPr>
          <w:rFonts w:hint="eastAsia" w:ascii="彩虹粗仿宋" w:hAnsi="Times New Roman"/>
          <w:sz w:val="28"/>
        </w:rPr>
        <w:t>2、合同关系解除后，供应商立即删除我行相关数据、服务成果、文档等，供应商不得以任何方式保存从我行获取的数据、相关衍生数据及服务成果，供应商应向我行提交数据及服务成果已删除的书面承诺。且承诺应于合同终验阶段同步提供。</w:t>
      </w:r>
    </w:p>
    <w:p>
      <w:pPr>
        <w:numPr>
          <w:ilvl w:val="0"/>
          <w:numId w:val="6"/>
        </w:numPr>
        <w:rPr>
          <w:rFonts w:ascii="彩虹粗仿宋" w:hAnsi="宋体" w:eastAsia="彩虹粗仿宋"/>
          <w:sz w:val="28"/>
          <w:szCs w:val="28"/>
        </w:rPr>
      </w:pPr>
      <w:r>
        <w:rPr>
          <w:rFonts w:hint="eastAsia" w:ascii="彩虹粗仿宋" w:hAnsi="宋体" w:eastAsia="彩虹粗仿宋"/>
          <w:sz w:val="28"/>
          <w:szCs w:val="28"/>
        </w:rPr>
        <w:t>服务要求</w:t>
      </w:r>
    </w:p>
    <w:p>
      <w:pPr>
        <w:ind w:firstLine="560" w:firstLineChars="200"/>
        <w:rPr>
          <w:rFonts w:ascii="彩虹粗仿宋" w:eastAsia="彩虹粗仿宋"/>
          <w:sz w:val="28"/>
          <w:szCs w:val="28"/>
        </w:rPr>
      </w:pPr>
      <w:r>
        <w:rPr>
          <w:rFonts w:hint="eastAsia" w:ascii="彩虹粗仿宋" w:hAnsi="宋体" w:eastAsia="彩虹粗仿宋"/>
          <w:sz w:val="28"/>
          <w:szCs w:val="28"/>
        </w:rPr>
        <w:t>1、严禁供应商人员使用行内人员个人账号。</w:t>
      </w:r>
    </w:p>
    <w:p>
      <w:pPr>
        <w:numPr>
          <w:ilvl w:val="0"/>
          <w:numId w:val="6"/>
        </w:numPr>
        <w:rPr>
          <w:rFonts w:ascii="彩虹粗仿宋" w:eastAsia="彩虹粗仿宋"/>
          <w:sz w:val="28"/>
          <w:szCs w:val="28"/>
        </w:rPr>
      </w:pPr>
      <w:r>
        <w:rPr>
          <w:rFonts w:hint="eastAsia" w:ascii="彩虹粗仿宋" w:eastAsia="彩虹粗仿宋"/>
          <w:sz w:val="28"/>
          <w:szCs w:val="28"/>
        </w:rPr>
        <w:t>特殊要求</w:t>
      </w:r>
    </w:p>
    <w:p>
      <w:pPr>
        <w:pStyle w:val="10"/>
        <w:rPr>
          <w:rFonts w:ascii="彩虹粗仿宋" w:hAnsi="Times New Roman"/>
          <w:sz w:val="28"/>
        </w:rPr>
      </w:pPr>
      <w:r>
        <w:rPr>
          <w:rFonts w:hint="eastAsia" w:ascii="彩虹粗仿宋" w:hAnsi="Times New Roman"/>
          <w:sz w:val="28"/>
        </w:rPr>
        <w:t>1、服务提供商承诺提供投产产品版本及维护期内升级版本的全部源代码及相关文档。</w:t>
      </w:r>
    </w:p>
    <w:p>
      <w:pPr>
        <w:pStyle w:val="3"/>
        <w:rPr>
          <w:sz w:val="30"/>
          <w:szCs w:val="30"/>
        </w:rPr>
      </w:pPr>
      <w:r>
        <w:rPr>
          <w:rFonts w:hint="eastAsia"/>
          <w:sz w:val="30"/>
          <w:szCs w:val="30"/>
        </w:rPr>
        <w:t>十一、其他</w:t>
      </w:r>
    </w:p>
    <w:p>
      <w:pPr>
        <w:pStyle w:val="10"/>
        <w:ind w:firstLineChars="0"/>
        <w:rPr>
          <w:rFonts w:ascii="彩虹粗仿宋" w:hAnsi="Times New Roman"/>
          <w:sz w:val="28"/>
        </w:rPr>
      </w:pPr>
      <w:r>
        <w:rPr>
          <w:rFonts w:hint="eastAsia" w:ascii="彩虹粗仿宋" w:hAnsi="Times New Roman"/>
          <w:sz w:val="28"/>
        </w:rPr>
        <w:t>1、甲方承诺不会将产品在第三方（以下均指除甲方及各分支机构以外的机构，其中分支机构包括分行、支行、全资及控股50%以上的子公司）部署或直接售卖该产品，而是将该产品形成云服务，通过建行云主页展示并对使用方提供有偿服务。</w:t>
      </w:r>
      <w:r>
        <w:rPr>
          <w:rFonts w:ascii="彩虹粗仿宋" w:hAnsi="Times New Roman"/>
          <w:sz w:val="28"/>
        </w:rPr>
        <w:t xml:space="preserve"> </w:t>
      </w:r>
    </w:p>
    <w:p>
      <w:pPr>
        <w:pStyle w:val="10"/>
        <w:ind w:firstLineChars="0"/>
        <w:rPr>
          <w:rFonts w:ascii="彩虹粗仿宋" w:hAnsi="Times New Roman"/>
          <w:sz w:val="28"/>
        </w:rPr>
      </w:pPr>
      <w:r>
        <w:rPr>
          <w:rFonts w:hint="eastAsia" w:ascii="彩虹粗仿宋" w:hAnsi="Times New Roman"/>
          <w:sz w:val="28"/>
        </w:rPr>
        <w:t>2、服务提供商在本项目中提供的源代码，甲方需要按照行内客户数据保护级别进行保护，包括但不限于：在未获得服务提供商的书面同意的情况下，不得离开甲方物理环境；允许甲方委托合作公司进行修改，合作公司需签署保密协议，修改的工作场所限于甲方物理场所；第三方公司不享有基于软件修改后衍生版本的权益。</w:t>
      </w:r>
    </w:p>
    <w:p>
      <w:pPr>
        <w:pStyle w:val="3"/>
        <w:rPr>
          <w:rFonts w:ascii="彩虹粗仿宋" w:hAnsi="Times New Roman" w:eastAsia="彩虹粗仿宋"/>
          <w:szCs w:val="24"/>
        </w:rPr>
      </w:pPr>
      <w:bookmarkStart w:id="84" w:name="_Toc211346781"/>
      <w:r>
        <w:rPr>
          <w:rFonts w:hint="eastAsia" w:ascii="彩虹粗仿宋" w:hAnsi="Times New Roman" w:eastAsia="彩虹粗仿宋"/>
          <w:szCs w:val="24"/>
        </w:rPr>
        <w:t>附录1：支持服务列表联系方式</w:t>
      </w:r>
      <w:bookmarkEnd w:id="84"/>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131"/>
        <w:gridCol w:w="1691"/>
        <w:gridCol w:w="2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pStyle w:val="10"/>
              <w:ind w:firstLine="0" w:firstLineChars="0"/>
              <w:rPr>
                <w:rFonts w:ascii="彩虹粗仿宋"/>
                <w:kern w:val="0"/>
                <w:szCs w:val="24"/>
              </w:rPr>
            </w:pPr>
            <w:r>
              <w:rPr>
                <w:rFonts w:hint="eastAsia" w:ascii="彩虹粗仿宋"/>
                <w:kern w:val="0"/>
                <w:szCs w:val="24"/>
              </w:rPr>
              <w:t>服务方式</w:t>
            </w:r>
          </w:p>
        </w:tc>
        <w:tc>
          <w:tcPr>
            <w:tcW w:w="2131" w:type="dxa"/>
          </w:tcPr>
          <w:p>
            <w:pPr>
              <w:pStyle w:val="10"/>
              <w:ind w:firstLine="0" w:firstLineChars="0"/>
              <w:rPr>
                <w:rFonts w:ascii="彩虹粗仿宋"/>
                <w:kern w:val="0"/>
                <w:szCs w:val="24"/>
              </w:rPr>
            </w:pPr>
            <w:r>
              <w:rPr>
                <w:rFonts w:hint="eastAsia" w:ascii="彩虹粗仿宋"/>
                <w:kern w:val="0"/>
                <w:szCs w:val="24"/>
              </w:rPr>
              <w:t>联系人</w:t>
            </w:r>
          </w:p>
        </w:tc>
        <w:tc>
          <w:tcPr>
            <w:tcW w:w="1691" w:type="dxa"/>
          </w:tcPr>
          <w:p>
            <w:pPr>
              <w:pStyle w:val="10"/>
              <w:ind w:firstLine="0" w:firstLineChars="0"/>
              <w:rPr>
                <w:rFonts w:ascii="彩虹粗仿宋"/>
                <w:kern w:val="0"/>
                <w:szCs w:val="24"/>
              </w:rPr>
            </w:pPr>
            <w:r>
              <w:rPr>
                <w:rFonts w:hint="eastAsia" w:ascii="彩虹粗仿宋"/>
                <w:kern w:val="0"/>
                <w:szCs w:val="24"/>
              </w:rPr>
              <w:t>联系电话</w:t>
            </w:r>
          </w:p>
        </w:tc>
        <w:tc>
          <w:tcPr>
            <w:tcW w:w="2891" w:type="dxa"/>
          </w:tcPr>
          <w:p>
            <w:pPr>
              <w:pStyle w:val="10"/>
              <w:ind w:firstLine="0" w:firstLineChars="0"/>
              <w:rPr>
                <w:rFonts w:ascii="彩虹粗仿宋"/>
                <w:kern w:val="0"/>
                <w:szCs w:val="24"/>
              </w:rPr>
            </w:pPr>
            <w:r>
              <w:rPr>
                <w:rFonts w:hint="eastAsia" w:ascii="彩虹粗仿宋"/>
                <w:kern w:val="0"/>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pStyle w:val="10"/>
              <w:ind w:firstLine="0" w:firstLineChars="0"/>
              <w:rPr>
                <w:rFonts w:ascii="彩虹粗仿宋"/>
                <w:kern w:val="0"/>
                <w:szCs w:val="24"/>
              </w:rPr>
            </w:pPr>
            <w:r>
              <w:rPr>
                <w:rFonts w:hint="eastAsia" w:ascii="彩虹粗仿宋"/>
                <w:kern w:val="0"/>
                <w:szCs w:val="24"/>
              </w:rPr>
              <w:t>7X24小时服务支持中心</w:t>
            </w:r>
          </w:p>
        </w:tc>
        <w:tc>
          <w:tcPr>
            <w:tcW w:w="2131" w:type="dxa"/>
          </w:tcPr>
          <w:p>
            <w:pPr>
              <w:pStyle w:val="10"/>
              <w:ind w:firstLine="0" w:firstLineChars="0"/>
              <w:rPr>
                <w:rFonts w:ascii="彩虹粗仿宋"/>
                <w:kern w:val="0"/>
                <w:szCs w:val="24"/>
              </w:rPr>
            </w:pPr>
          </w:p>
        </w:tc>
        <w:tc>
          <w:tcPr>
            <w:tcW w:w="1691" w:type="dxa"/>
          </w:tcPr>
          <w:p>
            <w:pPr>
              <w:pStyle w:val="10"/>
              <w:ind w:firstLine="0" w:firstLineChars="0"/>
              <w:rPr>
                <w:rFonts w:ascii="彩虹粗仿宋"/>
                <w:kern w:val="0"/>
                <w:szCs w:val="24"/>
              </w:rPr>
            </w:pPr>
          </w:p>
        </w:tc>
        <w:tc>
          <w:tcPr>
            <w:tcW w:w="2891" w:type="dxa"/>
          </w:tcPr>
          <w:p>
            <w:pPr>
              <w:pStyle w:val="10"/>
              <w:ind w:firstLine="0" w:firstLineChars="0"/>
              <w:rPr>
                <w:rFonts w:ascii="彩虹粗仿宋"/>
                <w:kern w:val="0"/>
                <w:szCs w:val="24"/>
              </w:rPr>
            </w:pPr>
            <w:r>
              <w:rPr>
                <w:rFonts w:hint="eastAsia" w:ascii="彩虹粗仿宋"/>
                <w:kern w:val="0"/>
                <w:szCs w:val="24"/>
              </w:rPr>
              <w:t>协助提交服务请求，或对提交的服务请求进行询问、升级、反馈等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pStyle w:val="10"/>
              <w:ind w:firstLine="0" w:firstLineChars="0"/>
              <w:rPr>
                <w:rFonts w:ascii="彩虹粗仿宋"/>
                <w:kern w:val="0"/>
                <w:szCs w:val="24"/>
              </w:rPr>
            </w:pPr>
            <w:r>
              <w:rPr>
                <w:rFonts w:hint="eastAsia" w:ascii="彩虹粗仿宋"/>
                <w:kern w:val="0"/>
                <w:szCs w:val="24"/>
              </w:rPr>
              <w:t>7X24小时中文紧急救援</w:t>
            </w:r>
          </w:p>
        </w:tc>
        <w:tc>
          <w:tcPr>
            <w:tcW w:w="2131" w:type="dxa"/>
          </w:tcPr>
          <w:p>
            <w:pPr>
              <w:pStyle w:val="10"/>
              <w:ind w:firstLine="0" w:firstLineChars="0"/>
              <w:rPr>
                <w:rFonts w:ascii="彩虹粗仿宋"/>
                <w:kern w:val="0"/>
                <w:szCs w:val="24"/>
              </w:rPr>
            </w:pPr>
          </w:p>
        </w:tc>
        <w:tc>
          <w:tcPr>
            <w:tcW w:w="1691" w:type="dxa"/>
          </w:tcPr>
          <w:p>
            <w:pPr>
              <w:pStyle w:val="10"/>
              <w:ind w:firstLine="0" w:firstLineChars="0"/>
              <w:rPr>
                <w:rFonts w:ascii="彩虹粗仿宋"/>
                <w:kern w:val="0"/>
                <w:szCs w:val="24"/>
              </w:rPr>
            </w:pPr>
          </w:p>
        </w:tc>
        <w:tc>
          <w:tcPr>
            <w:tcW w:w="2891" w:type="dxa"/>
          </w:tcPr>
          <w:p>
            <w:pPr>
              <w:pStyle w:val="10"/>
              <w:ind w:firstLine="0" w:firstLineChars="0"/>
              <w:rPr>
                <w:rFonts w:ascii="彩虹粗仿宋"/>
                <w:kern w:val="0"/>
                <w:szCs w:val="24"/>
              </w:rPr>
            </w:pPr>
            <w:r>
              <w:rPr>
                <w:rFonts w:hint="eastAsia" w:ascii="彩虹粗仿宋"/>
                <w:kern w:val="0"/>
                <w:szCs w:val="24"/>
              </w:rPr>
              <w:t>当系统出现1级或2级升级问题时，请拨打此电话寻求救援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pStyle w:val="10"/>
              <w:ind w:firstLine="0" w:firstLineChars="0"/>
              <w:rPr>
                <w:rFonts w:ascii="彩虹粗仿宋"/>
                <w:kern w:val="0"/>
                <w:szCs w:val="24"/>
              </w:rPr>
            </w:pPr>
            <w:r>
              <w:rPr>
                <w:rFonts w:hint="eastAsia" w:ascii="彩虹粗仿宋"/>
                <w:kern w:val="0"/>
                <w:szCs w:val="24"/>
              </w:rPr>
              <w:t>服务实施经理</w:t>
            </w:r>
          </w:p>
        </w:tc>
        <w:tc>
          <w:tcPr>
            <w:tcW w:w="2131" w:type="dxa"/>
          </w:tcPr>
          <w:p>
            <w:pPr>
              <w:pStyle w:val="10"/>
              <w:ind w:firstLine="0" w:firstLineChars="0"/>
              <w:rPr>
                <w:rFonts w:ascii="彩虹粗仿宋"/>
                <w:kern w:val="0"/>
                <w:szCs w:val="24"/>
              </w:rPr>
            </w:pPr>
          </w:p>
        </w:tc>
        <w:tc>
          <w:tcPr>
            <w:tcW w:w="1691" w:type="dxa"/>
          </w:tcPr>
          <w:p>
            <w:pPr>
              <w:pStyle w:val="10"/>
              <w:ind w:firstLine="0" w:firstLineChars="0"/>
              <w:rPr>
                <w:rFonts w:ascii="彩虹粗仿宋"/>
                <w:kern w:val="0"/>
                <w:szCs w:val="24"/>
              </w:rPr>
            </w:pPr>
          </w:p>
        </w:tc>
        <w:tc>
          <w:tcPr>
            <w:tcW w:w="2891" w:type="dxa"/>
          </w:tcPr>
          <w:p>
            <w:pPr>
              <w:pStyle w:val="10"/>
              <w:ind w:firstLine="0" w:firstLineChars="0"/>
              <w:rPr>
                <w:rFonts w:ascii="彩虹粗仿宋"/>
                <w:kern w:val="0"/>
                <w:szCs w:val="24"/>
              </w:rPr>
            </w:pPr>
            <w:r>
              <w:rPr>
                <w:rFonts w:hint="eastAsia" w:ascii="彩虹粗仿宋"/>
                <w:kern w:val="0"/>
                <w:szCs w:val="24"/>
              </w:rPr>
              <w:t>管理和协调服务资源，并定期组织服务状况汇报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pStyle w:val="10"/>
              <w:ind w:firstLine="0" w:firstLineChars="0"/>
              <w:rPr>
                <w:rFonts w:ascii="彩虹粗仿宋"/>
                <w:kern w:val="0"/>
                <w:szCs w:val="24"/>
              </w:rPr>
            </w:pPr>
            <w:r>
              <w:rPr>
                <w:rFonts w:hint="eastAsia" w:ascii="彩虹粗仿宋"/>
                <w:kern w:val="0"/>
                <w:szCs w:val="24"/>
              </w:rPr>
              <w:t>服务销售经理</w:t>
            </w:r>
          </w:p>
        </w:tc>
        <w:tc>
          <w:tcPr>
            <w:tcW w:w="2131" w:type="dxa"/>
          </w:tcPr>
          <w:p>
            <w:pPr>
              <w:pStyle w:val="10"/>
              <w:ind w:firstLine="0" w:firstLineChars="0"/>
              <w:rPr>
                <w:rFonts w:ascii="彩虹粗仿宋"/>
                <w:kern w:val="0"/>
                <w:szCs w:val="24"/>
              </w:rPr>
            </w:pPr>
          </w:p>
        </w:tc>
        <w:tc>
          <w:tcPr>
            <w:tcW w:w="1691" w:type="dxa"/>
          </w:tcPr>
          <w:p>
            <w:pPr>
              <w:pStyle w:val="10"/>
              <w:ind w:firstLine="0" w:firstLineChars="0"/>
              <w:rPr>
                <w:rFonts w:ascii="彩虹粗仿宋"/>
                <w:kern w:val="0"/>
                <w:szCs w:val="24"/>
              </w:rPr>
            </w:pPr>
          </w:p>
        </w:tc>
        <w:tc>
          <w:tcPr>
            <w:tcW w:w="2891" w:type="dxa"/>
          </w:tcPr>
          <w:p>
            <w:pPr>
              <w:pStyle w:val="10"/>
              <w:ind w:firstLine="0" w:firstLineChars="0"/>
              <w:rPr>
                <w:rFonts w:ascii="彩虹粗仿宋"/>
                <w:kern w:val="0"/>
                <w:szCs w:val="24"/>
              </w:rPr>
            </w:pPr>
            <w:r>
              <w:rPr>
                <w:rFonts w:hint="eastAsia" w:ascii="彩虹粗仿宋"/>
                <w:kern w:val="0"/>
                <w:szCs w:val="24"/>
              </w:rPr>
              <w:t>负责建行的服务产品销售</w:t>
            </w:r>
          </w:p>
        </w:tc>
      </w:tr>
      <w:bookmarkEnd w:id="82"/>
      <w:bookmarkEnd w:id="83"/>
    </w:tbl>
    <w:p>
      <w:pPr>
        <w:pStyle w:val="3"/>
        <w:rPr>
          <w:rFonts w:ascii="彩虹粗仿宋" w:hAnsi="Times New Roman" w:eastAsia="彩虹粗仿宋" w:cs="Times New Roman"/>
          <w:szCs w:val="24"/>
        </w:rPr>
      </w:pPr>
      <w:r>
        <w:rPr>
          <w:rFonts w:hint="eastAsia" w:ascii="彩虹粗仿宋" w:hAnsi="Times New Roman" w:eastAsia="彩虹粗仿宋" w:cs="Times New Roman"/>
          <w:szCs w:val="24"/>
        </w:rPr>
        <w:t>附件1：软件维护清单</w:t>
      </w:r>
    </w:p>
    <w:p>
      <w:pPr>
        <w:pStyle w:val="4"/>
        <w:rPr>
          <w:rFonts w:eastAsia="仿宋_GB2312"/>
        </w:rPr>
      </w:pPr>
      <w:r>
        <w:rPr>
          <w:rFonts w:hint="eastAsia" w:eastAsia="仿宋_GB2312"/>
        </w:rPr>
        <w:object>
          <v:shape id="_x0000_i1025" o:spt="75" type="#_x0000_t75" style="height:60pt;width:60pt;" o:ole="t" filled="f" o:preferrelative="t" stroked="f" coordsize="21600,21600">
            <v:path/>
            <v:fill on="f" focussize="0,0"/>
            <v:stroke on="f" joinstyle="miter"/>
            <v:imagedata r:id="rId9" o:title=""/>
            <o:lock v:ext="edit" aspectratio="t"/>
            <w10:wrap type="none"/>
            <w10:anchorlock/>
          </v:shape>
          <o:OLEObject Type="Embed" ProgID="Excel.Sheet.12" ShapeID="_x0000_i1025" DrawAspect="Icon" ObjectID="_1468075725" r:id="rId8">
            <o:LockedField>false</o:LockedField>
          </o:OLEObject>
        </w:object>
      </w:r>
    </w:p>
    <w:p/>
    <w:sectPr>
      <w:footerReference r:id="rId5" w:type="default"/>
      <w:footerReference r:id="rId6" w:type="even"/>
      <w:pgSz w:w="11906" w:h="16838"/>
      <w:pgMar w:top="1871" w:right="1531" w:bottom="1871" w:left="1531" w:header="851" w:footer="992" w:gutter="0"/>
      <w:pgNumType w:start="1"/>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彩虹粗仿宋">
    <w:panose1 w:val="03000509000000000000"/>
    <w:charset w:val="86"/>
    <w:family w:val="script"/>
    <w:pitch w:val="default"/>
    <w:sig w:usb0="00000001" w:usb1="080E0000" w:usb2="00000000" w:usb3="00000000" w:csb0="00040000" w:csb1="00000000"/>
  </w:font>
  <w:font w:name="CHCFS">
    <w:altName w:val="宋体"/>
    <w:panose1 w:val="00000000000000000000"/>
    <w:charset w:val="86"/>
    <w:family w:val="swiss"/>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jc w:val="right"/>
      <w:rPr>
        <w:rStyle w:val="9"/>
      </w:rPr>
    </w:pPr>
    <w:r>
      <w:rPr>
        <w:rStyle w:val="9"/>
        <w:rFonts w:hint="eastAsia" w:ascii="宋体" w:hAnsi="宋体" w:eastAsia="宋体"/>
        <w:sz w:val="28"/>
      </w:rPr>
      <w:t xml:space="preserve">— </w:t>
    </w:r>
    <w:r>
      <w:rPr>
        <w:rStyle w:val="9"/>
        <w:rFonts w:ascii="宋体" w:hAnsi="宋体" w:eastAsia="宋体"/>
        <w:sz w:val="28"/>
      </w:rPr>
      <w:fldChar w:fldCharType="begin"/>
    </w:r>
    <w:r>
      <w:rPr>
        <w:rStyle w:val="9"/>
        <w:rFonts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2</w:t>
    </w:r>
    <w:r>
      <w:rPr>
        <w:rStyle w:val="9"/>
        <w:rFonts w:ascii="宋体" w:hAnsi="宋体" w:eastAsia="宋体"/>
        <w:sz w:val="28"/>
      </w:rPr>
      <w:fldChar w:fldCharType="end"/>
    </w:r>
    <w:r>
      <w:rPr>
        <w:rStyle w:val="9"/>
        <w:rFonts w:hint="eastAsia"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Style w:val="9"/>
        <w:rFonts w:hint="eastAsia" w:ascii="宋体" w:hAnsi="宋体" w:eastAsia="宋体"/>
        <w:sz w:val="28"/>
      </w:rPr>
      <w:t xml:space="preserve">— </w:t>
    </w:r>
    <w:r>
      <w:rPr>
        <w:rStyle w:val="9"/>
        <w:rFonts w:ascii="宋体" w:hAnsi="宋体" w:eastAsia="宋体"/>
        <w:sz w:val="28"/>
      </w:rPr>
      <w:fldChar w:fldCharType="begin"/>
    </w:r>
    <w:r>
      <w:rPr>
        <w:rStyle w:val="9"/>
        <w:rFonts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10</w:t>
    </w:r>
    <w:r>
      <w:rPr>
        <w:rStyle w:val="9"/>
        <w:rFonts w:ascii="宋体" w:hAnsi="宋体" w:eastAsia="宋体"/>
        <w:sz w:val="28"/>
      </w:rPr>
      <w:fldChar w:fldCharType="end"/>
    </w:r>
    <w:r>
      <w:rPr>
        <w:rStyle w:val="9"/>
        <w:rFonts w:hint="eastAsia" w:ascii="宋体" w:hAnsi="宋体" w:eastAsia="宋体"/>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16637F"/>
    <w:multiLevelType w:val="multilevel"/>
    <w:tmpl w:val="0416637F"/>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2C2C07"/>
    <w:multiLevelType w:val="multilevel"/>
    <w:tmpl w:val="102C2C07"/>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79A7341"/>
    <w:multiLevelType w:val="multilevel"/>
    <w:tmpl w:val="279A7341"/>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2F2628"/>
    <w:multiLevelType w:val="multilevel"/>
    <w:tmpl w:val="342F2628"/>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7492703"/>
    <w:multiLevelType w:val="multilevel"/>
    <w:tmpl w:val="67492703"/>
    <w:lvl w:ilvl="0" w:tentative="0">
      <w:start w:val="1"/>
      <w:numFmt w:val="bullet"/>
      <w:lvlText w:val=""/>
      <w:lvlJc w:val="left"/>
      <w:pPr>
        <w:ind w:left="845"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5">
    <w:nsid w:val="7B7C273B"/>
    <w:multiLevelType w:val="multilevel"/>
    <w:tmpl w:val="7B7C273B"/>
    <w:lvl w:ilvl="0" w:tentative="0">
      <w:start w:val="6"/>
      <w:numFmt w:val="decimal"/>
      <w:lvlText w:val="%1"/>
      <w:lvlJc w:val="left"/>
      <w:pPr>
        <w:ind w:left="495" w:hanging="495"/>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1800" w:hanging="1080"/>
      </w:pPr>
      <w:rPr>
        <w:rFonts w:hint="default"/>
      </w:rPr>
    </w:lvl>
    <w:lvl w:ilvl="3" w:tentative="0">
      <w:start w:val="1"/>
      <w:numFmt w:val="decimal"/>
      <w:lvlText w:val="%1.%2.%3.%4"/>
      <w:lvlJc w:val="left"/>
      <w:pPr>
        <w:ind w:left="2160" w:hanging="1080"/>
      </w:pPr>
      <w:rPr>
        <w:rFonts w:hint="default"/>
      </w:rPr>
    </w:lvl>
    <w:lvl w:ilvl="4" w:tentative="0">
      <w:start w:val="1"/>
      <w:numFmt w:val="decimal"/>
      <w:lvlText w:val="%1.%2.%3.%4.%5"/>
      <w:lvlJc w:val="left"/>
      <w:pPr>
        <w:ind w:left="2880" w:hanging="1440"/>
      </w:pPr>
      <w:rPr>
        <w:rFonts w:hint="default"/>
      </w:rPr>
    </w:lvl>
    <w:lvl w:ilvl="5" w:tentative="0">
      <w:start w:val="1"/>
      <w:numFmt w:val="decimal"/>
      <w:lvlText w:val="%1.%2.%3.%4.%5.%6"/>
      <w:lvlJc w:val="left"/>
      <w:pPr>
        <w:ind w:left="3600" w:hanging="1800"/>
      </w:pPr>
      <w:rPr>
        <w:rFonts w:hint="default"/>
      </w:rPr>
    </w:lvl>
    <w:lvl w:ilvl="6" w:tentative="0">
      <w:start w:val="1"/>
      <w:numFmt w:val="decimal"/>
      <w:lvlText w:val="%1.%2.%3.%4.%5.%6.%7"/>
      <w:lvlJc w:val="left"/>
      <w:pPr>
        <w:ind w:left="4320" w:hanging="2160"/>
      </w:pPr>
      <w:rPr>
        <w:rFonts w:hint="default"/>
      </w:rPr>
    </w:lvl>
    <w:lvl w:ilvl="7" w:tentative="0">
      <w:start w:val="1"/>
      <w:numFmt w:val="decimal"/>
      <w:lvlText w:val="%1.%2.%3.%4.%5.%6.%7.%8"/>
      <w:lvlJc w:val="left"/>
      <w:pPr>
        <w:ind w:left="5040" w:hanging="2520"/>
      </w:pPr>
      <w:rPr>
        <w:rFonts w:hint="default"/>
      </w:rPr>
    </w:lvl>
    <w:lvl w:ilvl="8" w:tentative="0">
      <w:start w:val="1"/>
      <w:numFmt w:val="decimal"/>
      <w:lvlText w:val="%1.%2.%3.%4.%5.%6.%7.%8.%9"/>
      <w:lvlJc w:val="left"/>
      <w:pPr>
        <w:ind w:left="5760" w:hanging="2880"/>
      </w:pPr>
      <w:rPr>
        <w:rFonts w:hint="default"/>
      </w:rPr>
    </w:lvl>
  </w:abstractNum>
  <w:num w:numId="1">
    <w:abstractNumId w:val="3"/>
  </w:num>
  <w:num w:numId="2">
    <w:abstractNumId w:val="0"/>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795"/>
    <w:rsid w:val="00033DE3"/>
    <w:rsid w:val="000856FF"/>
    <w:rsid w:val="00090437"/>
    <w:rsid w:val="00382A9E"/>
    <w:rsid w:val="00386A2C"/>
    <w:rsid w:val="003C13EA"/>
    <w:rsid w:val="003E0812"/>
    <w:rsid w:val="004331FB"/>
    <w:rsid w:val="0057213F"/>
    <w:rsid w:val="005B240E"/>
    <w:rsid w:val="006D4795"/>
    <w:rsid w:val="00800634"/>
    <w:rsid w:val="009334B0"/>
    <w:rsid w:val="00C40FAD"/>
    <w:rsid w:val="00C976CC"/>
    <w:rsid w:val="00D0606E"/>
    <w:rsid w:val="00E87163"/>
    <w:rsid w:val="00EC6F33"/>
    <w:rsid w:val="00F22320"/>
    <w:rsid w:val="00FE60BC"/>
    <w:rsid w:val="00FF40B5"/>
    <w:rsid w:val="0F6251CC"/>
    <w:rsid w:val="151369DF"/>
    <w:rsid w:val="16DD421C"/>
    <w:rsid w:val="1BC7757F"/>
    <w:rsid w:val="386245BA"/>
    <w:rsid w:val="38A163AA"/>
    <w:rsid w:val="39BD1C2B"/>
    <w:rsid w:val="3AC10763"/>
    <w:rsid w:val="3D791A36"/>
    <w:rsid w:val="46895F6E"/>
    <w:rsid w:val="469C45D5"/>
    <w:rsid w:val="5645057E"/>
    <w:rsid w:val="564F31B6"/>
    <w:rsid w:val="5E802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4"/>
    <w:qFormat/>
    <w:uiPriority w:val="0"/>
    <w:pPr>
      <w:keepNext/>
      <w:keepLines/>
      <w:spacing w:before="260" w:after="260" w:line="360" w:lineRule="auto"/>
      <w:outlineLvl w:val="2"/>
    </w:pPr>
    <w:rPr>
      <w:rFonts w:ascii="楷体_GB2312" w:hAnsi="Arial" w:eastAsia="楷体_GB2312"/>
      <w:b/>
      <w:sz w:val="24"/>
      <w:szCs w:val="20"/>
    </w:rPr>
  </w:style>
  <w:style w:type="paragraph" w:styleId="5">
    <w:name w:val="heading 4"/>
    <w:basedOn w:val="1"/>
    <w:next w:val="1"/>
    <w:qFormat/>
    <w:uiPriority w:val="0"/>
    <w:pPr>
      <w:keepNext/>
      <w:jc w:val="center"/>
      <w:outlineLvl w:val="3"/>
    </w:pPr>
    <w:rPr>
      <w:rFonts w:ascii="Arial" w:hAnsi="Arial" w:cs="Arial"/>
      <w:b/>
      <w:bCs/>
      <w:sz w:val="1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szCs w:val="18"/>
    </w:rPr>
  </w:style>
  <w:style w:type="character" w:styleId="9">
    <w:name w:val="page number"/>
    <w:qFormat/>
    <w:uiPriority w:val="0"/>
  </w:style>
  <w:style w:type="paragraph" w:customStyle="1" w:styleId="10">
    <w:name w:val="CCB正文"/>
    <w:basedOn w:val="1"/>
    <w:qFormat/>
    <w:uiPriority w:val="0"/>
    <w:pPr>
      <w:spacing w:line="360" w:lineRule="auto"/>
      <w:ind w:firstLine="560" w:firstLineChars="200"/>
    </w:pPr>
    <w:rPr>
      <w:rFonts w:ascii="宋体" w:hAnsi="宋体" w:eastAsia="彩虹粗仿宋"/>
      <w:sz w:val="24"/>
      <w:szCs w:val="28"/>
    </w:rPr>
  </w:style>
  <w:style w:type="paragraph" w:customStyle="1" w:styleId="11">
    <w:name w:val="Default"/>
    <w:unhideWhenUsed/>
    <w:qFormat/>
    <w:uiPriority w:val="0"/>
    <w:pPr>
      <w:widowControl w:val="0"/>
      <w:autoSpaceDE w:val="0"/>
      <w:autoSpaceDN w:val="0"/>
      <w:adjustRightInd w:val="0"/>
      <w:spacing w:after="160" w:line="278" w:lineRule="auto"/>
    </w:pPr>
    <w:rPr>
      <w:rFonts w:ascii="CHCFS" w:hAnsi="CHCFS" w:eastAsia="CHCFS" w:cs="Times New Roman"/>
      <w:color w:val="000000"/>
      <w:sz w:val="24"/>
      <w:szCs w:val="24"/>
      <w:lang w:val="en-US" w:eastAsia="zh-CN" w:bidi="ar-SA"/>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package" Target="embeddings/Workbook1.xlsx"/><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11</Pages>
  <Words>3931</Words>
  <Characters>4040</Characters>
  <Lines>250</Lines>
  <Paragraphs>137</Paragraphs>
  <TotalTime>57</TotalTime>
  <ScaleCrop>false</ScaleCrop>
  <LinksUpToDate>false</LinksUpToDate>
  <CharactersWithSpaces>4097</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2025-10-30T04:56:00Z</dcterms:created>
  <dc:creator>Apache POI</dc:creator>
  <cp:lastModifiedBy>李月</cp:lastModifiedBy>
  <dcterms:modified xsi:type="dcterms:W3CDTF">2025-11-20T08:59:56Z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03AA99FB2FBA421780DA71A7A624544C_13</vt:lpwstr>
  </property>
</Properties>
</file>