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B66C93">
      <w:pPr>
        <w:widowControl/>
        <w:shd w:val="clear" w:color="auto" w:fill="FFFFFF"/>
        <w:tabs>
          <w:tab w:val="left" w:pos="7350"/>
        </w:tabs>
        <w:spacing w:line="24" w:lineRule="atLeast"/>
        <w:jc w:val="left"/>
        <w:rPr>
          <w:rFonts w:ascii="Helvetica" w:hAnsi="Helvetica" w:eastAsia="Helvetica" w:cs="Helvetica"/>
          <w:szCs w:val="21"/>
        </w:rPr>
      </w:pPr>
      <w:bookmarkStart w:id="2" w:name="_GoBack"/>
      <w:r>
        <w:rPr>
          <w:rFonts w:ascii="微软雅黑" w:hAnsi="微软雅黑" w:eastAsia="微软雅黑" w:cs="微软雅黑"/>
          <w:b/>
          <w:bCs/>
          <w:kern w:val="0"/>
          <w:sz w:val="27"/>
          <w:szCs w:val="27"/>
          <w:shd w:val="clear" w:color="auto" w:fill="FFFFFF"/>
          <w:lang w:bidi="ar"/>
        </w:rPr>
        <w:t>一、招标公告内容：</w:t>
      </w:r>
    </w:p>
    <w:p w14:paraId="06D1C8C2">
      <w:pPr>
        <w:widowControl/>
        <w:shd w:val="clear" w:color="auto" w:fill="FFFFFF"/>
        <w:spacing w:line="420" w:lineRule="atLeast"/>
        <w:jc w:val="left"/>
        <w:rPr>
          <w:rFonts w:ascii="Helvetica" w:hAnsi="Helvetica" w:eastAsia="Helvetica" w:cs="Helvetica"/>
          <w:szCs w:val="21"/>
        </w:rPr>
      </w:pPr>
      <w:r>
        <w:rPr>
          <w:rFonts w:ascii="仿宋" w:hAnsi="仿宋" w:eastAsia="仿宋" w:cs="仿宋"/>
          <w:b/>
          <w:bCs/>
          <w:kern w:val="0"/>
          <w:sz w:val="24"/>
          <w:szCs w:val="24"/>
          <w:shd w:val="clear" w:color="auto" w:fill="FFFFFF"/>
          <w:lang w:bidi="ar"/>
        </w:rPr>
        <w:t>（</w:t>
      </w:r>
      <w:r>
        <w:rPr>
          <w:rFonts w:hint="eastAsia" w:ascii="仿宋" w:hAnsi="仿宋" w:eastAsia="仿宋" w:cs="仿宋"/>
          <w:b/>
          <w:bCs/>
          <w:kern w:val="0"/>
          <w:sz w:val="24"/>
          <w:szCs w:val="24"/>
          <w:shd w:val="clear" w:color="auto" w:fill="FFFFFF"/>
          <w:lang w:bidi="ar"/>
        </w:rPr>
        <w:t>1）、招标条件</w:t>
      </w:r>
    </w:p>
    <w:p w14:paraId="65783803">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本项目</w:t>
      </w:r>
      <w:r>
        <w:rPr>
          <w:rFonts w:hint="eastAsia" w:ascii="仿宋" w:hAnsi="仿宋" w:eastAsia="仿宋" w:cs="仿宋"/>
          <w:kern w:val="0"/>
          <w:sz w:val="24"/>
          <w:szCs w:val="24"/>
          <w:u w:val="single"/>
          <w:shd w:val="clear" w:color="auto" w:fill="FFFFFF"/>
          <w:lang w:bidi="ar"/>
        </w:rPr>
        <w:t>智能健康预警服务项目</w:t>
      </w:r>
      <w:r>
        <w:rPr>
          <w:rFonts w:hint="eastAsia" w:ascii="仿宋" w:hAnsi="仿宋" w:eastAsia="仿宋" w:cs="仿宋"/>
          <w:kern w:val="0"/>
          <w:sz w:val="24"/>
          <w:szCs w:val="24"/>
          <w:shd w:val="clear" w:color="auto" w:fill="FFFFFF"/>
          <w:lang w:bidi="ar"/>
        </w:rPr>
        <w:t>（招标编号：</w:t>
      </w:r>
      <w:bookmarkStart w:id="0" w:name="OLE_LINK3"/>
      <w:r>
        <w:rPr>
          <w:rFonts w:ascii="仿宋" w:hAnsi="仿宋" w:eastAsia="仿宋" w:cs="仿宋"/>
          <w:kern w:val="0"/>
          <w:sz w:val="24"/>
          <w:szCs w:val="24"/>
          <w:shd w:val="clear" w:color="auto" w:fill="FFFFFF"/>
          <w:lang w:bidi="ar"/>
        </w:rPr>
        <w:t>AILIFANG-2025-013</w:t>
      </w:r>
      <w:bookmarkEnd w:id="0"/>
      <w:r>
        <w:rPr>
          <w:rFonts w:hint="eastAsia" w:ascii="仿宋" w:hAnsi="仿宋" w:eastAsia="仿宋" w:cs="仿宋"/>
          <w:kern w:val="0"/>
          <w:sz w:val="24"/>
          <w:szCs w:val="24"/>
          <w:shd w:val="clear" w:color="auto" w:fill="FFFFFF"/>
          <w:lang w:bidi="ar"/>
        </w:rPr>
        <w:t>）已由</w:t>
      </w:r>
      <w:r>
        <w:rPr>
          <w:rFonts w:ascii="Calibri" w:hAnsi="Calibri" w:eastAsia="Helvetica" w:cs="Calibri"/>
          <w:kern w:val="0"/>
          <w:sz w:val="24"/>
          <w:szCs w:val="24"/>
          <w:u w:val="single"/>
          <w:shd w:val="clear" w:color="auto" w:fill="FFFFFF"/>
          <w:lang w:bidi="ar"/>
        </w:rPr>
        <w:t> </w:t>
      </w:r>
      <w:r>
        <w:rPr>
          <w:rFonts w:hint="eastAsia" w:ascii="仿宋" w:hAnsi="仿宋" w:eastAsia="仿宋" w:cs="仿宋"/>
          <w:kern w:val="0"/>
          <w:sz w:val="24"/>
          <w:szCs w:val="24"/>
          <w:u w:val="single"/>
          <w:shd w:val="clear" w:color="auto" w:fill="FFFFFF"/>
          <w:lang w:bidi="ar"/>
        </w:rPr>
        <w:t>大连爱立方健康管理有限公司</w:t>
      </w:r>
      <w:r>
        <w:rPr>
          <w:rFonts w:ascii="Calibri" w:hAnsi="Calibri" w:eastAsia="Helvetica" w:cs="Calibri"/>
          <w:kern w:val="0"/>
          <w:sz w:val="24"/>
          <w:szCs w:val="24"/>
          <w:u w:val="single"/>
          <w:shd w:val="clear" w:color="auto" w:fill="FFFFFF"/>
          <w:lang w:bidi="ar"/>
        </w:rPr>
        <w:t> </w:t>
      </w:r>
      <w:r>
        <w:rPr>
          <w:rFonts w:hint="eastAsia" w:ascii="仿宋" w:hAnsi="仿宋" w:eastAsia="仿宋" w:cs="仿宋"/>
          <w:kern w:val="0"/>
          <w:sz w:val="24"/>
          <w:szCs w:val="24"/>
          <w:shd w:val="clear" w:color="auto" w:fill="FFFFFF"/>
          <w:lang w:bidi="ar"/>
        </w:rPr>
        <w:t>（以下简称“招标人”）批准并落实资金，现就本项目进行公开招标，有意向的潜在投标人（以下简称“投标人”）可前来投标。</w:t>
      </w:r>
    </w:p>
    <w:p w14:paraId="4152B600">
      <w:pPr>
        <w:widowControl/>
        <w:shd w:val="clear" w:color="auto" w:fill="FFFFFF"/>
        <w:spacing w:line="420" w:lineRule="atLeast"/>
        <w:jc w:val="left"/>
        <w:rPr>
          <w:rFonts w:ascii="Helvetica" w:hAnsi="Helvetica" w:eastAsia="Helvetica" w:cs="Helvetica"/>
          <w:szCs w:val="21"/>
        </w:rPr>
      </w:pPr>
      <w:r>
        <w:rPr>
          <w:rFonts w:hint="eastAsia" w:ascii="仿宋" w:hAnsi="仿宋" w:eastAsia="仿宋" w:cs="仿宋"/>
          <w:b/>
          <w:bCs/>
          <w:kern w:val="0"/>
          <w:sz w:val="24"/>
          <w:szCs w:val="24"/>
          <w:shd w:val="clear" w:color="auto" w:fill="FFFFFF"/>
          <w:lang w:bidi="ar"/>
        </w:rPr>
        <w:t>（2）、项目概况与招标范围</w:t>
      </w:r>
    </w:p>
    <w:p w14:paraId="60068C1F">
      <w:pPr>
        <w:widowControl/>
        <w:shd w:val="clear" w:color="auto" w:fill="FFFFFF"/>
        <w:spacing w:line="273" w:lineRule="atLeast"/>
        <w:ind w:firstLine="480"/>
        <w:jc w:val="left"/>
        <w:rPr>
          <w:rFonts w:ascii="Helvetica" w:hAnsi="Helvetica" w:eastAsia="仿宋" w:cs="Helvetica"/>
          <w:szCs w:val="21"/>
        </w:rPr>
      </w:pPr>
      <w:r>
        <w:rPr>
          <w:rFonts w:hint="eastAsia" w:ascii="仿宋" w:hAnsi="仿宋" w:eastAsia="仿宋" w:cs="仿宋"/>
          <w:b/>
          <w:bCs/>
          <w:kern w:val="0"/>
          <w:sz w:val="24"/>
          <w:szCs w:val="24"/>
          <w:shd w:val="clear" w:color="auto" w:fill="FFFFFF"/>
          <w:lang w:bidi="ar"/>
        </w:rPr>
        <w:t>2.1项目名称：</w:t>
      </w:r>
      <w:r>
        <w:rPr>
          <w:rFonts w:hint="eastAsia" w:ascii="仿宋" w:hAnsi="仿宋" w:eastAsia="仿宋" w:cs="仿宋"/>
          <w:kern w:val="0"/>
          <w:sz w:val="24"/>
          <w:szCs w:val="24"/>
          <w:u w:val="single"/>
          <w:shd w:val="clear" w:color="auto" w:fill="FFFFFF"/>
          <w:lang w:bidi="ar"/>
        </w:rPr>
        <w:t>智能健康预警服务项目</w:t>
      </w:r>
    </w:p>
    <w:p w14:paraId="6C5E48A2">
      <w:pPr>
        <w:widowControl/>
        <w:shd w:val="clear" w:color="auto" w:fill="FFFFFF"/>
        <w:spacing w:line="273" w:lineRule="atLeast"/>
        <w:ind w:firstLine="480"/>
        <w:jc w:val="left"/>
        <w:rPr>
          <w:rFonts w:hint="eastAsia" w:ascii="仿宋" w:hAnsi="仿宋" w:eastAsia="仿宋" w:cs="仿宋"/>
          <w:kern w:val="0"/>
          <w:sz w:val="24"/>
          <w:szCs w:val="24"/>
          <w:shd w:val="clear" w:color="auto" w:fill="FFFFFF"/>
          <w:lang w:bidi="ar"/>
        </w:rPr>
      </w:pPr>
      <w:r>
        <w:rPr>
          <w:rFonts w:hint="eastAsia" w:ascii="仿宋" w:hAnsi="仿宋" w:eastAsia="仿宋" w:cs="仿宋"/>
          <w:b/>
          <w:bCs/>
          <w:kern w:val="0"/>
          <w:sz w:val="24"/>
          <w:szCs w:val="24"/>
          <w:shd w:val="clear" w:color="auto" w:fill="FFFFFF"/>
          <w:lang w:bidi="ar"/>
        </w:rPr>
        <w:t>2.2招标范围：</w:t>
      </w:r>
      <w:r>
        <w:rPr>
          <w:rFonts w:hint="eastAsia" w:ascii="仿宋" w:hAnsi="仿宋" w:eastAsia="仿宋" w:cs="仿宋"/>
          <w:kern w:val="0"/>
          <w:sz w:val="24"/>
          <w:szCs w:val="24"/>
          <w:shd w:val="clear" w:color="auto" w:fill="FFFFFF"/>
          <w:lang w:bidi="ar"/>
        </w:rPr>
        <w:t>本项目拟选定</w:t>
      </w:r>
      <w:r>
        <w:rPr>
          <w:rFonts w:hint="eastAsia" w:ascii="仿宋" w:hAnsi="仿宋" w:eastAsia="仿宋" w:cs="仿宋"/>
          <w:kern w:val="0"/>
          <w:sz w:val="24"/>
          <w:szCs w:val="24"/>
          <w:u w:val="single"/>
          <w:shd w:val="clear" w:color="auto" w:fill="FFFFFF"/>
          <w:lang w:bidi="ar"/>
        </w:rPr>
        <w:t>1家</w:t>
      </w:r>
      <w:r>
        <w:rPr>
          <w:rFonts w:hint="eastAsia" w:ascii="仿宋" w:hAnsi="仿宋" w:eastAsia="仿宋" w:cs="仿宋"/>
          <w:kern w:val="0"/>
          <w:sz w:val="24"/>
          <w:szCs w:val="24"/>
          <w:shd w:val="clear" w:color="auto" w:fill="FFFFFF"/>
          <w:lang w:bidi="ar"/>
        </w:rPr>
        <w:t>供应商，为招标人实施</w:t>
      </w:r>
      <w:r>
        <w:rPr>
          <w:rFonts w:hint="eastAsia" w:ascii="仿宋" w:hAnsi="仿宋" w:eastAsia="仿宋" w:cs="仿宋"/>
          <w:kern w:val="0"/>
          <w:sz w:val="24"/>
          <w:szCs w:val="24"/>
          <w:u w:val="single"/>
          <w:shd w:val="clear" w:color="auto" w:fill="FFFFFF"/>
          <w:lang w:bidi="ar"/>
        </w:rPr>
        <w:t>智能健康预警服务项目</w:t>
      </w:r>
      <w:r>
        <w:rPr>
          <w:rFonts w:hint="eastAsia" w:ascii="仿宋" w:hAnsi="仿宋" w:eastAsia="仿宋" w:cs="仿宋"/>
          <w:kern w:val="0"/>
          <w:sz w:val="24"/>
          <w:szCs w:val="24"/>
          <w:shd w:val="clear" w:color="auto" w:fill="FFFFFF"/>
          <w:lang w:bidi="ar"/>
        </w:rPr>
        <w:t>。</w:t>
      </w:r>
    </w:p>
    <w:p w14:paraId="4E692B14">
      <w:pPr>
        <w:widowControl/>
        <w:topLinePunct/>
        <w:spacing w:line="360" w:lineRule="auto"/>
        <w:ind w:firstLine="482"/>
        <w:rPr>
          <w:rFonts w:hint="eastAsia" w:ascii="仿宋" w:hAnsi="仿宋" w:eastAsia="仿宋" w:cs="仿宋"/>
          <w:kern w:val="0"/>
          <w:sz w:val="24"/>
          <w:szCs w:val="24"/>
          <w:shd w:val="clear" w:color="auto" w:fill="FFFFFF"/>
          <w:lang w:bidi="ar"/>
        </w:rPr>
      </w:pPr>
      <w:r>
        <w:rPr>
          <w:rFonts w:hint="eastAsia" w:ascii="仿宋" w:hAnsi="仿宋" w:eastAsia="仿宋" w:cs="仿宋"/>
          <w:b/>
          <w:bCs/>
          <w:kern w:val="0"/>
          <w:sz w:val="24"/>
          <w:szCs w:val="24"/>
          <w:shd w:val="clear" w:color="auto" w:fill="FFFFFF"/>
          <w:lang w:bidi="ar"/>
        </w:rPr>
        <w:t>2.3采购需求</w:t>
      </w:r>
      <w:r>
        <w:rPr>
          <w:rFonts w:hint="eastAsia" w:ascii="仿宋" w:hAnsi="仿宋" w:eastAsia="仿宋" w:cs="仿宋"/>
          <w:kern w:val="0"/>
          <w:sz w:val="24"/>
          <w:szCs w:val="24"/>
          <w:shd w:val="clear" w:color="auto" w:fill="FFFFFF"/>
          <w:lang w:bidi="ar"/>
        </w:rPr>
        <w:t>：</w:t>
      </w:r>
      <w:bookmarkStart w:id="1" w:name="OLE_LINK1"/>
      <w:r>
        <w:rPr>
          <w:rFonts w:hint="eastAsia" w:ascii="仿宋" w:hAnsi="仿宋" w:eastAsia="仿宋" w:cs="仿宋"/>
          <w:kern w:val="0"/>
          <w:sz w:val="24"/>
          <w:szCs w:val="24"/>
          <w:shd w:val="clear" w:color="auto" w:fill="FFFFFF"/>
          <w:lang w:bidi="ar"/>
        </w:rPr>
        <w:t>本</w:t>
      </w:r>
      <w:r>
        <w:rPr>
          <w:rFonts w:ascii="仿宋" w:hAnsi="仿宋" w:eastAsia="仿宋" w:cs="仿宋"/>
          <w:kern w:val="0"/>
          <w:sz w:val="24"/>
          <w:szCs w:val="24"/>
          <w:shd w:val="clear" w:color="auto" w:fill="FFFFFF"/>
          <w:lang w:bidi="ar"/>
        </w:rPr>
        <w:t>项目需开发一款搭载SIFLI567+ASR1606芯片平台等特定硬件参数的智能健康手表，配套软件需实现多维度健康监测与智能预警、数据处理与分析、适配青中老年的交互体验等核心功能，同时满足数据安全合规、兼容性、稳定性及验收标准等要求。</w:t>
      </w:r>
      <w:bookmarkEnd w:id="1"/>
    </w:p>
    <w:p w14:paraId="38881157">
      <w:pPr>
        <w:widowControl/>
        <w:shd w:val="clear" w:color="auto" w:fill="FFFFFF"/>
        <w:spacing w:line="273" w:lineRule="atLeast"/>
        <w:ind w:firstLine="480"/>
        <w:jc w:val="left"/>
        <w:rPr>
          <w:rFonts w:hint="eastAsia" w:ascii="仿宋" w:hAnsi="仿宋" w:eastAsia="仿宋" w:cs="仿宋"/>
          <w:b/>
          <w:bCs/>
          <w:kern w:val="0"/>
          <w:sz w:val="24"/>
          <w:szCs w:val="24"/>
          <w:shd w:val="clear" w:color="auto" w:fill="FFFFFF"/>
          <w:lang w:bidi="ar"/>
        </w:rPr>
      </w:pPr>
      <w:r>
        <w:rPr>
          <w:rFonts w:hint="eastAsia" w:ascii="仿宋" w:hAnsi="仿宋" w:eastAsia="仿宋" w:cs="仿宋"/>
          <w:b/>
          <w:bCs/>
          <w:kern w:val="0"/>
          <w:sz w:val="24"/>
          <w:szCs w:val="24"/>
          <w:shd w:val="clear" w:color="auto" w:fill="FFFFFF"/>
          <w:lang w:bidi="ar"/>
        </w:rPr>
        <w:t>2.4</w:t>
      </w:r>
      <w:r>
        <w:rPr>
          <w:rFonts w:hint="eastAsia" w:ascii="仿宋" w:hAnsi="仿宋" w:eastAsia="仿宋" w:cs="仿宋"/>
          <w:b/>
          <w:bCs/>
          <w:kern w:val="0"/>
          <w:sz w:val="24"/>
          <w:szCs w:val="24"/>
        </w:rPr>
        <w:t>项目要求</w:t>
      </w:r>
      <w:r>
        <w:rPr>
          <w:rFonts w:hint="eastAsia" w:ascii="仿宋" w:hAnsi="仿宋" w:eastAsia="仿宋" w:cs="仿宋"/>
          <w:b/>
          <w:bCs/>
          <w:kern w:val="0"/>
          <w:sz w:val="24"/>
          <w:szCs w:val="24"/>
          <w:shd w:val="clear" w:color="auto" w:fill="FFFFFF"/>
          <w:lang w:bidi="ar"/>
        </w:rPr>
        <w:t>：</w:t>
      </w:r>
    </w:p>
    <w:p w14:paraId="1423E888">
      <w:pPr>
        <w:spacing w:line="400" w:lineRule="atLeast"/>
        <w:ind w:firstLine="480" w:firstLineChars="200"/>
        <w:rPr>
          <w:rFonts w:hint="eastAsia" w:ascii="仿宋" w:hAnsi="仿宋" w:eastAsia="仿宋" w:cs="仿宋"/>
          <w:kern w:val="0"/>
          <w:sz w:val="24"/>
          <w:szCs w:val="24"/>
          <w:u w:val="single"/>
          <w:shd w:val="clear" w:color="auto" w:fill="FFFFFF"/>
          <w:lang w:bidi="ar"/>
        </w:rPr>
      </w:pPr>
      <w:r>
        <w:rPr>
          <w:rFonts w:hint="eastAsia" w:ascii="仿宋" w:hAnsi="仿宋" w:eastAsia="仿宋" w:cs="仿宋"/>
          <w:kern w:val="0"/>
          <w:sz w:val="24"/>
          <w:szCs w:val="24"/>
          <w:u w:val="single"/>
          <w:shd w:val="clear" w:color="auto" w:fill="FFFFFF"/>
          <w:lang w:bidi="ar"/>
        </w:rPr>
        <w:t>2.4.1</w:t>
      </w:r>
      <w:r>
        <w:rPr>
          <w:rFonts w:hint="eastAsia" w:ascii="仿宋" w:hAnsi="仿宋" w:eastAsia="仿宋" w:cs="仿宋"/>
          <w:kern w:val="0"/>
          <w:sz w:val="24"/>
          <w:szCs w:val="24"/>
          <w:u w:val="single"/>
        </w:rPr>
        <w:t>手表设备参数要求</w:t>
      </w:r>
      <w:r>
        <w:rPr>
          <w:rFonts w:hint="eastAsia" w:ascii="仿宋" w:hAnsi="仿宋" w:eastAsia="仿宋" w:cs="仿宋"/>
          <w:kern w:val="0"/>
          <w:sz w:val="24"/>
          <w:szCs w:val="24"/>
          <w:u w:val="single"/>
          <w:shd w:val="clear" w:color="auto" w:fill="FFFFFF"/>
          <w:lang w:bidi="ar"/>
        </w:rPr>
        <w:t xml:space="preserve"> </w:t>
      </w:r>
    </w:p>
    <w:tbl>
      <w:tblPr>
        <w:tblStyle w:val="7"/>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349"/>
        <w:gridCol w:w="1883"/>
        <w:gridCol w:w="4067"/>
        <w:gridCol w:w="17"/>
      </w:tblGrid>
      <w:tr w14:paraId="4FDBD1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blHeader/>
          <w:jc w:val="center"/>
        </w:trPr>
        <w:tc>
          <w:tcPr>
            <w:tcW w:w="5000" w:type="pct"/>
            <w:gridSpan w:val="4"/>
            <w:noWrap w:val="0"/>
            <w:vAlign w:val="center"/>
          </w:tcPr>
          <w:p w14:paraId="7BC21227">
            <w:pPr>
              <w:pStyle w:val="18"/>
              <w:adjustRightInd w:val="0"/>
              <w:snapToGrid w:val="0"/>
              <w:spacing w:before="100" w:beforeAutospacing="1"/>
              <w:jc w:val="center"/>
              <w:rPr>
                <w:rFonts w:hint="eastAsia" w:ascii="仿宋" w:hAnsi="仿宋" w:eastAsia="仿宋" w:cs="仿宋"/>
                <w:b/>
                <w:sz w:val="24"/>
                <w:szCs w:val="24"/>
              </w:rPr>
            </w:pPr>
            <w:r>
              <w:rPr>
                <w:rFonts w:hint="eastAsia" w:ascii="仿宋" w:hAnsi="仿宋" w:eastAsia="仿宋" w:cs="仿宋"/>
                <w:b/>
                <w:bCs/>
                <w:spacing w:val="8"/>
                <w:sz w:val="32"/>
                <w:szCs w:val="32"/>
              </w:rPr>
              <w:t>产品规格</w:t>
            </w:r>
          </w:p>
        </w:tc>
      </w:tr>
      <w:tr w14:paraId="4C61AF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413" w:type="pct"/>
            <w:shd w:val="clear" w:color="auto" w:fill="A6A6A6"/>
            <w:noWrap w:val="0"/>
            <w:vAlign w:val="center"/>
          </w:tcPr>
          <w:p w14:paraId="51CED8C0">
            <w:pPr>
              <w:pStyle w:val="18"/>
              <w:snapToGrid w:val="0"/>
              <w:spacing w:before="107"/>
              <w:jc w:val="left"/>
              <w:rPr>
                <w:rFonts w:hint="eastAsia" w:ascii="仿宋" w:hAnsi="仿宋" w:eastAsia="仿宋" w:cs="仿宋"/>
                <w:sz w:val="24"/>
                <w:szCs w:val="24"/>
              </w:rPr>
            </w:pPr>
            <w:r>
              <w:rPr>
                <w:rFonts w:hint="eastAsia" w:ascii="仿宋" w:hAnsi="仿宋" w:eastAsia="仿宋" w:cs="仿宋"/>
                <w:b/>
                <w:bCs/>
                <w:spacing w:val="-1"/>
                <w:sz w:val="24"/>
                <w:szCs w:val="24"/>
              </w:rPr>
              <w:t>产品概述/Outlined</w:t>
            </w:r>
          </w:p>
        </w:tc>
        <w:tc>
          <w:tcPr>
            <w:tcW w:w="1132" w:type="pct"/>
            <w:shd w:val="clear" w:color="auto" w:fill="A6A6A6"/>
            <w:noWrap w:val="0"/>
            <w:vAlign w:val="center"/>
          </w:tcPr>
          <w:p w14:paraId="5562A275">
            <w:pPr>
              <w:pStyle w:val="18"/>
              <w:snapToGrid w:val="0"/>
              <w:spacing w:before="108"/>
              <w:jc w:val="left"/>
              <w:rPr>
                <w:rFonts w:hint="eastAsia" w:ascii="仿宋" w:hAnsi="仿宋" w:eastAsia="仿宋" w:cs="仿宋"/>
                <w:sz w:val="24"/>
                <w:szCs w:val="24"/>
              </w:rPr>
            </w:pPr>
            <w:r>
              <w:rPr>
                <w:rFonts w:hint="eastAsia" w:ascii="仿宋" w:hAnsi="仿宋" w:eastAsia="仿宋" w:cs="仿宋"/>
                <w:b/>
                <w:bCs/>
                <w:spacing w:val="-2"/>
                <w:sz w:val="24"/>
                <w:szCs w:val="24"/>
              </w:rPr>
              <w:t>定义项目/</w:t>
            </w:r>
            <w:r>
              <w:rPr>
                <w:rFonts w:hint="eastAsia" w:ascii="仿宋" w:hAnsi="仿宋" w:eastAsia="仿宋" w:cs="仿宋"/>
                <w:b/>
                <w:bCs/>
                <w:spacing w:val="11"/>
                <w:sz w:val="24"/>
                <w:szCs w:val="24"/>
              </w:rPr>
              <w:t xml:space="preserve"> </w:t>
            </w:r>
            <w:r>
              <w:rPr>
                <w:rFonts w:hint="eastAsia" w:ascii="仿宋" w:hAnsi="仿宋" w:eastAsia="仿宋" w:cs="仿宋"/>
                <w:b/>
                <w:bCs/>
                <w:spacing w:val="-2"/>
                <w:sz w:val="24"/>
                <w:szCs w:val="24"/>
              </w:rPr>
              <w:t>Item</w:t>
            </w:r>
          </w:p>
        </w:tc>
        <w:tc>
          <w:tcPr>
            <w:tcW w:w="2453" w:type="pct"/>
            <w:gridSpan w:val="2"/>
            <w:shd w:val="clear" w:color="auto" w:fill="A6A6A6"/>
            <w:noWrap w:val="0"/>
            <w:vAlign w:val="center"/>
          </w:tcPr>
          <w:p w14:paraId="37480229">
            <w:pPr>
              <w:pStyle w:val="18"/>
              <w:snapToGrid w:val="0"/>
              <w:spacing w:before="107"/>
              <w:jc w:val="left"/>
              <w:rPr>
                <w:rFonts w:hint="eastAsia" w:ascii="仿宋" w:hAnsi="仿宋" w:eastAsia="仿宋" w:cs="仿宋"/>
                <w:sz w:val="24"/>
                <w:szCs w:val="24"/>
              </w:rPr>
            </w:pPr>
            <w:r>
              <w:rPr>
                <w:rFonts w:hint="eastAsia" w:ascii="仿宋" w:hAnsi="仿宋" w:eastAsia="仿宋" w:cs="仿宋"/>
                <w:b/>
                <w:bCs/>
                <w:spacing w:val="-1"/>
                <w:sz w:val="24"/>
                <w:szCs w:val="24"/>
              </w:rPr>
              <w:t>产品定义/Definition</w:t>
            </w:r>
          </w:p>
        </w:tc>
      </w:tr>
      <w:tr w14:paraId="20F8E8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413" w:type="pct"/>
            <w:tcBorders>
              <w:top w:val="nil"/>
            </w:tcBorders>
            <w:noWrap w:val="0"/>
            <w:vAlign w:val="center"/>
          </w:tcPr>
          <w:p w14:paraId="0626CC86">
            <w:pPr>
              <w:snapToGrid w:val="0"/>
              <w:jc w:val="left"/>
              <w:rPr>
                <w:rFonts w:hint="eastAsia" w:ascii="仿宋" w:hAnsi="仿宋" w:eastAsia="仿宋" w:cs="仿宋"/>
                <w:sz w:val="24"/>
                <w:szCs w:val="24"/>
                <w:lang w:eastAsia="en-US"/>
              </w:rPr>
            </w:pPr>
            <w:r>
              <w:rPr>
                <w:rFonts w:hint="eastAsia" w:ascii="仿宋" w:hAnsi="仿宋" w:eastAsia="仿宋" w:cs="仿宋"/>
                <w:sz w:val="24"/>
                <w:szCs w:val="24"/>
                <w:lang w:eastAsia="en-US"/>
              </w:rPr>
              <w:t>产品信息</w:t>
            </w:r>
          </w:p>
        </w:tc>
        <w:tc>
          <w:tcPr>
            <w:tcW w:w="1132" w:type="pct"/>
            <w:noWrap w:val="0"/>
            <w:vAlign w:val="center"/>
          </w:tcPr>
          <w:p w14:paraId="456001E1">
            <w:pPr>
              <w:pStyle w:val="18"/>
              <w:snapToGrid w:val="0"/>
              <w:spacing w:before="30"/>
              <w:jc w:val="left"/>
              <w:rPr>
                <w:rFonts w:hint="eastAsia" w:ascii="仿宋" w:hAnsi="仿宋" w:eastAsia="仿宋" w:cs="仿宋"/>
                <w:sz w:val="24"/>
                <w:szCs w:val="24"/>
              </w:rPr>
            </w:pPr>
            <w:r>
              <w:rPr>
                <w:rFonts w:hint="eastAsia" w:ascii="仿宋" w:hAnsi="仿宋" w:eastAsia="仿宋" w:cs="仿宋"/>
                <w:spacing w:val="-1"/>
                <w:sz w:val="24"/>
                <w:szCs w:val="24"/>
              </w:rPr>
              <w:t>产品类型</w:t>
            </w:r>
          </w:p>
        </w:tc>
        <w:tc>
          <w:tcPr>
            <w:tcW w:w="2453" w:type="pct"/>
            <w:gridSpan w:val="2"/>
            <w:noWrap w:val="0"/>
            <w:vAlign w:val="center"/>
          </w:tcPr>
          <w:p w14:paraId="591840D0">
            <w:pPr>
              <w:pStyle w:val="18"/>
              <w:snapToGrid w:val="0"/>
              <w:spacing w:before="1"/>
              <w:jc w:val="left"/>
              <w:rPr>
                <w:rFonts w:hint="eastAsia" w:ascii="仿宋" w:hAnsi="仿宋" w:eastAsia="仿宋" w:cs="仿宋"/>
                <w:sz w:val="24"/>
                <w:szCs w:val="24"/>
                <w:lang w:eastAsia="zh-CN"/>
              </w:rPr>
            </w:pPr>
            <w:r>
              <w:rPr>
                <w:rFonts w:hint="eastAsia" w:ascii="仿宋" w:hAnsi="仿宋" w:eastAsia="仿宋" w:cs="仿宋"/>
                <w:spacing w:val="-1"/>
                <w:sz w:val="24"/>
                <w:szCs w:val="24"/>
                <w:lang w:eastAsia="zh-CN"/>
              </w:rPr>
              <w:t>智能健康手表(LTE无线数据终端)</w:t>
            </w:r>
          </w:p>
        </w:tc>
      </w:tr>
      <w:tr w14:paraId="28F1D7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413" w:type="pct"/>
            <w:noWrap w:val="0"/>
            <w:vAlign w:val="center"/>
          </w:tcPr>
          <w:p w14:paraId="6376CA51">
            <w:pPr>
              <w:pStyle w:val="18"/>
              <w:snapToGrid w:val="0"/>
              <w:spacing w:before="68"/>
              <w:jc w:val="left"/>
              <w:rPr>
                <w:rFonts w:hint="eastAsia" w:ascii="仿宋" w:hAnsi="仿宋" w:eastAsia="仿宋" w:cs="仿宋"/>
                <w:sz w:val="24"/>
                <w:szCs w:val="24"/>
              </w:rPr>
            </w:pPr>
            <w:r>
              <w:rPr>
                <w:rFonts w:hint="eastAsia" w:ascii="仿宋" w:hAnsi="仿宋" w:eastAsia="仿宋" w:cs="仿宋"/>
                <w:spacing w:val="-1"/>
                <w:sz w:val="24"/>
                <w:szCs w:val="24"/>
                <w:lang w:eastAsia="zh-CN"/>
              </w:rPr>
              <w:t>示意图</w:t>
            </w:r>
          </w:p>
        </w:tc>
        <w:tc>
          <w:tcPr>
            <w:tcW w:w="3586" w:type="pct"/>
            <w:gridSpan w:val="3"/>
            <w:noWrap w:val="0"/>
            <w:vAlign w:val="center"/>
          </w:tcPr>
          <w:p w14:paraId="0856B572">
            <w:pPr>
              <w:snapToGrid w:val="0"/>
              <w:spacing w:before="32"/>
              <w:jc w:val="left"/>
              <w:rPr>
                <w:rFonts w:hint="eastAsia" w:ascii="仿宋" w:hAnsi="仿宋" w:eastAsia="仿宋" w:cs="仿宋"/>
                <w:sz w:val="24"/>
                <w:szCs w:val="24"/>
                <w:lang w:eastAsia="en-US"/>
              </w:rPr>
            </w:pPr>
            <w:r>
              <w:rPr>
                <w:rFonts w:hint="eastAsia" w:ascii="仿宋" w:hAnsi="仿宋" w:eastAsia="仿宋" w:cs="仿宋"/>
                <w:position w:val="-59"/>
                <w:sz w:val="24"/>
                <w:szCs w:val="24"/>
                <w:lang w:eastAsia="en-US"/>
              </w:rPr>
              <w:drawing>
                <wp:inline distT="0" distB="0" distL="114300" distR="114300">
                  <wp:extent cx="1020445" cy="1558290"/>
                  <wp:effectExtent l="0" t="0" r="8255"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1020445" cy="1558290"/>
                          </a:xfrm>
                          <a:prstGeom prst="rect">
                            <a:avLst/>
                          </a:prstGeom>
                          <a:noFill/>
                          <a:ln>
                            <a:noFill/>
                          </a:ln>
                        </pic:spPr>
                      </pic:pic>
                    </a:graphicData>
                  </a:graphic>
                </wp:inline>
              </w:drawing>
            </w:r>
          </w:p>
        </w:tc>
      </w:tr>
      <w:tr w14:paraId="478972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413" w:type="pct"/>
            <w:tcBorders>
              <w:top w:val="nil"/>
            </w:tcBorders>
            <w:noWrap w:val="0"/>
            <w:vAlign w:val="center"/>
          </w:tcPr>
          <w:p w14:paraId="0B674365">
            <w:pPr>
              <w:snapToGrid w:val="0"/>
              <w:jc w:val="left"/>
              <w:rPr>
                <w:rFonts w:hint="eastAsia" w:ascii="仿宋" w:hAnsi="仿宋" w:eastAsia="仿宋" w:cs="仿宋"/>
                <w:sz w:val="24"/>
                <w:szCs w:val="24"/>
                <w:lang w:eastAsia="en-US"/>
              </w:rPr>
            </w:pPr>
            <w:r>
              <w:rPr>
                <w:rFonts w:hint="eastAsia" w:ascii="仿宋" w:hAnsi="仿宋" w:eastAsia="仿宋" w:cs="仿宋"/>
                <w:sz w:val="24"/>
                <w:szCs w:val="24"/>
              </w:rPr>
              <w:t>CPU芯片</w:t>
            </w:r>
          </w:p>
        </w:tc>
        <w:tc>
          <w:tcPr>
            <w:tcW w:w="1132" w:type="pct"/>
            <w:noWrap w:val="0"/>
            <w:vAlign w:val="center"/>
          </w:tcPr>
          <w:p w14:paraId="64FD08D3">
            <w:pPr>
              <w:pStyle w:val="18"/>
              <w:snapToGrid w:val="0"/>
              <w:spacing w:before="35"/>
              <w:jc w:val="left"/>
              <w:rPr>
                <w:rFonts w:hint="eastAsia" w:ascii="仿宋" w:hAnsi="仿宋" w:eastAsia="仿宋" w:cs="仿宋"/>
                <w:sz w:val="24"/>
                <w:szCs w:val="24"/>
              </w:rPr>
            </w:pPr>
            <w:r>
              <w:rPr>
                <w:rFonts w:hint="eastAsia" w:ascii="仿宋" w:hAnsi="仿宋" w:eastAsia="仿宋" w:cs="仿宋"/>
                <w:spacing w:val="-2"/>
                <w:sz w:val="24"/>
                <w:szCs w:val="24"/>
              </w:rPr>
              <w:t>CPU頻率</w:t>
            </w:r>
          </w:p>
        </w:tc>
        <w:tc>
          <w:tcPr>
            <w:tcW w:w="2453" w:type="pct"/>
            <w:gridSpan w:val="2"/>
            <w:noWrap w:val="0"/>
            <w:vAlign w:val="center"/>
          </w:tcPr>
          <w:p w14:paraId="3B90D30C">
            <w:pPr>
              <w:pStyle w:val="18"/>
              <w:snapToGrid w:val="0"/>
              <w:spacing w:before="5"/>
              <w:jc w:val="left"/>
              <w:rPr>
                <w:rFonts w:hint="eastAsia" w:ascii="仿宋" w:hAnsi="仿宋" w:eastAsia="仿宋" w:cs="仿宋"/>
                <w:sz w:val="24"/>
                <w:szCs w:val="24"/>
              </w:rPr>
            </w:pPr>
            <w:r>
              <w:rPr>
                <w:rFonts w:hint="eastAsia" w:ascii="仿宋" w:hAnsi="仿宋" w:eastAsia="仿宋" w:cs="仿宋"/>
                <w:spacing w:val="-1"/>
                <w:sz w:val="24"/>
                <w:szCs w:val="24"/>
              </w:rPr>
              <w:t>主頻:230M+614M+GPU</w:t>
            </w:r>
          </w:p>
        </w:tc>
      </w:tr>
      <w:tr w14:paraId="5B9C5D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413" w:type="pct"/>
            <w:vMerge w:val="restart"/>
            <w:tcBorders>
              <w:bottom w:val="nil"/>
            </w:tcBorders>
            <w:noWrap w:val="0"/>
            <w:vAlign w:val="center"/>
          </w:tcPr>
          <w:p w14:paraId="57895BCE">
            <w:pPr>
              <w:pStyle w:val="18"/>
              <w:snapToGrid w:val="0"/>
              <w:spacing w:before="150"/>
              <w:jc w:val="left"/>
              <w:rPr>
                <w:rFonts w:hint="eastAsia" w:ascii="仿宋" w:hAnsi="仿宋" w:eastAsia="仿宋" w:cs="仿宋"/>
                <w:sz w:val="24"/>
                <w:szCs w:val="24"/>
              </w:rPr>
            </w:pPr>
            <w:r>
              <w:rPr>
                <w:rFonts w:hint="eastAsia" w:ascii="仿宋" w:hAnsi="仿宋" w:eastAsia="仿宋" w:cs="仿宋"/>
                <w:spacing w:val="-5"/>
                <w:sz w:val="24"/>
                <w:szCs w:val="24"/>
              </w:rPr>
              <w:t>内置存储</w:t>
            </w:r>
          </w:p>
        </w:tc>
        <w:tc>
          <w:tcPr>
            <w:tcW w:w="1132" w:type="pct"/>
            <w:noWrap w:val="0"/>
            <w:vAlign w:val="center"/>
          </w:tcPr>
          <w:p w14:paraId="29FDC4BB">
            <w:pPr>
              <w:pStyle w:val="18"/>
              <w:snapToGrid w:val="0"/>
              <w:spacing w:before="49"/>
              <w:jc w:val="left"/>
              <w:rPr>
                <w:rFonts w:hint="eastAsia" w:ascii="仿宋" w:hAnsi="仿宋" w:eastAsia="仿宋" w:cs="仿宋"/>
                <w:sz w:val="24"/>
                <w:szCs w:val="24"/>
              </w:rPr>
            </w:pPr>
            <w:r>
              <w:rPr>
                <w:rFonts w:hint="eastAsia" w:ascii="仿宋" w:hAnsi="仿宋" w:eastAsia="仿宋" w:cs="仿宋"/>
                <w:spacing w:val="-6"/>
                <w:position w:val="-1"/>
                <w:sz w:val="24"/>
                <w:szCs w:val="24"/>
              </w:rPr>
              <w:t>RAM</w:t>
            </w:r>
          </w:p>
        </w:tc>
        <w:tc>
          <w:tcPr>
            <w:tcW w:w="2453" w:type="pct"/>
            <w:gridSpan w:val="2"/>
            <w:noWrap w:val="0"/>
            <w:vAlign w:val="center"/>
          </w:tcPr>
          <w:p w14:paraId="18D03278">
            <w:pPr>
              <w:pStyle w:val="18"/>
              <w:snapToGrid w:val="0"/>
              <w:spacing w:before="5"/>
              <w:jc w:val="left"/>
              <w:rPr>
                <w:rFonts w:hint="eastAsia" w:ascii="仿宋" w:hAnsi="仿宋" w:eastAsia="仿宋" w:cs="仿宋"/>
                <w:sz w:val="24"/>
                <w:szCs w:val="24"/>
              </w:rPr>
            </w:pPr>
            <w:r>
              <w:rPr>
                <w:rFonts w:hint="eastAsia" w:ascii="仿宋" w:hAnsi="仿宋" w:eastAsia="仿宋" w:cs="仿宋"/>
                <w:spacing w:val="-4"/>
                <w:sz w:val="24"/>
                <w:szCs w:val="24"/>
              </w:rPr>
              <w:t>16MB</w:t>
            </w:r>
          </w:p>
        </w:tc>
      </w:tr>
      <w:tr w14:paraId="57D22A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413" w:type="pct"/>
            <w:vMerge w:val="continue"/>
            <w:tcBorders>
              <w:top w:val="nil"/>
            </w:tcBorders>
            <w:noWrap w:val="0"/>
            <w:vAlign w:val="center"/>
          </w:tcPr>
          <w:p w14:paraId="488DA385">
            <w:pPr>
              <w:snapToGrid w:val="0"/>
              <w:jc w:val="left"/>
              <w:rPr>
                <w:rFonts w:hint="eastAsia" w:ascii="仿宋" w:hAnsi="仿宋" w:eastAsia="仿宋" w:cs="仿宋"/>
                <w:sz w:val="24"/>
                <w:szCs w:val="24"/>
                <w:lang w:eastAsia="en-US"/>
              </w:rPr>
            </w:pPr>
          </w:p>
        </w:tc>
        <w:tc>
          <w:tcPr>
            <w:tcW w:w="1132" w:type="pct"/>
            <w:noWrap w:val="0"/>
            <w:vAlign w:val="center"/>
          </w:tcPr>
          <w:p w14:paraId="6EDF392E">
            <w:pPr>
              <w:pStyle w:val="18"/>
              <w:snapToGrid w:val="0"/>
              <w:spacing w:before="47"/>
              <w:jc w:val="left"/>
              <w:rPr>
                <w:rFonts w:hint="eastAsia" w:ascii="仿宋" w:hAnsi="仿宋" w:eastAsia="仿宋" w:cs="仿宋"/>
                <w:sz w:val="24"/>
                <w:szCs w:val="24"/>
              </w:rPr>
            </w:pPr>
            <w:r>
              <w:rPr>
                <w:rFonts w:hint="eastAsia" w:ascii="仿宋" w:hAnsi="仿宋" w:eastAsia="仿宋" w:cs="仿宋"/>
                <w:spacing w:val="-6"/>
                <w:position w:val="-1"/>
                <w:sz w:val="24"/>
                <w:szCs w:val="24"/>
              </w:rPr>
              <w:t>ROM</w:t>
            </w:r>
          </w:p>
        </w:tc>
        <w:tc>
          <w:tcPr>
            <w:tcW w:w="2453" w:type="pct"/>
            <w:gridSpan w:val="2"/>
            <w:noWrap w:val="0"/>
            <w:vAlign w:val="center"/>
          </w:tcPr>
          <w:p w14:paraId="05FA5742">
            <w:pPr>
              <w:pStyle w:val="18"/>
              <w:snapToGrid w:val="0"/>
              <w:spacing w:before="5"/>
              <w:jc w:val="left"/>
              <w:rPr>
                <w:rFonts w:hint="eastAsia" w:ascii="仿宋" w:hAnsi="仿宋" w:eastAsia="仿宋" w:cs="仿宋"/>
                <w:sz w:val="24"/>
                <w:szCs w:val="24"/>
              </w:rPr>
            </w:pPr>
            <w:r>
              <w:rPr>
                <w:rFonts w:hint="eastAsia" w:ascii="仿宋" w:hAnsi="仿宋" w:eastAsia="仿宋" w:cs="仿宋"/>
                <w:spacing w:val="-3"/>
                <w:sz w:val="24"/>
                <w:szCs w:val="24"/>
              </w:rPr>
              <w:t>8MB</w:t>
            </w:r>
          </w:p>
        </w:tc>
      </w:tr>
      <w:tr w14:paraId="69D378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413" w:type="pct"/>
            <w:vMerge w:val="restart"/>
            <w:tcBorders>
              <w:bottom w:val="nil"/>
            </w:tcBorders>
            <w:noWrap w:val="0"/>
            <w:vAlign w:val="center"/>
          </w:tcPr>
          <w:p w14:paraId="29A541C7">
            <w:pPr>
              <w:pStyle w:val="18"/>
              <w:snapToGrid w:val="0"/>
              <w:spacing w:before="151"/>
              <w:jc w:val="left"/>
              <w:rPr>
                <w:rFonts w:hint="eastAsia" w:ascii="仿宋" w:hAnsi="仿宋" w:eastAsia="仿宋" w:cs="仿宋"/>
                <w:sz w:val="24"/>
                <w:szCs w:val="24"/>
              </w:rPr>
            </w:pPr>
            <w:r>
              <w:rPr>
                <w:rFonts w:hint="eastAsia" w:ascii="仿宋" w:hAnsi="仿宋" w:eastAsia="仿宋" w:cs="仿宋"/>
                <w:spacing w:val="-1"/>
                <w:sz w:val="24"/>
                <w:szCs w:val="24"/>
              </w:rPr>
              <w:t>射频频段要求</w:t>
            </w:r>
          </w:p>
        </w:tc>
        <w:tc>
          <w:tcPr>
            <w:tcW w:w="1132" w:type="pct"/>
            <w:noWrap w:val="0"/>
            <w:vAlign w:val="center"/>
          </w:tcPr>
          <w:p w14:paraId="5DFE98E8">
            <w:pPr>
              <w:pStyle w:val="18"/>
              <w:snapToGrid w:val="0"/>
              <w:spacing w:before="49"/>
              <w:jc w:val="left"/>
              <w:rPr>
                <w:rFonts w:hint="eastAsia" w:ascii="仿宋" w:hAnsi="仿宋" w:eastAsia="仿宋" w:cs="仿宋"/>
                <w:sz w:val="24"/>
                <w:szCs w:val="24"/>
              </w:rPr>
            </w:pPr>
            <w:r>
              <w:rPr>
                <w:rFonts w:hint="eastAsia" w:ascii="仿宋" w:hAnsi="仿宋" w:eastAsia="仿宋" w:cs="仿宋"/>
                <w:spacing w:val="-1"/>
                <w:position w:val="-1"/>
                <w:sz w:val="24"/>
                <w:szCs w:val="24"/>
              </w:rPr>
              <w:t>TDD-LTE</w:t>
            </w:r>
          </w:p>
        </w:tc>
        <w:tc>
          <w:tcPr>
            <w:tcW w:w="2453" w:type="pct"/>
            <w:gridSpan w:val="2"/>
            <w:noWrap w:val="0"/>
            <w:vAlign w:val="center"/>
          </w:tcPr>
          <w:p w14:paraId="3B706436">
            <w:pPr>
              <w:pStyle w:val="18"/>
              <w:snapToGrid w:val="0"/>
              <w:spacing w:before="6"/>
              <w:jc w:val="left"/>
              <w:rPr>
                <w:rFonts w:hint="eastAsia" w:ascii="仿宋" w:hAnsi="仿宋" w:eastAsia="仿宋" w:cs="仿宋"/>
                <w:sz w:val="24"/>
                <w:szCs w:val="24"/>
              </w:rPr>
            </w:pPr>
            <w:r>
              <w:rPr>
                <w:rFonts w:hint="eastAsia" w:ascii="仿宋" w:hAnsi="仿宋" w:eastAsia="仿宋" w:cs="仿宋"/>
                <w:spacing w:val="-1"/>
                <w:sz w:val="24"/>
                <w:szCs w:val="24"/>
              </w:rPr>
              <w:t>B34/B38/B39/B40/B41</w:t>
            </w:r>
          </w:p>
        </w:tc>
      </w:tr>
      <w:tr w14:paraId="6B3ED3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413" w:type="pct"/>
            <w:vMerge w:val="continue"/>
            <w:tcBorders>
              <w:top w:val="nil"/>
            </w:tcBorders>
            <w:noWrap w:val="0"/>
            <w:vAlign w:val="center"/>
          </w:tcPr>
          <w:p w14:paraId="32583BE0">
            <w:pPr>
              <w:snapToGrid w:val="0"/>
              <w:jc w:val="left"/>
              <w:rPr>
                <w:rFonts w:hint="eastAsia" w:ascii="仿宋" w:hAnsi="仿宋" w:eastAsia="仿宋" w:cs="仿宋"/>
                <w:sz w:val="24"/>
                <w:szCs w:val="24"/>
                <w:lang w:eastAsia="en-US"/>
              </w:rPr>
            </w:pPr>
          </w:p>
        </w:tc>
        <w:tc>
          <w:tcPr>
            <w:tcW w:w="1132" w:type="pct"/>
            <w:noWrap w:val="0"/>
            <w:vAlign w:val="center"/>
          </w:tcPr>
          <w:p w14:paraId="7E18D2DD">
            <w:pPr>
              <w:pStyle w:val="18"/>
              <w:snapToGrid w:val="0"/>
              <w:spacing w:before="49"/>
              <w:jc w:val="left"/>
              <w:rPr>
                <w:rFonts w:hint="eastAsia" w:ascii="仿宋" w:hAnsi="仿宋" w:eastAsia="仿宋" w:cs="仿宋"/>
                <w:sz w:val="24"/>
                <w:szCs w:val="24"/>
              </w:rPr>
            </w:pPr>
            <w:r>
              <w:rPr>
                <w:rFonts w:hint="eastAsia" w:ascii="仿宋" w:hAnsi="仿宋" w:eastAsia="仿宋" w:cs="仿宋"/>
                <w:spacing w:val="-3"/>
                <w:position w:val="-1"/>
                <w:sz w:val="24"/>
                <w:szCs w:val="24"/>
              </w:rPr>
              <w:t>FDD-LTE</w:t>
            </w:r>
          </w:p>
        </w:tc>
        <w:tc>
          <w:tcPr>
            <w:tcW w:w="2453" w:type="pct"/>
            <w:gridSpan w:val="2"/>
            <w:noWrap w:val="0"/>
            <w:vAlign w:val="center"/>
          </w:tcPr>
          <w:p w14:paraId="6A0BC4C7">
            <w:pPr>
              <w:pStyle w:val="18"/>
              <w:snapToGrid w:val="0"/>
              <w:spacing w:before="6"/>
              <w:jc w:val="left"/>
              <w:rPr>
                <w:rFonts w:hint="eastAsia" w:ascii="仿宋" w:hAnsi="仿宋" w:eastAsia="仿宋" w:cs="仿宋"/>
                <w:sz w:val="24"/>
                <w:szCs w:val="24"/>
              </w:rPr>
            </w:pPr>
            <w:r>
              <w:rPr>
                <w:rFonts w:hint="eastAsia" w:ascii="仿宋" w:hAnsi="仿宋" w:eastAsia="仿宋" w:cs="仿宋"/>
                <w:spacing w:val="-2"/>
                <w:sz w:val="24"/>
                <w:szCs w:val="24"/>
              </w:rPr>
              <w:t>B1/3/5/8</w:t>
            </w:r>
          </w:p>
        </w:tc>
      </w:tr>
      <w:tr w14:paraId="55D76B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413" w:type="pct"/>
            <w:vMerge w:val="restart"/>
            <w:tcBorders>
              <w:bottom w:val="nil"/>
            </w:tcBorders>
            <w:noWrap w:val="0"/>
            <w:vAlign w:val="center"/>
          </w:tcPr>
          <w:p w14:paraId="00803287">
            <w:pPr>
              <w:pStyle w:val="18"/>
              <w:snapToGrid w:val="0"/>
              <w:spacing w:before="69"/>
              <w:jc w:val="left"/>
              <w:rPr>
                <w:rFonts w:hint="eastAsia" w:ascii="仿宋" w:hAnsi="仿宋" w:eastAsia="仿宋" w:cs="仿宋"/>
                <w:sz w:val="24"/>
                <w:szCs w:val="24"/>
              </w:rPr>
            </w:pPr>
            <w:r>
              <w:rPr>
                <w:rFonts w:hint="eastAsia" w:ascii="仿宋" w:hAnsi="仿宋" w:eastAsia="仿宋" w:cs="仿宋"/>
                <w:spacing w:val="-5"/>
                <w:sz w:val="24"/>
                <w:szCs w:val="24"/>
              </w:rPr>
              <w:t>屏幕（</w:t>
            </w:r>
            <w:r>
              <w:rPr>
                <w:rFonts w:hint="eastAsia" w:ascii="仿宋" w:hAnsi="仿宋" w:eastAsia="仿宋" w:cs="仿宋"/>
                <w:spacing w:val="-17"/>
                <w:sz w:val="24"/>
                <w:szCs w:val="24"/>
              </w:rPr>
              <w:t xml:space="preserve"> </w:t>
            </w:r>
            <w:r>
              <w:rPr>
                <w:rFonts w:hint="eastAsia" w:ascii="仿宋" w:hAnsi="仿宋" w:eastAsia="仿宋" w:cs="仿宋"/>
                <w:spacing w:val="-5"/>
                <w:sz w:val="24"/>
                <w:szCs w:val="24"/>
              </w:rPr>
              <w:t>LCD）</w:t>
            </w:r>
          </w:p>
        </w:tc>
        <w:tc>
          <w:tcPr>
            <w:tcW w:w="1132" w:type="pct"/>
            <w:noWrap w:val="0"/>
            <w:vAlign w:val="center"/>
          </w:tcPr>
          <w:p w14:paraId="184836A2">
            <w:pPr>
              <w:pStyle w:val="18"/>
              <w:snapToGrid w:val="0"/>
              <w:spacing w:before="38"/>
              <w:jc w:val="left"/>
              <w:rPr>
                <w:rFonts w:hint="eastAsia" w:ascii="仿宋" w:hAnsi="仿宋" w:eastAsia="仿宋" w:cs="仿宋"/>
                <w:sz w:val="24"/>
                <w:szCs w:val="24"/>
              </w:rPr>
            </w:pPr>
            <w:r>
              <w:rPr>
                <w:rFonts w:hint="eastAsia" w:ascii="仿宋" w:hAnsi="仿宋" w:eastAsia="仿宋" w:cs="仿宋"/>
                <w:spacing w:val="-1"/>
                <w:sz w:val="24"/>
                <w:szCs w:val="24"/>
              </w:rPr>
              <w:t>尺寸</w:t>
            </w:r>
          </w:p>
        </w:tc>
        <w:tc>
          <w:tcPr>
            <w:tcW w:w="2453" w:type="pct"/>
            <w:gridSpan w:val="2"/>
            <w:noWrap w:val="0"/>
            <w:vAlign w:val="center"/>
          </w:tcPr>
          <w:p w14:paraId="1D53636D">
            <w:pPr>
              <w:pStyle w:val="18"/>
              <w:snapToGrid w:val="0"/>
              <w:spacing w:before="9"/>
              <w:jc w:val="left"/>
              <w:rPr>
                <w:rFonts w:hint="eastAsia" w:ascii="仿宋" w:hAnsi="仿宋" w:eastAsia="仿宋" w:cs="仿宋"/>
                <w:sz w:val="24"/>
                <w:szCs w:val="24"/>
              </w:rPr>
            </w:pPr>
            <w:r>
              <w:rPr>
                <w:rFonts w:hint="eastAsia" w:ascii="仿宋" w:hAnsi="仿宋" w:eastAsia="仿宋" w:cs="仿宋"/>
                <w:spacing w:val="-6"/>
                <w:sz w:val="24"/>
                <w:szCs w:val="24"/>
              </w:rPr>
              <w:t>1.7</w:t>
            </w:r>
          </w:p>
        </w:tc>
      </w:tr>
      <w:tr w14:paraId="6AA2EB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413" w:type="pct"/>
            <w:vMerge w:val="continue"/>
            <w:tcBorders>
              <w:top w:val="nil"/>
              <w:bottom w:val="nil"/>
            </w:tcBorders>
            <w:noWrap w:val="0"/>
            <w:vAlign w:val="center"/>
          </w:tcPr>
          <w:p w14:paraId="6FC258B2">
            <w:pPr>
              <w:snapToGrid w:val="0"/>
              <w:jc w:val="left"/>
              <w:rPr>
                <w:rFonts w:hint="eastAsia" w:ascii="仿宋" w:hAnsi="仿宋" w:eastAsia="仿宋" w:cs="仿宋"/>
                <w:sz w:val="24"/>
                <w:szCs w:val="24"/>
                <w:lang w:eastAsia="en-US"/>
              </w:rPr>
            </w:pPr>
          </w:p>
        </w:tc>
        <w:tc>
          <w:tcPr>
            <w:tcW w:w="1132" w:type="pct"/>
            <w:noWrap w:val="0"/>
            <w:vAlign w:val="center"/>
          </w:tcPr>
          <w:p w14:paraId="489281E8">
            <w:pPr>
              <w:pStyle w:val="18"/>
              <w:snapToGrid w:val="0"/>
              <w:spacing w:before="37"/>
              <w:jc w:val="left"/>
              <w:rPr>
                <w:rFonts w:hint="eastAsia" w:ascii="仿宋" w:hAnsi="仿宋" w:eastAsia="仿宋" w:cs="仿宋"/>
                <w:sz w:val="24"/>
                <w:szCs w:val="24"/>
              </w:rPr>
            </w:pPr>
            <w:r>
              <w:rPr>
                <w:rFonts w:hint="eastAsia" w:ascii="仿宋" w:hAnsi="仿宋" w:eastAsia="仿宋" w:cs="仿宋"/>
                <w:spacing w:val="-1"/>
                <w:sz w:val="24"/>
                <w:szCs w:val="24"/>
              </w:rPr>
              <w:t>液晶显示类型</w:t>
            </w:r>
          </w:p>
        </w:tc>
        <w:tc>
          <w:tcPr>
            <w:tcW w:w="2453" w:type="pct"/>
            <w:gridSpan w:val="2"/>
            <w:noWrap w:val="0"/>
            <w:vAlign w:val="center"/>
          </w:tcPr>
          <w:p w14:paraId="78B34213">
            <w:pPr>
              <w:pStyle w:val="18"/>
              <w:snapToGrid w:val="0"/>
              <w:spacing w:before="50"/>
              <w:jc w:val="left"/>
              <w:rPr>
                <w:rFonts w:hint="eastAsia" w:ascii="仿宋" w:hAnsi="仿宋" w:eastAsia="仿宋" w:cs="仿宋"/>
                <w:sz w:val="24"/>
                <w:szCs w:val="24"/>
              </w:rPr>
            </w:pPr>
            <w:r>
              <w:rPr>
                <w:rFonts w:hint="eastAsia" w:ascii="仿宋" w:hAnsi="仿宋" w:eastAsia="仿宋" w:cs="仿宋"/>
                <w:spacing w:val="-1"/>
                <w:position w:val="-1"/>
                <w:sz w:val="24"/>
                <w:szCs w:val="24"/>
              </w:rPr>
              <w:t>AMOLED</w:t>
            </w:r>
          </w:p>
        </w:tc>
      </w:tr>
      <w:tr w14:paraId="27A958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413" w:type="pct"/>
            <w:vMerge w:val="continue"/>
            <w:tcBorders>
              <w:top w:val="nil"/>
              <w:bottom w:val="nil"/>
            </w:tcBorders>
            <w:noWrap w:val="0"/>
            <w:vAlign w:val="center"/>
          </w:tcPr>
          <w:p w14:paraId="0470D33C">
            <w:pPr>
              <w:snapToGrid w:val="0"/>
              <w:jc w:val="left"/>
              <w:rPr>
                <w:rFonts w:hint="eastAsia" w:ascii="仿宋" w:hAnsi="仿宋" w:eastAsia="仿宋" w:cs="仿宋"/>
                <w:sz w:val="24"/>
                <w:szCs w:val="24"/>
                <w:lang w:eastAsia="en-US"/>
              </w:rPr>
            </w:pPr>
          </w:p>
        </w:tc>
        <w:tc>
          <w:tcPr>
            <w:tcW w:w="1132" w:type="pct"/>
            <w:noWrap w:val="0"/>
            <w:vAlign w:val="center"/>
          </w:tcPr>
          <w:p w14:paraId="744DDDF9">
            <w:pPr>
              <w:pStyle w:val="18"/>
              <w:snapToGrid w:val="0"/>
              <w:spacing w:before="36"/>
              <w:jc w:val="left"/>
              <w:rPr>
                <w:rFonts w:hint="eastAsia" w:ascii="仿宋" w:hAnsi="仿宋" w:eastAsia="仿宋" w:cs="仿宋"/>
                <w:sz w:val="24"/>
                <w:szCs w:val="24"/>
              </w:rPr>
            </w:pPr>
            <w:r>
              <w:rPr>
                <w:rFonts w:hint="eastAsia" w:ascii="仿宋" w:hAnsi="仿宋" w:eastAsia="仿宋" w:cs="仿宋"/>
                <w:spacing w:val="-1"/>
                <w:sz w:val="24"/>
                <w:szCs w:val="24"/>
              </w:rPr>
              <w:t>分辨率</w:t>
            </w:r>
          </w:p>
        </w:tc>
        <w:tc>
          <w:tcPr>
            <w:tcW w:w="2453" w:type="pct"/>
            <w:gridSpan w:val="2"/>
            <w:noWrap w:val="0"/>
            <w:vAlign w:val="center"/>
          </w:tcPr>
          <w:p w14:paraId="1ADE466D">
            <w:pPr>
              <w:pStyle w:val="18"/>
              <w:snapToGrid w:val="0"/>
              <w:spacing w:before="9"/>
              <w:jc w:val="left"/>
              <w:rPr>
                <w:rFonts w:hint="eastAsia" w:ascii="仿宋" w:hAnsi="仿宋" w:eastAsia="仿宋" w:cs="仿宋"/>
                <w:sz w:val="24"/>
                <w:szCs w:val="24"/>
              </w:rPr>
            </w:pPr>
            <w:r>
              <w:rPr>
                <w:rFonts w:hint="eastAsia" w:ascii="仿宋" w:hAnsi="仿宋" w:eastAsia="仿宋" w:cs="仿宋"/>
                <w:sz w:val="24"/>
                <w:szCs w:val="24"/>
              </w:rPr>
              <w:t>448*368</w:t>
            </w:r>
          </w:p>
        </w:tc>
      </w:tr>
      <w:tr w14:paraId="37A400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413" w:type="pct"/>
            <w:vMerge w:val="continue"/>
            <w:tcBorders>
              <w:top w:val="nil"/>
              <w:bottom w:val="nil"/>
            </w:tcBorders>
            <w:noWrap w:val="0"/>
            <w:vAlign w:val="center"/>
          </w:tcPr>
          <w:p w14:paraId="7794868D">
            <w:pPr>
              <w:snapToGrid w:val="0"/>
              <w:jc w:val="left"/>
              <w:rPr>
                <w:rFonts w:hint="eastAsia" w:ascii="仿宋" w:hAnsi="仿宋" w:eastAsia="仿宋" w:cs="仿宋"/>
                <w:sz w:val="24"/>
                <w:szCs w:val="24"/>
                <w:lang w:eastAsia="en-US"/>
              </w:rPr>
            </w:pPr>
          </w:p>
        </w:tc>
        <w:tc>
          <w:tcPr>
            <w:tcW w:w="1132" w:type="pct"/>
            <w:noWrap w:val="0"/>
            <w:vAlign w:val="center"/>
          </w:tcPr>
          <w:p w14:paraId="6664B3C1">
            <w:pPr>
              <w:pStyle w:val="18"/>
              <w:snapToGrid w:val="0"/>
              <w:spacing w:before="36"/>
              <w:jc w:val="left"/>
              <w:rPr>
                <w:rFonts w:hint="eastAsia" w:ascii="仿宋" w:hAnsi="仿宋" w:eastAsia="仿宋" w:cs="仿宋"/>
                <w:sz w:val="24"/>
                <w:szCs w:val="24"/>
              </w:rPr>
            </w:pPr>
            <w:r>
              <w:rPr>
                <w:rFonts w:hint="eastAsia" w:ascii="仿宋" w:hAnsi="仿宋" w:eastAsia="仿宋" w:cs="仿宋"/>
                <w:spacing w:val="-1"/>
                <w:sz w:val="24"/>
                <w:szCs w:val="24"/>
              </w:rPr>
              <w:t>色深</w:t>
            </w:r>
          </w:p>
        </w:tc>
        <w:tc>
          <w:tcPr>
            <w:tcW w:w="2453" w:type="pct"/>
            <w:gridSpan w:val="2"/>
            <w:noWrap w:val="0"/>
            <w:vAlign w:val="center"/>
          </w:tcPr>
          <w:p w14:paraId="7B805603">
            <w:pPr>
              <w:pStyle w:val="18"/>
              <w:snapToGrid w:val="0"/>
              <w:spacing w:before="10"/>
              <w:jc w:val="left"/>
              <w:rPr>
                <w:rFonts w:hint="eastAsia" w:ascii="仿宋" w:hAnsi="仿宋" w:eastAsia="仿宋" w:cs="仿宋"/>
                <w:sz w:val="24"/>
                <w:szCs w:val="24"/>
              </w:rPr>
            </w:pPr>
            <w:r>
              <w:rPr>
                <w:rFonts w:hint="eastAsia" w:ascii="仿宋" w:hAnsi="仿宋" w:eastAsia="仿宋" w:cs="仿宋"/>
                <w:spacing w:val="-2"/>
                <w:sz w:val="24"/>
                <w:szCs w:val="24"/>
              </w:rPr>
              <w:t>262K</w:t>
            </w:r>
          </w:p>
        </w:tc>
      </w:tr>
      <w:tr w14:paraId="1788C0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413" w:type="pct"/>
            <w:tcBorders>
              <w:bottom w:val="nil"/>
            </w:tcBorders>
            <w:noWrap w:val="0"/>
            <w:vAlign w:val="center"/>
          </w:tcPr>
          <w:p w14:paraId="587E08F1">
            <w:pPr>
              <w:pStyle w:val="18"/>
              <w:snapToGrid w:val="0"/>
              <w:spacing w:before="69"/>
              <w:jc w:val="left"/>
              <w:rPr>
                <w:rFonts w:hint="eastAsia" w:ascii="仿宋" w:hAnsi="仿宋" w:eastAsia="仿宋" w:cs="仿宋"/>
                <w:sz w:val="24"/>
                <w:szCs w:val="24"/>
              </w:rPr>
            </w:pPr>
            <w:r>
              <w:rPr>
                <w:rFonts w:hint="eastAsia" w:ascii="仿宋" w:hAnsi="仿宋" w:eastAsia="仿宋" w:cs="仿宋"/>
                <w:spacing w:val="-1"/>
                <w:sz w:val="24"/>
                <w:szCs w:val="24"/>
              </w:rPr>
              <w:t>触摸屏（TP）</w:t>
            </w:r>
          </w:p>
        </w:tc>
        <w:tc>
          <w:tcPr>
            <w:tcW w:w="1132" w:type="pct"/>
            <w:noWrap w:val="0"/>
            <w:vAlign w:val="center"/>
          </w:tcPr>
          <w:p w14:paraId="72D39291">
            <w:pPr>
              <w:pStyle w:val="18"/>
              <w:snapToGrid w:val="0"/>
              <w:spacing w:before="37"/>
              <w:jc w:val="left"/>
              <w:rPr>
                <w:rFonts w:hint="eastAsia" w:ascii="仿宋" w:hAnsi="仿宋" w:eastAsia="仿宋" w:cs="仿宋"/>
                <w:sz w:val="24"/>
                <w:szCs w:val="24"/>
              </w:rPr>
            </w:pPr>
            <w:r>
              <w:rPr>
                <w:rFonts w:hint="eastAsia" w:ascii="仿宋" w:hAnsi="仿宋" w:eastAsia="仿宋" w:cs="仿宋"/>
                <w:spacing w:val="-1"/>
                <w:sz w:val="24"/>
                <w:szCs w:val="24"/>
              </w:rPr>
              <w:t>是否支持触摸屏</w:t>
            </w:r>
          </w:p>
        </w:tc>
        <w:tc>
          <w:tcPr>
            <w:tcW w:w="2453" w:type="pct"/>
            <w:gridSpan w:val="2"/>
            <w:noWrap w:val="0"/>
            <w:vAlign w:val="center"/>
          </w:tcPr>
          <w:p w14:paraId="7C5EDF0B">
            <w:pPr>
              <w:pStyle w:val="18"/>
              <w:snapToGrid w:val="0"/>
              <w:spacing w:before="10"/>
              <w:jc w:val="left"/>
              <w:rPr>
                <w:rFonts w:hint="eastAsia" w:ascii="仿宋" w:hAnsi="仿宋" w:eastAsia="仿宋" w:cs="仿宋"/>
                <w:sz w:val="24"/>
                <w:szCs w:val="24"/>
              </w:rPr>
            </w:pPr>
            <w:r>
              <w:rPr>
                <w:rFonts w:hint="eastAsia" w:ascii="仿宋" w:hAnsi="仿宋" w:eastAsia="仿宋" w:cs="仿宋"/>
                <w:spacing w:val="-1"/>
                <w:sz w:val="24"/>
                <w:szCs w:val="24"/>
              </w:rPr>
              <w:t>支持(兼容）</w:t>
            </w:r>
          </w:p>
        </w:tc>
      </w:tr>
      <w:tr w14:paraId="249CCA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413" w:type="pct"/>
            <w:vMerge w:val="restart"/>
            <w:tcBorders>
              <w:bottom w:val="nil"/>
            </w:tcBorders>
            <w:noWrap w:val="0"/>
            <w:vAlign w:val="center"/>
          </w:tcPr>
          <w:p w14:paraId="01A0EA60">
            <w:pPr>
              <w:pStyle w:val="18"/>
              <w:snapToGrid w:val="0"/>
              <w:spacing w:before="69"/>
              <w:jc w:val="left"/>
              <w:rPr>
                <w:rFonts w:hint="eastAsia" w:ascii="仿宋" w:hAnsi="仿宋" w:eastAsia="仿宋" w:cs="仿宋"/>
                <w:sz w:val="24"/>
                <w:szCs w:val="24"/>
              </w:rPr>
            </w:pPr>
            <w:r>
              <w:rPr>
                <w:rFonts w:hint="eastAsia" w:ascii="仿宋" w:hAnsi="仿宋" w:eastAsia="仿宋" w:cs="仿宋"/>
                <w:spacing w:val="-6"/>
                <w:sz w:val="24"/>
                <w:szCs w:val="24"/>
              </w:rPr>
              <w:t>电池</w:t>
            </w:r>
          </w:p>
        </w:tc>
        <w:tc>
          <w:tcPr>
            <w:tcW w:w="1132" w:type="pct"/>
            <w:noWrap w:val="0"/>
            <w:vAlign w:val="center"/>
          </w:tcPr>
          <w:p w14:paraId="791739B5">
            <w:pPr>
              <w:pStyle w:val="18"/>
              <w:snapToGrid w:val="0"/>
              <w:spacing w:before="38"/>
              <w:jc w:val="left"/>
              <w:rPr>
                <w:rFonts w:hint="eastAsia" w:ascii="仿宋" w:hAnsi="仿宋" w:eastAsia="仿宋" w:cs="仿宋"/>
                <w:sz w:val="24"/>
                <w:szCs w:val="24"/>
              </w:rPr>
            </w:pPr>
            <w:r>
              <w:rPr>
                <w:rFonts w:hint="eastAsia" w:ascii="仿宋" w:hAnsi="仿宋" w:eastAsia="仿宋" w:cs="仿宋"/>
                <w:spacing w:val="-3"/>
                <w:sz w:val="24"/>
                <w:szCs w:val="24"/>
              </w:rPr>
              <w:t>电池类型</w:t>
            </w:r>
          </w:p>
        </w:tc>
        <w:tc>
          <w:tcPr>
            <w:tcW w:w="2453" w:type="pct"/>
            <w:gridSpan w:val="2"/>
            <w:noWrap w:val="0"/>
            <w:vAlign w:val="center"/>
          </w:tcPr>
          <w:p w14:paraId="403486D2">
            <w:pPr>
              <w:pStyle w:val="18"/>
              <w:snapToGrid w:val="0"/>
              <w:spacing w:before="36"/>
              <w:jc w:val="left"/>
              <w:rPr>
                <w:rFonts w:hint="eastAsia" w:ascii="仿宋" w:hAnsi="仿宋" w:eastAsia="仿宋" w:cs="仿宋"/>
                <w:sz w:val="24"/>
                <w:szCs w:val="24"/>
              </w:rPr>
            </w:pPr>
            <w:r>
              <w:rPr>
                <w:rFonts w:hint="eastAsia" w:ascii="仿宋" w:hAnsi="仿宋" w:eastAsia="仿宋" w:cs="仿宋"/>
                <w:spacing w:val="-1"/>
                <w:sz w:val="24"/>
                <w:szCs w:val="24"/>
              </w:rPr>
              <w:t>聚合物锂离子电池</w:t>
            </w:r>
          </w:p>
        </w:tc>
      </w:tr>
      <w:tr w14:paraId="137582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413" w:type="pct"/>
            <w:vMerge w:val="continue"/>
            <w:tcBorders>
              <w:top w:val="nil"/>
              <w:bottom w:val="nil"/>
            </w:tcBorders>
            <w:noWrap w:val="0"/>
            <w:vAlign w:val="center"/>
          </w:tcPr>
          <w:p w14:paraId="4D7CB69B">
            <w:pPr>
              <w:snapToGrid w:val="0"/>
              <w:jc w:val="left"/>
              <w:rPr>
                <w:rFonts w:hint="eastAsia" w:ascii="仿宋" w:hAnsi="仿宋" w:eastAsia="仿宋" w:cs="仿宋"/>
                <w:sz w:val="24"/>
                <w:szCs w:val="24"/>
                <w:lang w:eastAsia="en-US"/>
              </w:rPr>
            </w:pPr>
          </w:p>
        </w:tc>
        <w:tc>
          <w:tcPr>
            <w:tcW w:w="1132" w:type="pct"/>
            <w:noWrap w:val="0"/>
            <w:vAlign w:val="center"/>
          </w:tcPr>
          <w:p w14:paraId="2CC27565">
            <w:pPr>
              <w:pStyle w:val="18"/>
              <w:snapToGrid w:val="0"/>
              <w:spacing w:before="47"/>
              <w:jc w:val="left"/>
              <w:rPr>
                <w:rFonts w:hint="eastAsia" w:ascii="仿宋" w:hAnsi="仿宋" w:eastAsia="仿宋" w:cs="仿宋"/>
                <w:sz w:val="24"/>
                <w:szCs w:val="24"/>
              </w:rPr>
            </w:pPr>
            <w:r>
              <w:rPr>
                <w:rFonts w:hint="eastAsia" w:ascii="仿宋" w:hAnsi="仿宋" w:eastAsia="仿宋" w:cs="仿宋"/>
                <w:spacing w:val="-3"/>
                <w:sz w:val="24"/>
                <w:szCs w:val="24"/>
              </w:rPr>
              <w:t>电池容量</w:t>
            </w:r>
          </w:p>
        </w:tc>
        <w:tc>
          <w:tcPr>
            <w:tcW w:w="2453" w:type="pct"/>
            <w:gridSpan w:val="2"/>
            <w:noWrap w:val="0"/>
            <w:vAlign w:val="center"/>
          </w:tcPr>
          <w:p w14:paraId="3A76A3D8">
            <w:pPr>
              <w:pStyle w:val="18"/>
              <w:snapToGrid w:val="0"/>
              <w:spacing w:before="17"/>
              <w:jc w:val="left"/>
              <w:rPr>
                <w:rFonts w:hint="eastAsia" w:ascii="仿宋" w:hAnsi="仿宋" w:eastAsia="仿宋" w:cs="仿宋"/>
                <w:sz w:val="24"/>
                <w:szCs w:val="24"/>
              </w:rPr>
            </w:pPr>
            <w:r>
              <w:rPr>
                <w:rFonts w:hint="eastAsia" w:ascii="仿宋" w:hAnsi="仿宋" w:eastAsia="仿宋" w:cs="仿宋"/>
                <w:spacing w:val="-2"/>
                <w:sz w:val="24"/>
                <w:szCs w:val="24"/>
              </w:rPr>
              <w:t>600mAh</w:t>
            </w:r>
          </w:p>
        </w:tc>
      </w:tr>
      <w:tr w14:paraId="383EFF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413" w:type="pct"/>
            <w:tcBorders>
              <w:bottom w:val="nil"/>
            </w:tcBorders>
            <w:noWrap w:val="0"/>
            <w:vAlign w:val="center"/>
          </w:tcPr>
          <w:p w14:paraId="63931EBA">
            <w:pPr>
              <w:pStyle w:val="18"/>
              <w:snapToGrid w:val="0"/>
              <w:spacing w:before="123"/>
              <w:jc w:val="left"/>
              <w:rPr>
                <w:rFonts w:hint="eastAsia" w:ascii="仿宋" w:hAnsi="仿宋" w:eastAsia="仿宋" w:cs="仿宋"/>
                <w:sz w:val="24"/>
                <w:szCs w:val="24"/>
              </w:rPr>
            </w:pPr>
            <w:r>
              <w:rPr>
                <w:rFonts w:hint="eastAsia" w:ascii="仿宋" w:hAnsi="仿宋" w:eastAsia="仿宋" w:cs="仿宋"/>
                <w:spacing w:val="-3"/>
                <w:sz w:val="24"/>
                <w:szCs w:val="24"/>
              </w:rPr>
              <w:t>SIM卡</w:t>
            </w:r>
          </w:p>
        </w:tc>
        <w:tc>
          <w:tcPr>
            <w:tcW w:w="1132" w:type="pct"/>
            <w:noWrap w:val="0"/>
            <w:vAlign w:val="center"/>
          </w:tcPr>
          <w:p w14:paraId="4835CF31">
            <w:pPr>
              <w:pStyle w:val="18"/>
              <w:snapToGrid w:val="0"/>
              <w:spacing w:before="7"/>
              <w:jc w:val="left"/>
              <w:rPr>
                <w:rFonts w:hint="eastAsia" w:ascii="仿宋" w:hAnsi="仿宋" w:eastAsia="仿宋" w:cs="仿宋"/>
                <w:sz w:val="24"/>
                <w:szCs w:val="24"/>
              </w:rPr>
            </w:pPr>
            <w:r>
              <w:rPr>
                <w:rFonts w:hint="eastAsia" w:ascii="仿宋" w:hAnsi="仿宋" w:eastAsia="仿宋" w:cs="仿宋"/>
                <w:spacing w:val="-3"/>
                <w:sz w:val="24"/>
                <w:szCs w:val="24"/>
              </w:rPr>
              <w:t>SIM卡类型</w:t>
            </w:r>
          </w:p>
        </w:tc>
        <w:tc>
          <w:tcPr>
            <w:tcW w:w="2453" w:type="pct"/>
            <w:gridSpan w:val="2"/>
            <w:noWrap w:val="0"/>
            <w:vAlign w:val="center"/>
          </w:tcPr>
          <w:p w14:paraId="7CC79671">
            <w:pPr>
              <w:pStyle w:val="18"/>
              <w:snapToGrid w:val="0"/>
              <w:spacing w:before="7"/>
              <w:jc w:val="left"/>
              <w:rPr>
                <w:rFonts w:hint="eastAsia" w:ascii="仿宋" w:hAnsi="仿宋" w:eastAsia="仿宋" w:cs="仿宋"/>
                <w:sz w:val="24"/>
                <w:szCs w:val="24"/>
              </w:rPr>
            </w:pPr>
            <w:r>
              <w:rPr>
                <w:rFonts w:hint="eastAsia" w:ascii="仿宋" w:hAnsi="仿宋" w:eastAsia="仿宋" w:cs="仿宋"/>
                <w:spacing w:val="-2"/>
                <w:sz w:val="24"/>
                <w:szCs w:val="24"/>
              </w:rPr>
              <w:t>Nano SIM,支持超级SIM卡</w:t>
            </w:r>
          </w:p>
        </w:tc>
      </w:tr>
      <w:tr w14:paraId="16CB28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413" w:type="pct"/>
            <w:tcBorders>
              <w:bottom w:val="single" w:color="auto" w:sz="4" w:space="0"/>
            </w:tcBorders>
            <w:noWrap w:val="0"/>
            <w:vAlign w:val="center"/>
          </w:tcPr>
          <w:p w14:paraId="449A94DD">
            <w:pPr>
              <w:pStyle w:val="18"/>
              <w:snapToGrid w:val="0"/>
              <w:spacing w:before="48"/>
              <w:jc w:val="left"/>
              <w:rPr>
                <w:rFonts w:hint="eastAsia" w:ascii="仿宋" w:hAnsi="仿宋" w:eastAsia="仿宋" w:cs="仿宋"/>
                <w:sz w:val="24"/>
                <w:szCs w:val="24"/>
              </w:rPr>
            </w:pPr>
            <w:r>
              <w:rPr>
                <w:rFonts w:hint="eastAsia" w:ascii="仿宋" w:hAnsi="仿宋" w:eastAsia="仿宋" w:cs="仿宋"/>
                <w:spacing w:val="-2"/>
                <w:sz w:val="24"/>
                <w:szCs w:val="24"/>
              </w:rPr>
              <w:t>充电接口</w:t>
            </w:r>
          </w:p>
        </w:tc>
        <w:tc>
          <w:tcPr>
            <w:tcW w:w="1132" w:type="pct"/>
            <w:tcBorders>
              <w:bottom w:val="single" w:color="auto" w:sz="4" w:space="0"/>
            </w:tcBorders>
            <w:noWrap w:val="0"/>
            <w:vAlign w:val="center"/>
          </w:tcPr>
          <w:p w14:paraId="2D8787D1">
            <w:pPr>
              <w:pStyle w:val="18"/>
              <w:snapToGrid w:val="0"/>
              <w:spacing w:before="48"/>
              <w:jc w:val="left"/>
              <w:rPr>
                <w:rFonts w:hint="eastAsia" w:ascii="仿宋" w:hAnsi="仿宋" w:eastAsia="仿宋" w:cs="仿宋"/>
                <w:sz w:val="24"/>
                <w:szCs w:val="24"/>
              </w:rPr>
            </w:pPr>
            <w:r>
              <w:rPr>
                <w:rFonts w:hint="eastAsia" w:ascii="仿宋" w:hAnsi="仿宋" w:eastAsia="仿宋" w:cs="仿宋"/>
                <w:spacing w:val="-1"/>
                <w:sz w:val="24"/>
                <w:szCs w:val="24"/>
              </w:rPr>
              <w:t>充电接口类型</w:t>
            </w:r>
          </w:p>
        </w:tc>
        <w:tc>
          <w:tcPr>
            <w:tcW w:w="2453" w:type="pct"/>
            <w:gridSpan w:val="2"/>
            <w:tcBorders>
              <w:bottom w:val="single" w:color="auto" w:sz="4" w:space="0"/>
            </w:tcBorders>
            <w:noWrap w:val="0"/>
            <w:vAlign w:val="center"/>
          </w:tcPr>
          <w:p w14:paraId="6E0C2423">
            <w:pPr>
              <w:pStyle w:val="18"/>
              <w:snapToGrid w:val="0"/>
              <w:spacing w:before="48"/>
              <w:jc w:val="left"/>
              <w:rPr>
                <w:rFonts w:hint="eastAsia" w:ascii="仿宋" w:hAnsi="仿宋" w:eastAsia="仿宋" w:cs="仿宋"/>
                <w:sz w:val="24"/>
                <w:szCs w:val="24"/>
              </w:rPr>
            </w:pPr>
            <w:r>
              <w:rPr>
                <w:rFonts w:hint="eastAsia" w:ascii="仿宋" w:hAnsi="仿宋" w:eastAsia="仿宋" w:cs="仿宋"/>
                <w:spacing w:val="-1"/>
                <w:sz w:val="24"/>
                <w:szCs w:val="24"/>
              </w:rPr>
              <w:t>磁吸式</w:t>
            </w:r>
          </w:p>
        </w:tc>
      </w:tr>
      <w:tr w14:paraId="0F0AEF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413" w:type="pct"/>
            <w:vMerge w:val="restart"/>
            <w:tcBorders>
              <w:top w:val="single" w:color="auto" w:sz="4" w:space="0"/>
              <w:left w:val="single" w:color="auto" w:sz="4" w:space="0"/>
              <w:right w:val="single" w:color="auto" w:sz="4" w:space="0"/>
            </w:tcBorders>
            <w:noWrap w:val="0"/>
            <w:vAlign w:val="center"/>
          </w:tcPr>
          <w:p w14:paraId="316DEABD">
            <w:pPr>
              <w:pStyle w:val="18"/>
              <w:snapToGrid w:val="0"/>
              <w:spacing w:before="52" w:line="184" w:lineRule="auto"/>
              <w:rPr>
                <w:rFonts w:hint="eastAsia" w:ascii="仿宋" w:hAnsi="仿宋" w:eastAsia="仿宋" w:cs="仿宋"/>
                <w:sz w:val="24"/>
                <w:szCs w:val="24"/>
              </w:rPr>
            </w:pPr>
            <w:r>
              <w:rPr>
                <w:rFonts w:hint="eastAsia" w:ascii="仿宋" w:hAnsi="仿宋" w:eastAsia="仿宋" w:cs="仿宋"/>
                <w:spacing w:val="-2"/>
                <w:sz w:val="24"/>
                <w:szCs w:val="24"/>
              </w:rPr>
              <w:t>支持功能</w:t>
            </w:r>
          </w:p>
        </w:tc>
        <w:tc>
          <w:tcPr>
            <w:tcW w:w="1132" w:type="pct"/>
            <w:tcBorders>
              <w:top w:val="single" w:color="auto" w:sz="4" w:space="0"/>
              <w:left w:val="single" w:color="auto" w:sz="4" w:space="0"/>
              <w:bottom w:val="single" w:color="auto" w:sz="4" w:space="0"/>
              <w:right w:val="single" w:color="auto" w:sz="4" w:space="0"/>
            </w:tcBorders>
            <w:noWrap w:val="0"/>
            <w:vAlign w:val="center"/>
          </w:tcPr>
          <w:p w14:paraId="34E1292B">
            <w:pPr>
              <w:pStyle w:val="18"/>
              <w:snapToGrid w:val="0"/>
              <w:spacing w:before="38"/>
              <w:jc w:val="left"/>
              <w:rPr>
                <w:rFonts w:hint="eastAsia" w:ascii="仿宋" w:hAnsi="仿宋" w:eastAsia="仿宋" w:cs="仿宋"/>
                <w:color w:val="000000"/>
                <w:sz w:val="24"/>
                <w:szCs w:val="24"/>
              </w:rPr>
            </w:pPr>
            <w:r>
              <w:rPr>
                <w:rFonts w:hint="eastAsia" w:ascii="仿宋" w:hAnsi="仿宋" w:eastAsia="仿宋" w:cs="仿宋"/>
                <w:color w:val="000000"/>
                <w:spacing w:val="-2"/>
                <w:sz w:val="24"/>
                <w:szCs w:val="24"/>
              </w:rPr>
              <w:t>定位</w:t>
            </w:r>
          </w:p>
        </w:tc>
        <w:tc>
          <w:tcPr>
            <w:tcW w:w="2453" w:type="pct"/>
            <w:gridSpan w:val="2"/>
            <w:tcBorders>
              <w:top w:val="single" w:color="auto" w:sz="4" w:space="0"/>
              <w:left w:val="single" w:color="auto" w:sz="4" w:space="0"/>
              <w:bottom w:val="single" w:color="auto" w:sz="4" w:space="0"/>
              <w:right w:val="single" w:color="auto" w:sz="4" w:space="0"/>
            </w:tcBorders>
            <w:noWrap w:val="0"/>
            <w:vAlign w:val="center"/>
          </w:tcPr>
          <w:p w14:paraId="577FC8B6">
            <w:pPr>
              <w:pStyle w:val="18"/>
              <w:snapToGrid w:val="0"/>
              <w:spacing w:before="9"/>
              <w:jc w:val="left"/>
              <w:rPr>
                <w:rFonts w:hint="eastAsia" w:ascii="仿宋" w:hAnsi="仿宋" w:eastAsia="仿宋" w:cs="仿宋"/>
                <w:color w:val="000000"/>
                <w:sz w:val="24"/>
                <w:szCs w:val="24"/>
              </w:rPr>
            </w:pPr>
            <w:r>
              <w:rPr>
                <w:rFonts w:hint="eastAsia" w:ascii="仿宋" w:hAnsi="仿宋" w:eastAsia="仿宋" w:cs="仿宋"/>
                <w:color w:val="000000"/>
                <w:spacing w:val="-2"/>
                <w:sz w:val="24"/>
                <w:szCs w:val="24"/>
              </w:rPr>
              <w:t>GPS+BD+LBS+WI</w:t>
            </w:r>
            <w:r>
              <w:rPr>
                <w:rFonts w:hint="eastAsia" w:ascii="仿宋" w:hAnsi="仿宋" w:eastAsia="仿宋" w:cs="仿宋"/>
                <w:color w:val="000000"/>
                <w:spacing w:val="-32"/>
                <w:sz w:val="24"/>
                <w:szCs w:val="24"/>
              </w:rPr>
              <w:t xml:space="preserve"> </w:t>
            </w:r>
            <w:r>
              <w:rPr>
                <w:rFonts w:hint="eastAsia" w:ascii="仿宋" w:hAnsi="仿宋" w:eastAsia="仿宋" w:cs="仿宋"/>
                <w:color w:val="000000"/>
                <w:spacing w:val="-2"/>
                <w:sz w:val="24"/>
                <w:szCs w:val="24"/>
              </w:rPr>
              <w:t>FI</w:t>
            </w:r>
            <w:r>
              <w:rPr>
                <w:rFonts w:hint="eastAsia" w:ascii="仿宋" w:hAnsi="仿宋" w:eastAsia="仿宋" w:cs="仿宋"/>
                <w:color w:val="000000"/>
                <w:spacing w:val="-28"/>
                <w:sz w:val="24"/>
                <w:szCs w:val="24"/>
              </w:rPr>
              <w:t xml:space="preserve"> </w:t>
            </w:r>
            <w:r>
              <w:rPr>
                <w:rFonts w:hint="eastAsia" w:ascii="仿宋" w:hAnsi="仿宋" w:eastAsia="仿宋" w:cs="仿宋"/>
                <w:color w:val="000000"/>
                <w:spacing w:val="-2"/>
                <w:sz w:val="24"/>
                <w:szCs w:val="24"/>
              </w:rPr>
              <w:t>+AGPS+BLE</w:t>
            </w:r>
          </w:p>
        </w:tc>
      </w:tr>
      <w:tr w14:paraId="7E8181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413" w:type="pct"/>
            <w:vMerge w:val="continue"/>
            <w:tcBorders>
              <w:left w:val="single" w:color="auto" w:sz="4" w:space="0"/>
              <w:right w:val="single" w:color="auto" w:sz="4" w:space="0"/>
            </w:tcBorders>
            <w:noWrap w:val="0"/>
            <w:vAlign w:val="center"/>
          </w:tcPr>
          <w:p w14:paraId="0F2F6C41">
            <w:pPr>
              <w:pStyle w:val="18"/>
              <w:snapToGrid w:val="0"/>
              <w:spacing w:before="52" w:line="184" w:lineRule="auto"/>
              <w:rPr>
                <w:rFonts w:hint="eastAsia" w:ascii="仿宋" w:hAnsi="仿宋" w:eastAsia="仿宋" w:cs="仿宋"/>
                <w:sz w:val="24"/>
                <w:szCs w:val="24"/>
              </w:rPr>
            </w:pPr>
          </w:p>
        </w:tc>
        <w:tc>
          <w:tcPr>
            <w:tcW w:w="1132" w:type="pct"/>
            <w:tcBorders>
              <w:top w:val="single" w:color="auto" w:sz="4" w:space="0"/>
              <w:left w:val="single" w:color="auto" w:sz="4" w:space="0"/>
              <w:bottom w:val="single" w:color="auto" w:sz="4" w:space="0"/>
              <w:right w:val="single" w:color="auto" w:sz="4" w:space="0"/>
            </w:tcBorders>
            <w:noWrap w:val="0"/>
            <w:vAlign w:val="center"/>
          </w:tcPr>
          <w:p w14:paraId="2B43DC57">
            <w:pPr>
              <w:pStyle w:val="18"/>
              <w:snapToGrid w:val="0"/>
              <w:spacing w:before="43"/>
              <w:jc w:val="left"/>
              <w:rPr>
                <w:rFonts w:hint="eastAsia" w:ascii="仿宋" w:hAnsi="仿宋" w:eastAsia="仿宋" w:cs="仿宋"/>
                <w:sz w:val="24"/>
                <w:szCs w:val="24"/>
              </w:rPr>
            </w:pPr>
            <w:r>
              <w:rPr>
                <w:rFonts w:hint="eastAsia" w:ascii="仿宋" w:hAnsi="仿宋" w:eastAsia="仿宋" w:cs="仿宋"/>
                <w:sz w:val="24"/>
                <w:szCs w:val="24"/>
              </w:rPr>
              <w:t>SOS</w:t>
            </w:r>
            <w:r>
              <w:rPr>
                <w:rFonts w:hint="eastAsia" w:ascii="仿宋" w:hAnsi="仿宋" w:eastAsia="仿宋" w:cs="仿宋"/>
                <w:spacing w:val="6"/>
                <w:sz w:val="24"/>
                <w:szCs w:val="24"/>
              </w:rPr>
              <w:t>一键呼救</w:t>
            </w:r>
          </w:p>
        </w:tc>
        <w:tc>
          <w:tcPr>
            <w:tcW w:w="2453" w:type="pct"/>
            <w:gridSpan w:val="2"/>
            <w:tcBorders>
              <w:top w:val="single" w:color="auto" w:sz="4" w:space="0"/>
              <w:left w:val="single" w:color="auto" w:sz="4" w:space="0"/>
              <w:bottom w:val="single" w:color="auto" w:sz="4" w:space="0"/>
              <w:right w:val="single" w:color="auto" w:sz="4" w:space="0"/>
            </w:tcBorders>
            <w:noWrap w:val="0"/>
            <w:vAlign w:val="center"/>
          </w:tcPr>
          <w:p w14:paraId="0D24AE3E">
            <w:pPr>
              <w:pStyle w:val="18"/>
              <w:snapToGrid w:val="0"/>
              <w:spacing w:before="48"/>
              <w:jc w:val="left"/>
              <w:rPr>
                <w:rFonts w:hint="eastAsia" w:ascii="仿宋" w:hAnsi="仿宋" w:eastAsia="仿宋" w:cs="仿宋"/>
                <w:sz w:val="24"/>
                <w:szCs w:val="24"/>
              </w:rPr>
            </w:pPr>
            <w:r>
              <w:rPr>
                <w:rFonts w:hint="eastAsia" w:ascii="仿宋" w:hAnsi="仿宋" w:eastAsia="仿宋" w:cs="仿宋"/>
                <w:spacing w:val="-2"/>
                <w:sz w:val="24"/>
                <w:szCs w:val="24"/>
              </w:rPr>
              <w:t>支持</w:t>
            </w:r>
          </w:p>
        </w:tc>
      </w:tr>
      <w:tr w14:paraId="086D7C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413" w:type="pct"/>
            <w:vMerge w:val="continue"/>
            <w:tcBorders>
              <w:left w:val="single" w:color="auto" w:sz="4" w:space="0"/>
              <w:right w:val="single" w:color="auto" w:sz="4" w:space="0"/>
            </w:tcBorders>
            <w:noWrap w:val="0"/>
            <w:vAlign w:val="center"/>
          </w:tcPr>
          <w:p w14:paraId="77EE0B19">
            <w:pPr>
              <w:pStyle w:val="18"/>
              <w:snapToGrid w:val="0"/>
              <w:spacing w:before="52" w:line="184" w:lineRule="auto"/>
              <w:rPr>
                <w:rFonts w:hint="eastAsia" w:ascii="仿宋" w:hAnsi="仿宋" w:eastAsia="仿宋" w:cs="仿宋"/>
                <w:sz w:val="24"/>
                <w:szCs w:val="24"/>
              </w:rPr>
            </w:pPr>
          </w:p>
        </w:tc>
        <w:tc>
          <w:tcPr>
            <w:tcW w:w="1132" w:type="pct"/>
            <w:tcBorders>
              <w:top w:val="single" w:color="auto" w:sz="4" w:space="0"/>
              <w:left w:val="single" w:color="auto" w:sz="4" w:space="0"/>
              <w:bottom w:val="single" w:color="auto" w:sz="4" w:space="0"/>
              <w:right w:val="single" w:color="auto" w:sz="4" w:space="0"/>
            </w:tcBorders>
            <w:noWrap w:val="0"/>
            <w:vAlign w:val="center"/>
          </w:tcPr>
          <w:p w14:paraId="6CA4808F">
            <w:pPr>
              <w:pStyle w:val="18"/>
              <w:snapToGrid w:val="0"/>
              <w:spacing w:before="44"/>
              <w:jc w:val="left"/>
              <w:rPr>
                <w:rFonts w:hint="eastAsia" w:ascii="仿宋" w:hAnsi="仿宋" w:eastAsia="仿宋" w:cs="仿宋"/>
                <w:sz w:val="24"/>
                <w:szCs w:val="24"/>
              </w:rPr>
            </w:pPr>
            <w:r>
              <w:rPr>
                <w:rFonts w:hint="eastAsia" w:ascii="仿宋" w:hAnsi="仿宋" w:eastAsia="仿宋" w:cs="仿宋"/>
                <w:spacing w:val="5"/>
                <w:sz w:val="24"/>
                <w:szCs w:val="24"/>
              </w:rPr>
              <w:t>佩戴检测</w:t>
            </w:r>
          </w:p>
        </w:tc>
        <w:tc>
          <w:tcPr>
            <w:tcW w:w="2453" w:type="pct"/>
            <w:gridSpan w:val="2"/>
            <w:tcBorders>
              <w:top w:val="single" w:color="auto" w:sz="4" w:space="0"/>
              <w:left w:val="single" w:color="auto" w:sz="4" w:space="0"/>
              <w:bottom w:val="single" w:color="auto" w:sz="4" w:space="0"/>
              <w:right w:val="single" w:color="auto" w:sz="4" w:space="0"/>
            </w:tcBorders>
            <w:noWrap w:val="0"/>
            <w:vAlign w:val="center"/>
          </w:tcPr>
          <w:p w14:paraId="0E27FA3F">
            <w:pPr>
              <w:pStyle w:val="18"/>
              <w:snapToGrid w:val="0"/>
              <w:spacing w:before="49"/>
              <w:jc w:val="left"/>
              <w:rPr>
                <w:rFonts w:hint="eastAsia" w:ascii="仿宋" w:hAnsi="仿宋" w:eastAsia="仿宋" w:cs="仿宋"/>
                <w:sz w:val="24"/>
                <w:szCs w:val="24"/>
              </w:rPr>
            </w:pPr>
            <w:r>
              <w:rPr>
                <w:rFonts w:hint="eastAsia" w:ascii="仿宋" w:hAnsi="仿宋" w:eastAsia="仿宋" w:cs="仿宋"/>
                <w:spacing w:val="-2"/>
                <w:sz w:val="24"/>
                <w:szCs w:val="24"/>
              </w:rPr>
              <w:t>支持</w:t>
            </w:r>
          </w:p>
        </w:tc>
      </w:tr>
      <w:tr w14:paraId="1B4999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8" w:type="pct"/>
          <w:jc w:val="center"/>
        </w:trPr>
        <w:tc>
          <w:tcPr>
            <w:tcW w:w="1413" w:type="pct"/>
            <w:vMerge w:val="continue"/>
            <w:tcBorders>
              <w:left w:val="single" w:color="auto" w:sz="4" w:space="0"/>
              <w:right w:val="single" w:color="auto" w:sz="4" w:space="0"/>
            </w:tcBorders>
            <w:noWrap w:val="0"/>
            <w:vAlign w:val="top"/>
          </w:tcPr>
          <w:p w14:paraId="2B536723">
            <w:pPr>
              <w:pStyle w:val="18"/>
              <w:snapToGrid w:val="0"/>
              <w:spacing w:before="52" w:line="184" w:lineRule="auto"/>
              <w:rPr>
                <w:rFonts w:hint="eastAsia" w:ascii="仿宋" w:hAnsi="仿宋" w:eastAsia="仿宋" w:cs="仿宋"/>
                <w:sz w:val="24"/>
                <w:szCs w:val="24"/>
              </w:rPr>
            </w:pPr>
          </w:p>
        </w:tc>
        <w:tc>
          <w:tcPr>
            <w:tcW w:w="1132" w:type="pct"/>
            <w:tcBorders>
              <w:top w:val="single" w:color="auto" w:sz="4" w:space="0"/>
              <w:left w:val="single" w:color="auto" w:sz="4" w:space="0"/>
              <w:bottom w:val="single" w:color="auto" w:sz="4" w:space="0"/>
              <w:right w:val="single" w:color="auto" w:sz="4" w:space="0"/>
            </w:tcBorders>
            <w:noWrap w:val="0"/>
            <w:vAlign w:val="top"/>
          </w:tcPr>
          <w:p w14:paraId="4DA0DDFC">
            <w:pPr>
              <w:pStyle w:val="18"/>
              <w:snapToGrid w:val="0"/>
              <w:spacing w:before="41" w:line="163" w:lineRule="auto"/>
              <w:ind w:left="28"/>
              <w:rPr>
                <w:rFonts w:hint="eastAsia" w:ascii="仿宋" w:hAnsi="仿宋" w:eastAsia="仿宋" w:cs="仿宋"/>
                <w:sz w:val="24"/>
                <w:szCs w:val="24"/>
              </w:rPr>
            </w:pPr>
            <w:r>
              <w:rPr>
                <w:rFonts w:hint="eastAsia" w:ascii="仿宋" w:hAnsi="仿宋" w:eastAsia="仿宋" w:cs="仿宋"/>
                <w:spacing w:val="5"/>
                <w:sz w:val="24"/>
                <w:szCs w:val="24"/>
              </w:rPr>
              <w:t>心率监测</w:t>
            </w:r>
          </w:p>
        </w:tc>
        <w:tc>
          <w:tcPr>
            <w:tcW w:w="2445" w:type="pct"/>
            <w:tcBorders>
              <w:top w:val="single" w:color="auto" w:sz="4" w:space="0"/>
              <w:left w:val="single" w:color="auto" w:sz="4" w:space="0"/>
              <w:bottom w:val="single" w:color="auto" w:sz="4" w:space="0"/>
              <w:right w:val="single" w:color="auto" w:sz="4" w:space="0"/>
            </w:tcBorders>
            <w:noWrap w:val="0"/>
            <w:vAlign w:val="top"/>
          </w:tcPr>
          <w:p w14:paraId="1C8C0362">
            <w:pPr>
              <w:pStyle w:val="18"/>
              <w:snapToGrid w:val="0"/>
              <w:spacing w:before="16" w:line="195" w:lineRule="auto"/>
              <w:ind w:left="28"/>
              <w:rPr>
                <w:rFonts w:hint="eastAsia" w:ascii="仿宋" w:hAnsi="仿宋" w:eastAsia="仿宋" w:cs="仿宋"/>
                <w:sz w:val="24"/>
                <w:szCs w:val="24"/>
                <w:lang w:eastAsia="zh-CN"/>
              </w:rPr>
            </w:pPr>
            <w:r>
              <w:rPr>
                <w:rFonts w:hint="eastAsia" w:ascii="仿宋" w:hAnsi="仿宋" w:eastAsia="仿宋" w:cs="仿宋"/>
                <w:spacing w:val="-3"/>
                <w:sz w:val="24"/>
                <w:szCs w:val="24"/>
                <w:lang w:eastAsia="zh-CN"/>
              </w:rPr>
              <w:t>支持</w:t>
            </w:r>
            <w:r>
              <w:rPr>
                <w:rFonts w:hint="eastAsia" w:ascii="仿宋" w:hAnsi="仿宋" w:eastAsia="仿宋" w:cs="仿宋"/>
                <w:spacing w:val="-18"/>
                <w:sz w:val="24"/>
                <w:szCs w:val="24"/>
                <w:lang w:eastAsia="zh-CN"/>
              </w:rPr>
              <w:t xml:space="preserve"> </w:t>
            </w:r>
            <w:r>
              <w:rPr>
                <w:rFonts w:hint="eastAsia" w:ascii="仿宋" w:hAnsi="仿宋" w:eastAsia="仿宋" w:cs="仿宋"/>
                <w:spacing w:val="-3"/>
                <w:sz w:val="24"/>
                <w:szCs w:val="24"/>
                <w:lang w:eastAsia="zh-CN"/>
              </w:rPr>
              <w:t>24小时静态、动态监测</w:t>
            </w:r>
          </w:p>
        </w:tc>
      </w:tr>
      <w:tr w14:paraId="43B2BB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8" w:type="pct"/>
          <w:jc w:val="center"/>
        </w:trPr>
        <w:tc>
          <w:tcPr>
            <w:tcW w:w="1413" w:type="pct"/>
            <w:vMerge w:val="continue"/>
            <w:tcBorders>
              <w:left w:val="single" w:color="auto" w:sz="4" w:space="0"/>
              <w:right w:val="single" w:color="auto" w:sz="4" w:space="0"/>
            </w:tcBorders>
            <w:noWrap w:val="0"/>
            <w:vAlign w:val="top"/>
          </w:tcPr>
          <w:p w14:paraId="5E5537C7">
            <w:pPr>
              <w:snapToGrid w:val="0"/>
              <w:rPr>
                <w:rFonts w:hint="eastAsia" w:ascii="仿宋" w:hAnsi="仿宋" w:eastAsia="仿宋" w:cs="仿宋"/>
                <w:sz w:val="24"/>
                <w:szCs w:val="24"/>
              </w:rPr>
            </w:pPr>
          </w:p>
        </w:tc>
        <w:tc>
          <w:tcPr>
            <w:tcW w:w="1132" w:type="pct"/>
            <w:tcBorders>
              <w:top w:val="single" w:color="auto" w:sz="4" w:space="0"/>
              <w:left w:val="single" w:color="auto" w:sz="4" w:space="0"/>
              <w:bottom w:val="single" w:color="auto" w:sz="4" w:space="0"/>
              <w:right w:val="single" w:color="auto" w:sz="4" w:space="0"/>
            </w:tcBorders>
            <w:noWrap w:val="0"/>
            <w:vAlign w:val="top"/>
          </w:tcPr>
          <w:p w14:paraId="060D6FF8">
            <w:pPr>
              <w:pStyle w:val="18"/>
              <w:snapToGrid w:val="0"/>
              <w:spacing w:before="36" w:line="162" w:lineRule="auto"/>
              <w:ind w:left="29"/>
              <w:rPr>
                <w:rFonts w:hint="eastAsia" w:ascii="仿宋" w:hAnsi="仿宋" w:eastAsia="仿宋" w:cs="仿宋"/>
                <w:sz w:val="24"/>
                <w:szCs w:val="24"/>
              </w:rPr>
            </w:pPr>
            <w:r>
              <w:rPr>
                <w:rFonts w:hint="eastAsia" w:ascii="仿宋" w:hAnsi="仿宋" w:eastAsia="仿宋" w:cs="仿宋"/>
                <w:spacing w:val="5"/>
                <w:sz w:val="24"/>
                <w:szCs w:val="24"/>
              </w:rPr>
              <w:t>血氧监测</w:t>
            </w:r>
          </w:p>
        </w:tc>
        <w:tc>
          <w:tcPr>
            <w:tcW w:w="2445" w:type="pct"/>
            <w:tcBorders>
              <w:top w:val="single" w:color="auto" w:sz="4" w:space="0"/>
              <w:left w:val="single" w:color="auto" w:sz="4" w:space="0"/>
              <w:bottom w:val="single" w:color="auto" w:sz="4" w:space="0"/>
              <w:right w:val="single" w:color="auto" w:sz="4" w:space="0"/>
            </w:tcBorders>
            <w:noWrap w:val="0"/>
            <w:vAlign w:val="top"/>
          </w:tcPr>
          <w:p w14:paraId="416889B5">
            <w:pPr>
              <w:pStyle w:val="18"/>
              <w:snapToGrid w:val="0"/>
              <w:spacing w:before="11" w:line="194" w:lineRule="auto"/>
              <w:ind w:left="28"/>
              <w:rPr>
                <w:rFonts w:hint="eastAsia" w:ascii="仿宋" w:hAnsi="仿宋" w:eastAsia="仿宋" w:cs="仿宋"/>
                <w:sz w:val="24"/>
                <w:szCs w:val="24"/>
                <w:lang w:eastAsia="zh-CN"/>
              </w:rPr>
            </w:pPr>
            <w:r>
              <w:rPr>
                <w:rFonts w:hint="eastAsia" w:ascii="仿宋" w:hAnsi="仿宋" w:eastAsia="仿宋" w:cs="仿宋"/>
                <w:spacing w:val="-3"/>
                <w:sz w:val="24"/>
                <w:szCs w:val="24"/>
                <w:lang w:eastAsia="zh-CN"/>
              </w:rPr>
              <w:t>支持</w:t>
            </w:r>
            <w:r>
              <w:rPr>
                <w:rFonts w:hint="eastAsia" w:ascii="仿宋" w:hAnsi="仿宋" w:eastAsia="仿宋" w:cs="仿宋"/>
                <w:spacing w:val="-23"/>
                <w:sz w:val="24"/>
                <w:szCs w:val="24"/>
                <w:lang w:eastAsia="zh-CN"/>
              </w:rPr>
              <w:t xml:space="preserve"> </w:t>
            </w:r>
            <w:r>
              <w:rPr>
                <w:rFonts w:hint="eastAsia" w:ascii="仿宋" w:hAnsi="仿宋" w:eastAsia="仿宋" w:cs="仿宋"/>
                <w:spacing w:val="-3"/>
                <w:sz w:val="24"/>
                <w:szCs w:val="24"/>
                <w:lang w:eastAsia="zh-CN"/>
              </w:rPr>
              <w:t>24小时动态监测</w:t>
            </w:r>
          </w:p>
        </w:tc>
      </w:tr>
      <w:tr w14:paraId="254CEA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8" w:type="pct"/>
          <w:jc w:val="center"/>
        </w:trPr>
        <w:tc>
          <w:tcPr>
            <w:tcW w:w="1413" w:type="pct"/>
            <w:vMerge w:val="continue"/>
            <w:tcBorders>
              <w:left w:val="single" w:color="auto" w:sz="4" w:space="0"/>
              <w:right w:val="single" w:color="auto" w:sz="4" w:space="0"/>
            </w:tcBorders>
            <w:noWrap w:val="0"/>
            <w:vAlign w:val="top"/>
          </w:tcPr>
          <w:p w14:paraId="6CAF3274">
            <w:pPr>
              <w:snapToGrid w:val="0"/>
              <w:rPr>
                <w:rFonts w:hint="eastAsia" w:ascii="仿宋" w:hAnsi="仿宋" w:eastAsia="仿宋" w:cs="仿宋"/>
                <w:sz w:val="24"/>
                <w:szCs w:val="24"/>
              </w:rPr>
            </w:pPr>
          </w:p>
        </w:tc>
        <w:tc>
          <w:tcPr>
            <w:tcW w:w="1132" w:type="pct"/>
            <w:tcBorders>
              <w:top w:val="single" w:color="auto" w:sz="4" w:space="0"/>
              <w:left w:val="single" w:color="auto" w:sz="4" w:space="0"/>
              <w:bottom w:val="single" w:color="auto" w:sz="4" w:space="0"/>
              <w:right w:val="single" w:color="auto" w:sz="4" w:space="0"/>
            </w:tcBorders>
            <w:noWrap w:val="0"/>
            <w:vAlign w:val="top"/>
          </w:tcPr>
          <w:p w14:paraId="57A33FED">
            <w:pPr>
              <w:pStyle w:val="18"/>
              <w:snapToGrid w:val="0"/>
              <w:spacing w:before="37" w:line="161" w:lineRule="auto"/>
              <w:ind w:left="34"/>
              <w:rPr>
                <w:rFonts w:hint="eastAsia" w:ascii="仿宋" w:hAnsi="仿宋" w:eastAsia="仿宋" w:cs="仿宋"/>
                <w:sz w:val="24"/>
                <w:szCs w:val="24"/>
              </w:rPr>
            </w:pPr>
            <w:r>
              <w:rPr>
                <w:rFonts w:hint="eastAsia" w:ascii="仿宋" w:hAnsi="仿宋" w:eastAsia="仿宋" w:cs="仿宋"/>
                <w:spacing w:val="3"/>
                <w:sz w:val="24"/>
                <w:szCs w:val="24"/>
              </w:rPr>
              <w:t>睡眠监测</w:t>
            </w:r>
          </w:p>
        </w:tc>
        <w:tc>
          <w:tcPr>
            <w:tcW w:w="2445" w:type="pct"/>
            <w:tcBorders>
              <w:top w:val="single" w:color="auto" w:sz="4" w:space="0"/>
              <w:left w:val="single" w:color="auto" w:sz="4" w:space="0"/>
              <w:bottom w:val="single" w:color="auto" w:sz="4" w:space="0"/>
              <w:right w:val="single" w:color="auto" w:sz="4" w:space="0"/>
            </w:tcBorders>
            <w:noWrap w:val="0"/>
            <w:vAlign w:val="top"/>
          </w:tcPr>
          <w:p w14:paraId="0F9924A2">
            <w:pPr>
              <w:pStyle w:val="18"/>
              <w:snapToGrid w:val="0"/>
              <w:spacing w:before="13" w:line="192" w:lineRule="auto"/>
              <w:ind w:left="28"/>
              <w:rPr>
                <w:rFonts w:hint="eastAsia" w:ascii="仿宋" w:hAnsi="仿宋" w:eastAsia="仿宋" w:cs="仿宋"/>
                <w:sz w:val="24"/>
                <w:szCs w:val="24"/>
                <w:lang w:eastAsia="zh-CN"/>
              </w:rPr>
            </w:pPr>
            <w:r>
              <w:rPr>
                <w:rFonts w:hint="eastAsia" w:ascii="仿宋" w:hAnsi="仿宋" w:eastAsia="仿宋" w:cs="仿宋"/>
                <w:spacing w:val="-3"/>
                <w:sz w:val="24"/>
                <w:szCs w:val="24"/>
                <w:lang w:eastAsia="zh-CN"/>
              </w:rPr>
              <w:t>支持</w:t>
            </w:r>
            <w:r>
              <w:rPr>
                <w:rFonts w:hint="eastAsia" w:ascii="仿宋" w:hAnsi="仿宋" w:eastAsia="仿宋" w:cs="仿宋"/>
                <w:spacing w:val="-23"/>
                <w:sz w:val="24"/>
                <w:szCs w:val="24"/>
                <w:lang w:eastAsia="zh-CN"/>
              </w:rPr>
              <w:t xml:space="preserve"> </w:t>
            </w:r>
            <w:r>
              <w:rPr>
                <w:rFonts w:hint="eastAsia" w:ascii="仿宋" w:hAnsi="仿宋" w:eastAsia="仿宋" w:cs="仿宋"/>
                <w:spacing w:val="-3"/>
                <w:sz w:val="24"/>
                <w:szCs w:val="24"/>
                <w:lang w:eastAsia="zh-CN"/>
              </w:rPr>
              <w:t>24小时动态监测</w:t>
            </w:r>
          </w:p>
        </w:tc>
      </w:tr>
      <w:tr w14:paraId="61BF22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8" w:type="pct"/>
          <w:jc w:val="center"/>
        </w:trPr>
        <w:tc>
          <w:tcPr>
            <w:tcW w:w="1413" w:type="pct"/>
            <w:vMerge w:val="continue"/>
            <w:tcBorders>
              <w:left w:val="single" w:color="auto" w:sz="4" w:space="0"/>
              <w:right w:val="single" w:color="auto" w:sz="4" w:space="0"/>
            </w:tcBorders>
            <w:noWrap w:val="0"/>
            <w:vAlign w:val="top"/>
          </w:tcPr>
          <w:p w14:paraId="0E55DD50">
            <w:pPr>
              <w:snapToGrid w:val="0"/>
              <w:rPr>
                <w:rFonts w:hint="eastAsia" w:ascii="仿宋" w:hAnsi="仿宋" w:eastAsia="仿宋" w:cs="仿宋"/>
                <w:sz w:val="24"/>
                <w:szCs w:val="24"/>
              </w:rPr>
            </w:pPr>
          </w:p>
        </w:tc>
        <w:tc>
          <w:tcPr>
            <w:tcW w:w="1132" w:type="pct"/>
            <w:tcBorders>
              <w:top w:val="single" w:color="auto" w:sz="4" w:space="0"/>
              <w:left w:val="single" w:color="auto" w:sz="4" w:space="0"/>
              <w:bottom w:val="single" w:color="auto" w:sz="4" w:space="0"/>
              <w:right w:val="single" w:color="auto" w:sz="4" w:space="0"/>
            </w:tcBorders>
            <w:noWrap w:val="0"/>
            <w:vAlign w:val="top"/>
          </w:tcPr>
          <w:p w14:paraId="27C52388">
            <w:pPr>
              <w:pStyle w:val="18"/>
              <w:snapToGrid w:val="0"/>
              <w:spacing w:before="39" w:line="159" w:lineRule="auto"/>
              <w:ind w:left="26"/>
              <w:rPr>
                <w:rFonts w:hint="eastAsia" w:ascii="仿宋" w:hAnsi="仿宋" w:eastAsia="仿宋" w:cs="仿宋"/>
                <w:sz w:val="24"/>
                <w:szCs w:val="24"/>
              </w:rPr>
            </w:pPr>
            <w:r>
              <w:rPr>
                <w:rFonts w:hint="eastAsia" w:ascii="仿宋" w:hAnsi="仿宋" w:eastAsia="仿宋" w:cs="仿宋"/>
                <w:spacing w:val="5"/>
                <w:sz w:val="24"/>
                <w:szCs w:val="24"/>
              </w:rPr>
              <w:t>健康计步</w:t>
            </w:r>
          </w:p>
        </w:tc>
        <w:tc>
          <w:tcPr>
            <w:tcW w:w="2445" w:type="pct"/>
            <w:tcBorders>
              <w:top w:val="single" w:color="auto" w:sz="4" w:space="0"/>
              <w:left w:val="single" w:color="auto" w:sz="4" w:space="0"/>
              <w:bottom w:val="single" w:color="auto" w:sz="4" w:space="0"/>
              <w:right w:val="single" w:color="auto" w:sz="4" w:space="0"/>
            </w:tcBorders>
            <w:noWrap w:val="0"/>
            <w:vAlign w:val="top"/>
          </w:tcPr>
          <w:p w14:paraId="1001FFBE">
            <w:pPr>
              <w:pStyle w:val="18"/>
              <w:snapToGrid w:val="0"/>
              <w:spacing w:before="14" w:line="191" w:lineRule="auto"/>
              <w:ind w:left="28"/>
              <w:rPr>
                <w:rFonts w:hint="eastAsia" w:ascii="仿宋" w:hAnsi="仿宋" w:eastAsia="仿宋" w:cs="仿宋"/>
                <w:sz w:val="24"/>
                <w:szCs w:val="24"/>
              </w:rPr>
            </w:pPr>
            <w:r>
              <w:rPr>
                <w:rFonts w:hint="eastAsia" w:ascii="仿宋" w:hAnsi="仿宋" w:eastAsia="仿宋" w:cs="仿宋"/>
                <w:spacing w:val="-3"/>
                <w:sz w:val="24"/>
                <w:szCs w:val="24"/>
              </w:rPr>
              <w:t>支持,3轴传感器</w:t>
            </w:r>
          </w:p>
        </w:tc>
      </w:tr>
      <w:tr w14:paraId="2E0150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8" w:type="pct"/>
          <w:jc w:val="center"/>
        </w:trPr>
        <w:tc>
          <w:tcPr>
            <w:tcW w:w="1413" w:type="pct"/>
            <w:vMerge w:val="continue"/>
            <w:tcBorders>
              <w:left w:val="single" w:color="auto" w:sz="4" w:space="0"/>
              <w:bottom w:val="single" w:color="auto" w:sz="4" w:space="0"/>
              <w:right w:val="single" w:color="auto" w:sz="4" w:space="0"/>
            </w:tcBorders>
            <w:noWrap w:val="0"/>
            <w:vAlign w:val="top"/>
          </w:tcPr>
          <w:p w14:paraId="6BC49A95">
            <w:pPr>
              <w:snapToGrid w:val="0"/>
              <w:rPr>
                <w:rFonts w:hint="eastAsia" w:ascii="仿宋" w:hAnsi="仿宋" w:eastAsia="仿宋" w:cs="仿宋"/>
                <w:sz w:val="24"/>
                <w:szCs w:val="24"/>
                <w:lang w:eastAsia="en-US"/>
              </w:rPr>
            </w:pPr>
          </w:p>
        </w:tc>
        <w:tc>
          <w:tcPr>
            <w:tcW w:w="1132" w:type="pct"/>
            <w:tcBorders>
              <w:top w:val="single" w:color="auto" w:sz="4" w:space="0"/>
              <w:left w:val="single" w:color="auto" w:sz="4" w:space="0"/>
              <w:bottom w:val="single" w:color="auto" w:sz="4" w:space="0"/>
              <w:right w:val="single" w:color="auto" w:sz="4" w:space="0"/>
            </w:tcBorders>
            <w:noWrap w:val="0"/>
            <w:vAlign w:val="top"/>
          </w:tcPr>
          <w:p w14:paraId="67568A73">
            <w:pPr>
              <w:pStyle w:val="18"/>
              <w:snapToGrid w:val="0"/>
              <w:spacing w:before="35" w:line="178" w:lineRule="exact"/>
              <w:ind w:left="22"/>
              <w:rPr>
                <w:rFonts w:hint="eastAsia" w:ascii="仿宋" w:hAnsi="仿宋" w:eastAsia="仿宋" w:cs="仿宋"/>
                <w:sz w:val="24"/>
                <w:szCs w:val="24"/>
              </w:rPr>
            </w:pPr>
            <w:r>
              <w:rPr>
                <w:rFonts w:hint="eastAsia" w:ascii="仿宋" w:hAnsi="仿宋" w:eastAsia="仿宋" w:cs="仿宋"/>
                <w:spacing w:val="-1"/>
                <w:sz w:val="24"/>
                <w:szCs w:val="24"/>
              </w:rPr>
              <w:t>体温监测</w:t>
            </w:r>
          </w:p>
        </w:tc>
        <w:tc>
          <w:tcPr>
            <w:tcW w:w="2445" w:type="pct"/>
            <w:tcBorders>
              <w:top w:val="single" w:color="auto" w:sz="4" w:space="0"/>
              <w:left w:val="single" w:color="auto" w:sz="4" w:space="0"/>
              <w:bottom w:val="single" w:color="auto" w:sz="4" w:space="0"/>
              <w:right w:val="single" w:color="auto" w:sz="4" w:space="0"/>
            </w:tcBorders>
            <w:noWrap w:val="0"/>
            <w:vAlign w:val="top"/>
          </w:tcPr>
          <w:p w14:paraId="1E8A94A4">
            <w:pPr>
              <w:pStyle w:val="18"/>
              <w:snapToGrid w:val="0"/>
              <w:spacing w:before="36" w:line="177" w:lineRule="exact"/>
              <w:ind w:left="28"/>
              <w:rPr>
                <w:rFonts w:hint="eastAsia" w:ascii="仿宋" w:hAnsi="仿宋" w:eastAsia="仿宋" w:cs="仿宋"/>
                <w:sz w:val="24"/>
                <w:szCs w:val="24"/>
              </w:rPr>
            </w:pPr>
            <w:r>
              <w:rPr>
                <w:rFonts w:hint="eastAsia" w:ascii="仿宋" w:hAnsi="仿宋" w:eastAsia="仿宋" w:cs="仿宋"/>
                <w:spacing w:val="-2"/>
                <w:sz w:val="24"/>
                <w:szCs w:val="24"/>
              </w:rPr>
              <w:t>支持</w:t>
            </w:r>
          </w:p>
        </w:tc>
      </w:tr>
    </w:tbl>
    <w:p w14:paraId="54B3D4C9">
      <w:pPr>
        <w:spacing w:line="400" w:lineRule="atLeast"/>
        <w:ind w:firstLine="480" w:firstLineChars="200"/>
        <w:rPr>
          <w:rFonts w:hint="eastAsia" w:ascii="仿宋" w:hAnsi="仿宋" w:eastAsia="仿宋" w:cs="仿宋"/>
          <w:kern w:val="0"/>
          <w:sz w:val="24"/>
          <w:szCs w:val="24"/>
          <w:u w:val="single"/>
          <w:shd w:val="clear" w:color="auto" w:fill="FFFFFF"/>
          <w:lang w:bidi="ar"/>
        </w:rPr>
      </w:pPr>
    </w:p>
    <w:p w14:paraId="7A908C9A">
      <w:pPr>
        <w:spacing w:line="360" w:lineRule="auto"/>
        <w:ind w:firstLine="480" w:firstLineChars="200"/>
        <w:rPr>
          <w:rFonts w:hint="eastAsia" w:ascii="仿宋" w:hAnsi="仿宋" w:eastAsia="仿宋" w:cs="仿宋"/>
          <w:kern w:val="0"/>
          <w:sz w:val="24"/>
          <w:szCs w:val="24"/>
          <w:u w:val="single"/>
          <w:shd w:val="clear" w:color="auto" w:fill="FFFFFF"/>
          <w:lang w:bidi="ar"/>
        </w:rPr>
      </w:pPr>
      <w:r>
        <w:rPr>
          <w:rFonts w:hint="eastAsia" w:ascii="仿宋" w:hAnsi="仿宋" w:eastAsia="仿宋" w:cs="仿宋"/>
          <w:kern w:val="0"/>
          <w:sz w:val="24"/>
          <w:szCs w:val="24"/>
          <w:u w:val="single"/>
          <w:shd w:val="clear" w:color="auto" w:fill="FFFFFF"/>
          <w:lang w:bidi="ar"/>
        </w:rPr>
        <w:t>2.4.2</w:t>
      </w:r>
      <w:r>
        <w:rPr>
          <w:rFonts w:hint="eastAsia" w:ascii="仿宋" w:hAnsi="仿宋" w:eastAsia="仿宋" w:cs="仿宋"/>
          <w:kern w:val="0"/>
          <w:sz w:val="24"/>
          <w:szCs w:val="24"/>
          <w:u w:val="single"/>
        </w:rPr>
        <w:t>软件部分核心要求</w:t>
      </w:r>
    </w:p>
    <w:p w14:paraId="045D2639">
      <w:pPr>
        <w:ind w:firstLine="480" w:firstLineChars="200"/>
        <w:rPr>
          <w:rFonts w:hint="eastAsia" w:ascii="仿宋" w:hAnsi="仿宋" w:eastAsia="仿宋" w:cs="仿宋"/>
          <w:kern w:val="0"/>
          <w:sz w:val="24"/>
          <w:szCs w:val="24"/>
          <w:u w:val="single"/>
          <w:shd w:val="clear" w:color="auto" w:fill="FFFFFF"/>
          <w:lang w:bidi="ar"/>
        </w:rPr>
      </w:pPr>
      <w:r>
        <w:rPr>
          <w:rFonts w:hint="eastAsia" w:ascii="仿宋" w:hAnsi="仿宋" w:eastAsia="仿宋" w:cs="仿宋"/>
          <w:kern w:val="0"/>
          <w:sz w:val="24"/>
          <w:szCs w:val="24"/>
          <w:u w:val="single"/>
          <w:shd w:val="clear" w:color="auto" w:fill="FFFFFF"/>
          <w:lang w:bidi="ar"/>
        </w:rPr>
        <w:t xml:space="preserve">2.4.2.1核心健康监测与预警功能要求 </w:t>
      </w:r>
    </w:p>
    <w:p w14:paraId="3D8E73FD">
      <w:pPr>
        <w:pStyle w:val="4"/>
        <w:ind w:firstLine="720" w:firstLineChars="3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2.4.2.1.1多维度健康数据采集：心率监测：支持 24 小时连续采样，采样频率可配置（最低≥1 次 / 30 秒），静息心率测量误差≤±2 次 / 分钟，运动状态心率测量误差≤±1~15 次 / 分钟；触发后手表端实时预警。</w:t>
      </w:r>
    </w:p>
    <w:p w14:paraId="1D047C11">
      <w:pPr>
        <w:pStyle w:val="4"/>
        <w:ind w:left="420" w:leftChars="200" w:firstLine="480" w:firstLineChars="2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血氧饱和度（SpO</w:t>
      </w:r>
      <w:r>
        <w:rPr>
          <w:rFonts w:ascii="Cambria Math" w:hAnsi="Cambria Math" w:eastAsia="仿宋" w:cs="Cambria Math"/>
          <w:kern w:val="0"/>
          <w:sz w:val="24"/>
          <w:szCs w:val="24"/>
          <w:shd w:val="clear" w:color="auto" w:fill="FFFFFF"/>
          <w:lang w:bidi="ar"/>
        </w:rPr>
        <w:t>₂</w:t>
      </w:r>
      <w:r>
        <w:rPr>
          <w:rFonts w:hint="eastAsia" w:ascii="仿宋" w:hAnsi="仿宋" w:eastAsia="仿宋" w:cs="仿宋"/>
          <w:kern w:val="0"/>
          <w:sz w:val="24"/>
          <w:szCs w:val="24"/>
          <w:shd w:val="clear" w:color="auto" w:fill="FFFFFF"/>
          <w:lang w:bidi="ar"/>
        </w:rPr>
        <w:t>）监测：测量范围 80%-100%，误差≤±2~5%，支持低血氧自动预警，支持睡眠期间血氧连续监测。</w:t>
      </w:r>
    </w:p>
    <w:p w14:paraId="501852C5">
      <w:pPr>
        <w:pStyle w:val="4"/>
        <w:ind w:left="420" w:leftChars="200" w:firstLine="480" w:firstLineChars="2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血压监测：支持收缩压、舒张压无创监测，测量范围收缩压 80-200mmHg、舒张压 50-130mmHg，误差≤±5~15mmHg；支持定时测量结合，异常血压实时预警。</w:t>
      </w:r>
    </w:p>
    <w:p w14:paraId="502C2B0E">
      <w:pPr>
        <w:pStyle w:val="4"/>
        <w:ind w:left="420" w:leftChars="200" w:firstLine="480" w:firstLineChars="2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睡眠监测：自动识别入睡 / 醒来时间，区分深睡、浅睡、REM 睡眠阶段，及清醒次数，统计睡眠时长、睡眠效率及睡眠中断频率，生成睡眠评估体系的质量评分。</w:t>
      </w:r>
    </w:p>
    <w:p w14:paraId="497C899C">
      <w:pPr>
        <w:pStyle w:val="4"/>
        <w:ind w:left="420" w:leftChars="200" w:firstLine="480" w:firstLineChars="2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运动监测：（App支持、手表和小程序暂不支持）常见运动模式（暂不支持），统计运动时长、距离、卡路里消耗。</w:t>
      </w:r>
    </w:p>
    <w:p w14:paraId="49B7F120">
      <w:pPr>
        <w:pStyle w:val="4"/>
        <w:ind w:left="420" w:leftChars="200" w:firstLine="480" w:firstLineChars="2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健康监测：支持体温监测（误差≤±0.3~2℃）、呼吸频率监测（范围 10-30 次 / 分钟，误差≤±2~5 次 / 分钟）。</w:t>
      </w:r>
    </w:p>
    <w:p w14:paraId="0F41F802">
      <w:pPr>
        <w:pStyle w:val="4"/>
        <w:ind w:firstLine="960" w:firstLineChars="400"/>
        <w:rPr>
          <w:rFonts w:hint="eastAsia" w:asciiTheme="minorEastAsia" w:hAnsiTheme="minorEastAsia" w:cstheme="minorEastAsia"/>
          <w:color w:val="000000"/>
          <w:szCs w:val="24"/>
        </w:rPr>
      </w:pPr>
      <w:r>
        <w:rPr>
          <w:rFonts w:hint="eastAsia" w:ascii="仿宋" w:hAnsi="仿宋" w:eastAsia="仿宋" w:cs="仿宋"/>
          <w:kern w:val="0"/>
          <w:sz w:val="24"/>
          <w:szCs w:val="24"/>
          <w:shd w:val="clear" w:color="auto" w:fill="FFFFFF"/>
          <w:lang w:bidi="ar"/>
        </w:rPr>
        <w:t>2.4.2.1.2智能预警与应急响应：异常健康数据预警：当心率、血氧、血压等数据超出配置阈值时，手表端通过震动 + 屏幕弹窗提醒（非勿扰模式），同时同步至绑定小程序（支持短信 / 电话辅助通知，需用户授权）。</w:t>
      </w:r>
    </w:p>
    <w:p w14:paraId="35C86E9B">
      <w:pPr>
        <w:pStyle w:val="4"/>
        <w:ind w:firstLine="480" w:firstLineChars="2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紧急呼叫功能：支持一键 SOS 呼叫，用户触发后自动向预设的 3-5 个紧急联系人拨打电话、发送包含实时位置的求救信息（位置误差≤10 ~500米）。</w:t>
      </w:r>
    </w:p>
    <w:p w14:paraId="0628A0EF">
      <w:pPr>
        <w:pStyle w:val="4"/>
        <w:ind w:firstLine="480" w:firstLineChars="200"/>
        <w:rPr>
          <w:rFonts w:hint="eastAsia" w:ascii="仿宋" w:hAnsi="仿宋" w:eastAsia="仿宋" w:cs="仿宋"/>
          <w:kern w:val="0"/>
          <w:sz w:val="24"/>
          <w:szCs w:val="24"/>
          <w:u w:val="single"/>
          <w:shd w:val="clear" w:color="auto" w:fill="FFFFFF"/>
          <w:lang w:bidi="ar"/>
        </w:rPr>
      </w:pPr>
      <w:r>
        <w:rPr>
          <w:rFonts w:hint="eastAsia" w:ascii="仿宋" w:hAnsi="仿宋" w:eastAsia="仿宋" w:cs="仿宋"/>
          <w:kern w:val="0"/>
          <w:sz w:val="24"/>
          <w:szCs w:val="24"/>
          <w:u w:val="single"/>
          <w:shd w:val="clear" w:color="auto" w:fill="FFFFFF"/>
          <w:lang w:bidi="ar"/>
        </w:rPr>
        <w:t xml:space="preserve">2.4.2.2数据处理与智能分析功能要求 </w:t>
      </w:r>
    </w:p>
    <w:p w14:paraId="1058A439">
      <w:pPr>
        <w:pStyle w:val="4"/>
        <w:ind w:firstLine="720" w:firstLineChars="3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2.4.</w:t>
      </w:r>
      <w:r>
        <w:rPr>
          <w:rFonts w:hint="eastAsia" w:ascii="仿宋" w:hAnsi="仿宋" w:eastAsia="仿宋" w:cs="仿宋"/>
          <w:kern w:val="0"/>
          <w:sz w:val="24"/>
          <w:szCs w:val="24"/>
        </w:rPr>
        <w:t>2.2.1数据存储与同步：</w:t>
      </w:r>
      <w:r>
        <w:rPr>
          <w:rFonts w:hint="eastAsia" w:ascii="仿宋" w:hAnsi="仿宋" w:eastAsia="仿宋" w:cs="仿宋"/>
          <w:kern w:val="0"/>
          <w:sz w:val="24"/>
          <w:szCs w:val="24"/>
          <w:shd w:val="clear" w:color="auto" w:fill="FFFFFF"/>
          <w:lang w:bidi="ar"/>
        </w:rPr>
        <w:t>手表端本地存储：支持至少 3 天健康数据本地缓存，断网状态下数据不丢失，同步优先级：异常预警数据＞心率数据＞常规监测数据。</w:t>
      </w:r>
    </w:p>
    <w:p w14:paraId="565765D2">
      <w:pPr>
        <w:pStyle w:val="4"/>
        <w:ind w:left="420" w:leftChars="200" w:firstLine="480" w:firstLineChars="2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同步机制：数据同步延迟≤30 秒，同步过程中使用安全通道，避免数据泄露。</w:t>
      </w:r>
    </w:p>
    <w:p w14:paraId="05761EEF">
      <w:pPr>
        <w:pStyle w:val="4"/>
        <w:ind w:firstLine="720" w:firstLineChars="3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2.4.2.2.2智能分析与报告生成：健康趋势分析：基于历史数据生成心率、血压、睡眠等指标的日/周 / 月度趋势图表，识别数据异常波动。</w:t>
      </w:r>
    </w:p>
    <w:p w14:paraId="2AD5B3A6">
      <w:pPr>
        <w:pStyle w:val="4"/>
        <w:ind w:left="420" w:leftChars="200" w:firstLine="480" w:firstLineChars="2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健康评估报告：每日/周/月生成健康综合评估报告，包含各项监测指标情况等。</w:t>
      </w:r>
    </w:p>
    <w:p w14:paraId="3283BB30">
      <w:pPr>
        <w:ind w:firstLine="480" w:firstLineChars="200"/>
        <w:jc w:val="left"/>
        <w:rPr>
          <w:rFonts w:hint="eastAsia" w:ascii="仿宋" w:hAnsi="仿宋" w:eastAsia="仿宋" w:cs="仿宋"/>
          <w:kern w:val="0"/>
          <w:sz w:val="24"/>
          <w:szCs w:val="24"/>
          <w:u w:val="single"/>
          <w:shd w:val="clear" w:color="auto" w:fill="FFFFFF"/>
          <w:lang w:bidi="ar"/>
        </w:rPr>
      </w:pPr>
      <w:r>
        <w:rPr>
          <w:rFonts w:hint="eastAsia" w:ascii="仿宋" w:hAnsi="仿宋" w:eastAsia="仿宋" w:cs="仿宋"/>
          <w:kern w:val="0"/>
          <w:sz w:val="24"/>
          <w:szCs w:val="24"/>
          <w:u w:val="single"/>
          <w:shd w:val="clear" w:color="auto" w:fill="FFFFFF"/>
          <w:lang w:bidi="ar"/>
        </w:rPr>
        <w:t>2.4.2.3用户交互与操作体验要求</w:t>
      </w:r>
    </w:p>
    <w:p w14:paraId="349E34BE">
      <w:pPr>
        <w:pStyle w:val="4"/>
        <w:ind w:firstLine="720" w:firstLineChars="3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2.4.2.3.1手表端软件交互：界面设计：支持中文显示，适配青中老年用户操作习惯，图标简洁易懂，支持强光 / 弱光环境下屏幕自动亮度调节。</w:t>
      </w:r>
    </w:p>
    <w:p w14:paraId="345A3D62">
      <w:pPr>
        <w:pStyle w:val="4"/>
        <w:ind w:firstLine="480" w:firstLineChars="2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操作逻辑：支持触摸操作 + 物理按键组合控制，核心功能（如测量心率、SOS 呼叫）操作步骤≤3 步。</w:t>
      </w:r>
    </w:p>
    <w:p w14:paraId="04F1A2B6">
      <w:pPr>
        <w:pStyle w:val="4"/>
        <w:ind w:firstLine="480" w:firstLineChars="2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续航优化：软件层面支持智能功耗管理，24 小时连续佩戴模式下（监测心率 5分钟1次、血氧 15分钟1次、血压 10 分钟1次、体温30分钟1次，同步数据5分钟1次）续航≥2 天；常规使用（每天戴12小时）续航≥2.5~3天；开启省电模式（每天戴12小时）续航≥3~4天。（需在网络情况正常下测试）</w:t>
      </w:r>
    </w:p>
    <w:p w14:paraId="7D50AC7F">
      <w:pPr>
        <w:pStyle w:val="4"/>
        <w:ind w:firstLine="240" w:firstLineChars="1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2.4.2.3.2绑定功能要求：设备管理：支持手表设备绑定、固定升级（OTA无线升级）。</w:t>
      </w:r>
    </w:p>
    <w:p w14:paraId="3B59923A">
      <w:pPr>
        <w:pStyle w:val="4"/>
        <w:ind w:firstLine="480" w:firstLineChars="2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数据展示：直观展示实时/历史健康数据，支持图表化查看。</w:t>
      </w:r>
    </w:p>
    <w:p w14:paraId="66B64289">
      <w:pPr>
        <w:pStyle w:val="4"/>
        <w:ind w:firstLine="480" w:firstLineChars="2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交互功能：支持远程查看手表佩戴者健康状态（需授权），支持紧急联系人实时接收预警信息。</w:t>
      </w:r>
    </w:p>
    <w:p w14:paraId="2B799924">
      <w:pPr>
        <w:ind w:firstLine="480" w:firstLineChars="200"/>
        <w:jc w:val="left"/>
        <w:rPr>
          <w:rFonts w:hint="eastAsia" w:ascii="仿宋" w:hAnsi="仿宋" w:eastAsia="仿宋" w:cs="仿宋"/>
          <w:kern w:val="0"/>
          <w:sz w:val="24"/>
          <w:szCs w:val="24"/>
          <w:u w:val="single"/>
          <w:shd w:val="clear" w:color="auto" w:fill="FFFFFF"/>
          <w:lang w:bidi="ar"/>
        </w:rPr>
      </w:pPr>
      <w:r>
        <w:rPr>
          <w:rFonts w:hint="eastAsia" w:ascii="仿宋" w:hAnsi="仿宋" w:eastAsia="仿宋" w:cs="仿宋"/>
          <w:kern w:val="0"/>
          <w:sz w:val="24"/>
          <w:szCs w:val="24"/>
          <w:u w:val="single"/>
          <w:shd w:val="clear" w:color="auto" w:fill="FFFFFF"/>
          <w:lang w:bidi="ar"/>
        </w:rPr>
        <w:t>2.4.2.4数据安全与合规要求</w:t>
      </w:r>
    </w:p>
    <w:p w14:paraId="2CAA9411">
      <w:pPr>
        <w:pStyle w:val="4"/>
        <w:ind w:firstLine="720" w:firstLineChars="3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 xml:space="preserve"> 2.4.2.4.1数据安全保障：数据传输加密：小程序端采用 SSL/TLS 1.3 协议加密传输健康数据、位置信息等敏感数据，防止传输过程中泄露。</w:t>
      </w:r>
    </w:p>
    <w:p w14:paraId="26FF2885">
      <w:pPr>
        <w:pStyle w:val="4"/>
        <w:ind w:left="420" w:leftChars="200" w:firstLine="480" w:firstLineChars="2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数据存储加密：云端对敏感数据采用 AES-256 加密存储，用户数据与账号绑定，仅授权用户可访问。（只能标记删除或注销）</w:t>
      </w:r>
    </w:p>
    <w:p w14:paraId="5C93D7D5">
      <w:pPr>
        <w:pStyle w:val="4"/>
        <w:ind w:left="420" w:leftChars="200" w:firstLine="480" w:firstLineChars="2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权限管理：遵循 “最小权限原则”，用户自主授权数据采集、分享、推送等权限，明确告知数据使用范围，不擅自收集无关信息。</w:t>
      </w:r>
    </w:p>
    <w:p w14:paraId="74FA8799">
      <w:pPr>
        <w:pStyle w:val="4"/>
        <w:ind w:left="420" w:leftChars="200" w:firstLine="480" w:firstLineChars="2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2.4.2.4.2合规性要求：符合《中华人民共和国网络安全法》《个人信息保护法》《数据安全法》等相关法律法规，不泄露、出售用户个人健康数据。</w:t>
      </w:r>
    </w:p>
    <w:p w14:paraId="6C8BAB68">
      <w:pPr>
        <w:pStyle w:val="4"/>
        <w:ind w:left="420" w:leftChars="200" w:firstLine="480" w:firstLineChars="2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本软件产品在开发过程中遵循安全编码规范，并经过渗透测试与代码审计，已修复已知的高危安全漏洞（如SQL注入、权限绕过等），具备可靠的安全防护能力。</w:t>
      </w:r>
    </w:p>
    <w:p w14:paraId="4E2C37BF">
      <w:pPr>
        <w:ind w:firstLine="480" w:firstLineChars="200"/>
        <w:jc w:val="left"/>
        <w:rPr>
          <w:rFonts w:hint="eastAsia" w:ascii="仿宋" w:hAnsi="仿宋" w:eastAsia="仿宋" w:cs="仿宋"/>
          <w:kern w:val="0"/>
          <w:sz w:val="24"/>
          <w:szCs w:val="24"/>
          <w:u w:val="single"/>
          <w:shd w:val="clear" w:color="auto" w:fill="FFFFFF"/>
          <w:lang w:bidi="ar"/>
        </w:rPr>
      </w:pPr>
      <w:r>
        <w:rPr>
          <w:rFonts w:hint="eastAsia" w:ascii="仿宋" w:hAnsi="仿宋" w:eastAsia="仿宋" w:cs="仿宋"/>
          <w:kern w:val="0"/>
          <w:sz w:val="24"/>
          <w:szCs w:val="24"/>
          <w:u w:val="single"/>
          <w:shd w:val="clear" w:color="auto" w:fill="FFFFFF"/>
          <w:lang w:bidi="ar"/>
        </w:rPr>
        <w:t>2.4.2.5兼容性与系统集成要求</w:t>
      </w:r>
    </w:p>
    <w:p w14:paraId="792333B2">
      <w:pPr>
        <w:pStyle w:val="4"/>
        <w:ind w:firstLine="720" w:firstLineChars="3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2.4.2.5.1硬件兼容性：软件需适配招标采购的手表硬件配置（CPU、传感器、屏幕等），无兼容性故障（如卡顿、闪退、功能无法启用）。</w:t>
      </w:r>
    </w:p>
    <w:p w14:paraId="61656050">
      <w:pPr>
        <w:pStyle w:val="4"/>
        <w:ind w:firstLine="720" w:firstLineChars="3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2.4.2.5.2系统集成能力：支持与第三方医疗健康平台对接，提供标准 API 接口（RESTful）。</w:t>
      </w:r>
    </w:p>
    <w:p w14:paraId="2575A7DA">
      <w:pPr>
        <w:pStyle w:val="4"/>
        <w:ind w:firstLine="480" w:firstLineChars="200"/>
        <w:rPr>
          <w:rFonts w:hint="eastAsia" w:ascii="仿宋" w:hAnsi="仿宋" w:eastAsia="仿宋" w:cs="仿宋"/>
          <w:kern w:val="0"/>
          <w:sz w:val="24"/>
          <w:szCs w:val="24"/>
          <w:u w:val="single"/>
          <w:shd w:val="clear" w:color="auto" w:fill="FFFFFF"/>
          <w:lang w:bidi="ar"/>
        </w:rPr>
      </w:pPr>
      <w:r>
        <w:rPr>
          <w:rFonts w:hint="eastAsia" w:ascii="仿宋" w:hAnsi="仿宋" w:eastAsia="仿宋" w:cs="仿宋"/>
          <w:kern w:val="0"/>
          <w:sz w:val="24"/>
          <w:szCs w:val="24"/>
          <w:u w:val="single"/>
          <w:shd w:val="clear" w:color="auto" w:fill="FFFFFF"/>
          <w:lang w:bidi="ar"/>
        </w:rPr>
        <w:t>2.4.2.6稳定性与可靠性要求</w:t>
      </w:r>
    </w:p>
    <w:p w14:paraId="6783E0EC">
      <w:pPr>
        <w:pStyle w:val="4"/>
        <w:rPr>
          <w:rFonts w:hint="eastAsia" w:asciiTheme="minorEastAsia" w:hAnsiTheme="minorEastAsia" w:cstheme="minorEastAsia"/>
          <w:color w:val="000000"/>
          <w:szCs w:val="24"/>
        </w:rPr>
      </w:pPr>
      <w:r>
        <w:rPr>
          <w:rFonts w:hint="eastAsia" w:ascii="仿宋" w:hAnsi="仿宋" w:eastAsia="仿宋" w:cs="仿宋"/>
          <w:kern w:val="0"/>
          <w:sz w:val="24"/>
          <w:szCs w:val="24"/>
          <w:shd w:val="clear" w:color="auto" w:fill="FFFFFF"/>
          <w:lang w:bidi="ar"/>
        </w:rPr>
        <w:t xml:space="preserve">      2.4.2.6.1运行稳定性：软件连续运行无故障时间≥1000 小时，无频繁闪退、卡顿（卡顿时长≤1 秒 / 次，单日卡顿次数≤3 次）。</w:t>
      </w:r>
    </w:p>
    <w:p w14:paraId="0EB4BFDA">
      <w:pPr>
        <w:pStyle w:val="4"/>
        <w:ind w:left="420" w:leftChars="200" w:firstLine="480" w:firstLineChars="2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数据测量稳定性：同一环境下连续 10 次测量同一健康指标，数据波动范围≤±3%。</w:t>
      </w:r>
    </w:p>
    <w:p w14:paraId="19C24D8F">
      <w:pPr>
        <w:pStyle w:val="4"/>
        <w:ind w:firstLine="720" w:firstLineChars="3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2.4.2.6.2升级与维护：支持 OTA 无线升级：提供至少 2 年的软件版本更新服务，包括功能优化、Bug 修复、安全补丁更新，升级过程不丢失用户数据，升级失败可回滚至前一稳定版本。</w:t>
      </w:r>
    </w:p>
    <w:p w14:paraId="27D2E36D">
      <w:pPr>
        <w:pStyle w:val="4"/>
        <w:ind w:left="420" w:leftChars="200" w:firstLine="480" w:firstLineChars="2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故障自修复：软件出现轻微故障（如数据同步失败、功能无响应）时，支持自动重启相关模块或提示用户简单操作修复，无需频繁恢复出厂设置。</w:t>
      </w:r>
    </w:p>
    <w:p w14:paraId="386D38D2">
      <w:pPr>
        <w:pStyle w:val="4"/>
        <w:ind w:firstLine="480" w:firstLineChars="200"/>
        <w:rPr>
          <w:rFonts w:hint="eastAsia" w:ascii="仿宋" w:hAnsi="仿宋" w:eastAsia="仿宋" w:cs="仿宋"/>
          <w:kern w:val="0"/>
          <w:sz w:val="24"/>
          <w:szCs w:val="24"/>
          <w:u w:val="single"/>
          <w:shd w:val="clear" w:color="auto" w:fill="FFFFFF"/>
          <w:lang w:bidi="ar"/>
        </w:rPr>
      </w:pPr>
      <w:r>
        <w:rPr>
          <w:rFonts w:hint="eastAsia" w:ascii="仿宋" w:hAnsi="仿宋" w:eastAsia="仿宋" w:cs="仿宋"/>
          <w:kern w:val="0"/>
          <w:sz w:val="24"/>
          <w:szCs w:val="24"/>
          <w:u w:val="single"/>
          <w:shd w:val="clear" w:color="auto" w:fill="FFFFFF"/>
          <w:lang w:bidi="ar"/>
        </w:rPr>
        <w:t>2.4.2.7验收要求</w:t>
      </w:r>
    </w:p>
    <w:p w14:paraId="240C8E88">
      <w:pPr>
        <w:pStyle w:val="4"/>
        <w:ind w:firstLine="720" w:firstLineChars="3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2.4.2.7.1验收标准：功能验收：所有要求的软件功能需 90% 实现，核心功能（健康监测精度、预警响应速度、数据同步稳定性）需全部实现。</w:t>
      </w:r>
    </w:p>
    <w:p w14:paraId="10C4B201">
      <w:pPr>
        <w:pStyle w:val="4"/>
        <w:ind w:left="420" w:leftChars="200" w:firstLine="480" w:firstLineChars="2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性能验收：软件运行流畅，无明显卡顿、闪退；数据测量精度符合本要求规定的误差范围，续航能力达到规定标准。</w:t>
      </w:r>
    </w:p>
    <w:p w14:paraId="14032885">
      <w:pPr>
        <w:pStyle w:val="4"/>
        <w:ind w:firstLine="720" w:firstLineChars="3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2.4.2.7.2技术支持与培训：提供软件操作详细的操作手册、技术文档。</w:t>
      </w:r>
    </w:p>
    <w:p w14:paraId="7DF49A8A">
      <w:pPr>
        <w:pStyle w:val="4"/>
        <w:ind w:left="420" w:leftChars="200" w:firstLine="480" w:firstLineChars="200"/>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质保期内免费提供软件升级服务，质保期后提供维护服务（收取合理费用）。</w:t>
      </w:r>
    </w:p>
    <w:p w14:paraId="1B34B577">
      <w:pPr>
        <w:rPr>
          <w:rFonts w:ascii="Helvetica" w:hAnsi="Helvetica" w:eastAsia="Helvetica" w:cs="Helvetica"/>
          <w:szCs w:val="21"/>
        </w:rPr>
      </w:pPr>
      <w:r>
        <w:rPr>
          <w:rFonts w:hint="eastAsia" w:ascii="仿宋" w:hAnsi="仿宋" w:eastAsia="仿宋" w:cs="仿宋"/>
          <w:b/>
          <w:bCs/>
          <w:kern w:val="0"/>
          <w:sz w:val="24"/>
          <w:szCs w:val="24"/>
          <w:shd w:val="clear" w:color="auto" w:fill="FFFFFF"/>
          <w:lang w:bidi="ar"/>
        </w:rPr>
        <w:t>（3）、投标人资格要求</w:t>
      </w:r>
    </w:p>
    <w:p w14:paraId="78FB82D9">
      <w:pPr>
        <w:widowControl/>
        <w:shd w:val="clear" w:color="auto" w:fill="FFFFFF"/>
        <w:spacing w:line="273" w:lineRule="atLeast"/>
        <w:ind w:firstLine="480"/>
        <w:jc w:val="left"/>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3.1注册资本金：</w:t>
      </w:r>
      <w:r>
        <w:rPr>
          <w:rFonts w:hint="eastAsia" w:ascii="仿宋" w:hAnsi="仿宋" w:eastAsia="仿宋" w:cs="仿宋"/>
          <w:kern w:val="0"/>
          <w:sz w:val="24"/>
          <w:szCs w:val="24"/>
          <w:u w:val="single"/>
          <w:shd w:val="clear" w:color="auto" w:fill="FFFFFF"/>
          <w:lang w:bidi="ar"/>
        </w:rPr>
        <w:t>1000万元</w:t>
      </w:r>
      <w:r>
        <w:rPr>
          <w:rFonts w:hint="eastAsia" w:ascii="仿宋" w:hAnsi="仿宋" w:eastAsia="仿宋" w:cs="仿宋"/>
          <w:kern w:val="0"/>
          <w:sz w:val="24"/>
          <w:szCs w:val="24"/>
          <w:shd w:val="clear" w:color="auto" w:fill="FFFFFF"/>
          <w:lang w:bidi="ar"/>
        </w:rPr>
        <w:t>及以上</w:t>
      </w:r>
    </w:p>
    <w:p w14:paraId="3F09541B">
      <w:pPr>
        <w:widowControl/>
        <w:shd w:val="clear" w:color="auto" w:fill="FFFFFF"/>
        <w:spacing w:line="273" w:lineRule="atLeast"/>
        <w:ind w:firstLine="480"/>
        <w:jc w:val="left"/>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3.2经营年限：工商登记日期至投标报名日期，满</w:t>
      </w:r>
      <w:r>
        <w:rPr>
          <w:rFonts w:hint="eastAsia" w:ascii="仿宋" w:hAnsi="仿宋" w:eastAsia="仿宋" w:cs="仿宋"/>
          <w:kern w:val="0"/>
          <w:sz w:val="24"/>
          <w:szCs w:val="24"/>
          <w:u w:val="single"/>
          <w:shd w:val="clear" w:color="auto" w:fill="FFFFFF"/>
          <w:lang w:bidi="ar"/>
        </w:rPr>
        <w:t>3年</w:t>
      </w:r>
      <w:r>
        <w:rPr>
          <w:rFonts w:hint="eastAsia" w:ascii="仿宋" w:hAnsi="仿宋" w:eastAsia="仿宋" w:cs="仿宋"/>
          <w:kern w:val="0"/>
          <w:sz w:val="24"/>
          <w:szCs w:val="24"/>
          <w:shd w:val="clear" w:color="auto" w:fill="FFFFFF"/>
          <w:lang w:bidi="ar"/>
        </w:rPr>
        <w:t>及以上（含）</w:t>
      </w:r>
    </w:p>
    <w:p w14:paraId="25039F28">
      <w:pPr>
        <w:widowControl/>
        <w:shd w:val="clear" w:color="auto" w:fill="FFFFFF"/>
        <w:spacing w:line="273" w:lineRule="atLeast"/>
        <w:ind w:firstLine="480"/>
        <w:jc w:val="left"/>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3.3需提供近两年财务报告（2023、2024均应提供），如供应商未聘请外部审计机构，需要提供加盖公章的说明</w:t>
      </w:r>
    </w:p>
    <w:p w14:paraId="04749B13">
      <w:pPr>
        <w:widowControl/>
        <w:shd w:val="clear" w:color="auto" w:fill="FFFFFF"/>
        <w:spacing w:line="273" w:lineRule="atLeast"/>
        <w:ind w:firstLine="480"/>
        <w:jc w:val="left"/>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3.4投标人近三年在国家企业信用信息公示系统中无行政处罚记录和未被列入经营异常名录</w:t>
      </w:r>
    </w:p>
    <w:p w14:paraId="1C881C06">
      <w:pPr>
        <w:widowControl/>
        <w:shd w:val="clear" w:color="auto" w:fill="FFFFFF"/>
        <w:spacing w:line="420" w:lineRule="atLeast"/>
        <w:jc w:val="left"/>
        <w:rPr>
          <w:rFonts w:ascii="Helvetica" w:hAnsi="Helvetica" w:eastAsia="Helvetica" w:cs="Helvetica"/>
          <w:szCs w:val="21"/>
        </w:rPr>
      </w:pPr>
      <w:r>
        <w:rPr>
          <w:rFonts w:hint="eastAsia" w:ascii="仿宋" w:hAnsi="仿宋" w:eastAsia="仿宋" w:cs="仿宋"/>
          <w:b/>
          <w:bCs/>
          <w:kern w:val="0"/>
          <w:sz w:val="24"/>
          <w:szCs w:val="24"/>
          <w:shd w:val="clear" w:color="auto" w:fill="FFFFFF"/>
          <w:lang w:bidi="ar"/>
        </w:rPr>
        <w:t>（4）、资格审查方法</w:t>
      </w:r>
    </w:p>
    <w:p w14:paraId="682DAABE">
      <w:pPr>
        <w:widowControl/>
        <w:shd w:val="clear" w:color="auto" w:fill="FFFFFF"/>
        <w:spacing w:line="273" w:lineRule="atLeast"/>
        <w:ind w:firstLine="480"/>
        <w:jc w:val="left"/>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本项目采用资格预审的方式，资格审查标准和内容见</w:t>
      </w:r>
      <w:r>
        <w:rPr>
          <w:rFonts w:hint="eastAsia" w:ascii="仿宋" w:hAnsi="仿宋" w:eastAsia="仿宋" w:cs="仿宋"/>
          <w:kern w:val="0"/>
          <w:sz w:val="24"/>
          <w:szCs w:val="24"/>
          <w:u w:val="single"/>
          <w:shd w:val="clear" w:color="auto" w:fill="FFFFFF"/>
          <w:lang w:bidi="ar"/>
        </w:rPr>
        <w:t>“招标文件获取”</w:t>
      </w:r>
      <w:r>
        <w:rPr>
          <w:rFonts w:hint="eastAsia" w:ascii="仿宋" w:hAnsi="仿宋" w:eastAsia="仿宋" w:cs="仿宋"/>
          <w:kern w:val="0"/>
          <w:sz w:val="24"/>
          <w:szCs w:val="24"/>
          <w:shd w:val="clear" w:color="auto" w:fill="FFFFFF"/>
          <w:lang w:bidi="ar"/>
        </w:rPr>
        <w:t>。凡未通过资格预审的投标人，其报名将被否决。投标人需在</w:t>
      </w:r>
      <w:r>
        <w:rPr>
          <w:rFonts w:hint="eastAsia" w:ascii="仿宋" w:hAnsi="仿宋" w:eastAsia="仿宋" w:cs="仿宋"/>
          <w:b/>
          <w:bCs/>
          <w:kern w:val="0"/>
          <w:sz w:val="24"/>
          <w:szCs w:val="24"/>
          <w:shd w:val="clear" w:color="auto" w:fill="FFFFFF"/>
          <w:lang w:bidi="ar"/>
        </w:rPr>
        <w:t>12月5日11:00前</w:t>
      </w:r>
      <w:r>
        <w:rPr>
          <w:rFonts w:hint="eastAsia" w:ascii="仿宋" w:hAnsi="仿宋" w:eastAsia="仿宋" w:cs="仿宋"/>
          <w:kern w:val="0"/>
          <w:sz w:val="24"/>
          <w:szCs w:val="24"/>
          <w:shd w:val="clear" w:color="auto" w:fill="FFFFFF"/>
          <w:lang w:bidi="ar"/>
        </w:rPr>
        <w:t>将电子版资质证明材料发送至邮箱lvdelin@ailifang100.com，并且邮件中标注</w:t>
      </w:r>
      <w:r>
        <w:rPr>
          <w:rFonts w:hint="eastAsia" w:ascii="仿宋" w:hAnsi="仿宋" w:eastAsia="仿宋" w:cs="仿宋"/>
          <w:kern w:val="0"/>
          <w:sz w:val="24"/>
          <w:szCs w:val="24"/>
          <w:u w:val="single"/>
          <w:shd w:val="clear" w:color="auto" w:fill="FFFFFF"/>
          <w:lang w:bidi="ar"/>
        </w:rPr>
        <w:t>报名项目名称、项目编号、项目负责人及联系方式。</w:t>
      </w:r>
    </w:p>
    <w:p w14:paraId="76C4FC59">
      <w:pPr>
        <w:widowControl/>
        <w:shd w:val="clear" w:color="auto" w:fill="FFFFFF"/>
        <w:spacing w:line="420" w:lineRule="atLeast"/>
        <w:jc w:val="left"/>
        <w:rPr>
          <w:rFonts w:ascii="Helvetica" w:hAnsi="Helvetica" w:eastAsia="Helvetica" w:cs="Helvetica"/>
          <w:szCs w:val="21"/>
        </w:rPr>
      </w:pPr>
      <w:r>
        <w:rPr>
          <w:rFonts w:hint="eastAsia" w:ascii="仿宋" w:hAnsi="仿宋" w:eastAsia="仿宋" w:cs="仿宋"/>
          <w:b/>
          <w:bCs/>
          <w:kern w:val="0"/>
          <w:sz w:val="24"/>
          <w:szCs w:val="24"/>
          <w:shd w:val="clear" w:color="auto" w:fill="FFFFFF"/>
          <w:lang w:bidi="ar"/>
        </w:rPr>
        <w:t>（5）、招标文件的获取</w:t>
      </w:r>
    </w:p>
    <w:p w14:paraId="06F3367A">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5.1时间：每天上午9:00至11:30，下午13:30至16:30（北京时间，法定节假日除外）。</w:t>
      </w:r>
    </w:p>
    <w:p w14:paraId="10503FD3">
      <w:pPr>
        <w:widowControl/>
        <w:shd w:val="clear" w:color="auto" w:fill="FFFFFF"/>
        <w:spacing w:line="273" w:lineRule="atLeast"/>
        <w:ind w:firstLine="480"/>
        <w:jc w:val="left"/>
        <w:textAlignment w:val="baseline"/>
        <w:rPr>
          <w:rFonts w:ascii="Helvetica" w:hAnsi="Helvetica" w:eastAsia="仿宋" w:cs="Helvetica"/>
          <w:szCs w:val="21"/>
        </w:rPr>
      </w:pPr>
      <w:r>
        <w:rPr>
          <w:rFonts w:hint="eastAsia" w:ascii="仿宋" w:hAnsi="仿宋" w:eastAsia="仿宋" w:cs="仿宋"/>
          <w:kern w:val="0"/>
          <w:sz w:val="24"/>
          <w:szCs w:val="24"/>
          <w:shd w:val="clear" w:color="auto" w:fill="FFFFFF"/>
          <w:lang w:bidi="ar"/>
        </w:rPr>
        <w:t>5.2地点：无实体地点，以邮件为准。</w:t>
      </w:r>
    </w:p>
    <w:p w14:paraId="21E9EA44">
      <w:pPr>
        <w:widowControl/>
        <w:shd w:val="clear" w:color="auto" w:fill="FFFFFF"/>
        <w:spacing w:line="273" w:lineRule="atLeast"/>
        <w:ind w:firstLine="480"/>
        <w:jc w:val="left"/>
        <w:rPr>
          <w:rFonts w:ascii="Helvetica" w:hAnsi="Helvetica" w:eastAsia="Helvetica" w:cs="Helvetica"/>
          <w:szCs w:val="21"/>
        </w:rPr>
      </w:pPr>
      <w:r>
        <w:rPr>
          <w:rFonts w:hint="eastAsia" w:ascii="仿宋" w:hAnsi="仿宋" w:eastAsia="仿宋" w:cs="仿宋"/>
          <w:kern w:val="0"/>
          <w:sz w:val="24"/>
          <w:szCs w:val="24"/>
          <w:shd w:val="clear" w:color="auto" w:fill="FFFFFF"/>
          <w:lang w:bidi="ar"/>
        </w:rPr>
        <w:t>5.3领取方式：邮件获取。</w:t>
      </w:r>
    </w:p>
    <w:p w14:paraId="17741FA8">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5.4申请招标文件的供应商应将以下说明的资质等材料发送至邮箱，经预审报名材料审核通过后，将以邮件方式回复标书模板至报名邮箱。 </w:t>
      </w:r>
      <w:r>
        <w:rPr>
          <w:rFonts w:ascii="Calibri" w:hAnsi="Calibri" w:eastAsia="Helvetica" w:cs="Calibri"/>
          <w:kern w:val="0"/>
          <w:sz w:val="24"/>
          <w:szCs w:val="24"/>
          <w:shd w:val="clear" w:color="auto" w:fill="FFFFFF"/>
          <w:lang w:bidi="ar"/>
        </w:rPr>
        <w:t> </w:t>
      </w:r>
    </w:p>
    <w:p w14:paraId="3218985D">
      <w:pPr>
        <w:widowControl/>
        <w:shd w:val="clear" w:color="auto" w:fill="FFFFFF"/>
        <w:spacing w:line="273" w:lineRule="atLeast"/>
        <w:ind w:firstLine="480"/>
        <w:jc w:val="left"/>
        <w:textAlignment w:val="baseline"/>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5.4.1营业执照副本（复印件）</w:t>
      </w:r>
    </w:p>
    <w:p w14:paraId="72F846F2">
      <w:pPr>
        <w:widowControl/>
        <w:shd w:val="clear" w:color="auto" w:fill="FFFFFF"/>
        <w:spacing w:line="273" w:lineRule="atLeast"/>
        <w:ind w:firstLine="480"/>
        <w:jc w:val="left"/>
        <w:textAlignment w:val="baseline"/>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5.4.2法定代表人授权委托书（加盖公章及法人章原件）</w:t>
      </w:r>
    </w:p>
    <w:p w14:paraId="27A3185B">
      <w:pPr>
        <w:widowControl/>
        <w:shd w:val="clear" w:color="auto" w:fill="FFFFFF"/>
        <w:spacing w:line="273" w:lineRule="atLeast"/>
        <w:ind w:firstLine="480"/>
        <w:jc w:val="left"/>
        <w:textAlignment w:val="baseline"/>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5.4.3项目负责人姓名及联系方式</w:t>
      </w:r>
    </w:p>
    <w:p w14:paraId="0D1337A4">
      <w:pPr>
        <w:widowControl/>
        <w:shd w:val="clear" w:color="auto" w:fill="FFFFFF"/>
        <w:spacing w:line="273" w:lineRule="atLeast"/>
        <w:ind w:firstLine="480"/>
        <w:jc w:val="left"/>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5.4.4需提供近两年财务报告（2023、2024均应提供），如供应商未聘请外部审计机构，需要提供加盖公章的说明</w:t>
      </w:r>
    </w:p>
    <w:p w14:paraId="0D052846">
      <w:pPr>
        <w:widowControl/>
        <w:shd w:val="clear" w:color="auto" w:fill="FFFFFF"/>
        <w:spacing w:line="273" w:lineRule="atLeast"/>
        <w:ind w:firstLine="480"/>
        <w:jc w:val="left"/>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5.4.5投标人近三年在国家企业信用信息公示系统中无行政处罚记录和未被列入经营异常名录</w:t>
      </w:r>
    </w:p>
    <w:p w14:paraId="4D4AB107">
      <w:pPr>
        <w:widowControl/>
        <w:shd w:val="clear" w:color="auto" w:fill="FFFFFF"/>
        <w:spacing w:line="420" w:lineRule="atLeast"/>
        <w:jc w:val="left"/>
        <w:rPr>
          <w:rFonts w:ascii="Helvetica" w:hAnsi="Helvetica" w:eastAsia="Helvetica" w:cs="Helvetica"/>
          <w:szCs w:val="21"/>
        </w:rPr>
      </w:pPr>
      <w:r>
        <w:rPr>
          <w:rFonts w:hint="eastAsia" w:ascii="仿宋" w:hAnsi="仿宋" w:eastAsia="仿宋" w:cs="仿宋"/>
          <w:b/>
          <w:bCs/>
          <w:kern w:val="0"/>
          <w:sz w:val="24"/>
          <w:szCs w:val="24"/>
          <w:shd w:val="clear" w:color="auto" w:fill="FFFFFF"/>
          <w:lang w:bidi="ar"/>
        </w:rPr>
        <w:t>（6）、投标文件的递交</w:t>
      </w:r>
    </w:p>
    <w:p w14:paraId="2CB0594B">
      <w:pPr>
        <w:widowControl/>
        <w:shd w:val="clear" w:color="auto" w:fill="FFFFFF"/>
        <w:spacing w:line="273" w:lineRule="atLeast"/>
        <w:ind w:firstLine="480"/>
        <w:jc w:val="left"/>
        <w:textAlignment w:val="baseline"/>
        <w:rPr>
          <w:rFonts w:ascii="Helvetica" w:hAnsi="Helvetica" w:eastAsia="仿宋" w:cs="Helvetica"/>
          <w:szCs w:val="21"/>
        </w:rPr>
      </w:pPr>
      <w:r>
        <w:rPr>
          <w:rFonts w:hint="eastAsia" w:ascii="仿宋" w:hAnsi="仿宋" w:eastAsia="仿宋" w:cs="仿宋"/>
          <w:kern w:val="0"/>
          <w:sz w:val="24"/>
          <w:szCs w:val="24"/>
          <w:shd w:val="clear" w:color="auto" w:fill="FFFFFF"/>
          <w:lang w:bidi="ar"/>
        </w:rPr>
        <w:t>6.1递交投标文件的截止时间为：即投标截止时间（通过资质预审后详见招标书）</w:t>
      </w:r>
    </w:p>
    <w:p w14:paraId="453E3F84">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投标文件递交地点：</w:t>
      </w:r>
    </w:p>
    <w:p w14:paraId="76488021">
      <w:pPr>
        <w:widowControl/>
        <w:shd w:val="clear" w:color="auto" w:fill="FFFFFF"/>
        <w:spacing w:line="273" w:lineRule="atLeast"/>
        <w:ind w:firstLine="482"/>
        <w:jc w:val="left"/>
        <w:textAlignment w:val="baseline"/>
        <w:rPr>
          <w:rFonts w:ascii="Helvetica" w:hAnsi="Helvetica" w:eastAsia="Helvetica" w:cs="Helvetica"/>
          <w:szCs w:val="21"/>
        </w:rPr>
      </w:pPr>
      <w:r>
        <w:rPr>
          <w:rFonts w:hint="eastAsia" w:ascii="仿宋" w:hAnsi="仿宋" w:eastAsia="仿宋" w:cs="仿宋"/>
          <w:b/>
          <w:bCs/>
          <w:kern w:val="0"/>
          <w:sz w:val="24"/>
          <w:szCs w:val="24"/>
          <w:shd w:val="clear" w:color="auto" w:fill="FFFFFF"/>
          <w:lang w:bidi="ar"/>
        </w:rPr>
        <w:t>6.1.1一正二副一电子版（电子版投标文件不得加密）邮寄地址：大连市沙河口区体坛路22号诺德大厦2F</w:t>
      </w:r>
    </w:p>
    <w:p w14:paraId="3FF56BA8">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6.2出现以下情形之一时，招标人/招标代理机构不予接收投标文件：</w:t>
      </w:r>
    </w:p>
    <w:p w14:paraId="7D5F0A95">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6.2.1</w:t>
      </w:r>
      <w:r>
        <w:rPr>
          <w:rFonts w:ascii="Calibri" w:hAnsi="Calibri" w:eastAsia="Helvetica" w:cs="Calibri"/>
          <w:kern w:val="0"/>
          <w:sz w:val="24"/>
          <w:szCs w:val="24"/>
          <w:shd w:val="clear" w:color="auto" w:fill="FFFFFF"/>
          <w:lang w:bidi="ar"/>
        </w:rPr>
        <w:t>  </w:t>
      </w:r>
      <w:r>
        <w:rPr>
          <w:rFonts w:hint="eastAsia" w:ascii="仿宋" w:hAnsi="仿宋" w:eastAsia="仿宋" w:cs="仿宋"/>
          <w:kern w:val="0"/>
          <w:sz w:val="24"/>
          <w:szCs w:val="24"/>
          <w:shd w:val="clear" w:color="auto" w:fill="FFFFFF"/>
          <w:lang w:bidi="ar"/>
        </w:rPr>
        <w:t>逾期送达或者未送达指定地点的；</w:t>
      </w:r>
    </w:p>
    <w:p w14:paraId="2941ED50">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6.2.2</w:t>
      </w:r>
      <w:r>
        <w:rPr>
          <w:rFonts w:ascii="Calibri" w:hAnsi="Calibri" w:eastAsia="Helvetica" w:cs="Calibri"/>
          <w:kern w:val="0"/>
          <w:sz w:val="24"/>
          <w:szCs w:val="24"/>
          <w:shd w:val="clear" w:color="auto" w:fill="FFFFFF"/>
          <w:lang w:bidi="ar"/>
        </w:rPr>
        <w:t>  </w:t>
      </w:r>
      <w:r>
        <w:rPr>
          <w:rFonts w:hint="eastAsia" w:ascii="仿宋" w:hAnsi="仿宋" w:eastAsia="仿宋" w:cs="仿宋"/>
          <w:kern w:val="0"/>
          <w:sz w:val="24"/>
          <w:szCs w:val="24"/>
          <w:shd w:val="clear" w:color="auto" w:fill="FFFFFF"/>
          <w:lang w:bidi="ar"/>
        </w:rPr>
        <w:t>未按照招标文件要求密封的；</w:t>
      </w:r>
    </w:p>
    <w:p w14:paraId="198F6999">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6.2.3</w:t>
      </w:r>
      <w:r>
        <w:rPr>
          <w:rFonts w:ascii="Calibri" w:hAnsi="Calibri" w:eastAsia="Helvetica" w:cs="Calibri"/>
          <w:kern w:val="0"/>
          <w:sz w:val="24"/>
          <w:szCs w:val="24"/>
          <w:shd w:val="clear" w:color="auto" w:fill="FFFFFF"/>
          <w:lang w:bidi="ar"/>
        </w:rPr>
        <w:t>  </w:t>
      </w:r>
      <w:r>
        <w:rPr>
          <w:rFonts w:hint="eastAsia" w:ascii="仿宋" w:hAnsi="仿宋" w:eastAsia="仿宋" w:cs="仿宋"/>
          <w:kern w:val="0"/>
          <w:sz w:val="24"/>
          <w:szCs w:val="24"/>
          <w:shd w:val="clear" w:color="auto" w:fill="FFFFFF"/>
          <w:lang w:bidi="ar"/>
        </w:rPr>
        <w:t>未按照本公告要求获得本项目招标文件的。</w:t>
      </w:r>
    </w:p>
    <w:p w14:paraId="42BC9F15">
      <w:pPr>
        <w:widowControl/>
        <w:shd w:val="clear" w:color="auto" w:fill="FFFFFF"/>
        <w:spacing w:line="420" w:lineRule="atLeast"/>
        <w:jc w:val="left"/>
        <w:rPr>
          <w:rFonts w:ascii="Helvetica" w:hAnsi="Helvetica" w:eastAsia="Helvetica" w:cs="Helvetica"/>
          <w:szCs w:val="21"/>
        </w:rPr>
      </w:pPr>
      <w:r>
        <w:rPr>
          <w:rFonts w:hint="eastAsia" w:ascii="仿宋" w:hAnsi="仿宋" w:eastAsia="仿宋" w:cs="仿宋"/>
          <w:b/>
          <w:bCs/>
          <w:kern w:val="0"/>
          <w:sz w:val="24"/>
          <w:szCs w:val="24"/>
          <w:shd w:val="clear" w:color="auto" w:fill="FFFFFF"/>
          <w:lang w:bidi="ar"/>
        </w:rPr>
        <w:t>（7）、联系方式</w:t>
      </w:r>
    </w:p>
    <w:p w14:paraId="69E16F25">
      <w:pPr>
        <w:widowControl/>
        <w:shd w:val="clear" w:color="auto" w:fill="FFFFFF"/>
        <w:spacing w:line="273" w:lineRule="atLeast"/>
        <w:ind w:firstLine="482"/>
        <w:jc w:val="left"/>
        <w:textAlignment w:val="baseline"/>
        <w:rPr>
          <w:rFonts w:hint="eastAsia" w:ascii="仿宋" w:hAnsi="仿宋" w:eastAsia="仿宋" w:cs="仿宋"/>
          <w:b/>
          <w:bCs/>
          <w:kern w:val="0"/>
          <w:sz w:val="24"/>
          <w:szCs w:val="24"/>
          <w:shd w:val="clear" w:color="auto" w:fill="FFFFFF"/>
          <w:lang w:bidi="ar"/>
        </w:rPr>
      </w:pPr>
      <w:r>
        <w:rPr>
          <w:rFonts w:hint="eastAsia" w:ascii="仿宋" w:hAnsi="仿宋" w:eastAsia="仿宋" w:cs="仿宋"/>
          <w:b/>
          <w:bCs/>
          <w:kern w:val="0"/>
          <w:sz w:val="24"/>
          <w:szCs w:val="24"/>
          <w:shd w:val="clear" w:color="auto" w:fill="FFFFFF"/>
          <w:lang w:bidi="ar"/>
        </w:rPr>
        <w:t>招标人：大连爱立方健康管理有限公司</w:t>
      </w:r>
    </w:p>
    <w:p w14:paraId="6B107B74">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联系人：吕先生</w:t>
      </w:r>
    </w:p>
    <w:p w14:paraId="6692D8B9">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地址：</w:t>
      </w:r>
      <w:r>
        <w:rPr>
          <w:rFonts w:hint="eastAsia" w:ascii="仿宋" w:hAnsi="仿宋" w:eastAsia="仿宋" w:cs="仿宋"/>
          <w:b/>
          <w:bCs/>
          <w:kern w:val="0"/>
          <w:sz w:val="24"/>
          <w:szCs w:val="24"/>
          <w:shd w:val="clear" w:color="auto" w:fill="FFFFFF"/>
          <w:lang w:bidi="ar"/>
        </w:rPr>
        <w:t>大连市沙河口区体坛路22号诺德大厦2F</w:t>
      </w:r>
    </w:p>
    <w:p w14:paraId="7FB5FC9D">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联系电话：13342277326、0411-39875136</w:t>
      </w:r>
    </w:p>
    <w:p w14:paraId="3CF4BCE8">
      <w:pPr>
        <w:widowControl/>
        <w:shd w:val="clear" w:color="auto" w:fill="FFFFFF"/>
        <w:spacing w:line="420" w:lineRule="atLeast"/>
        <w:jc w:val="left"/>
        <w:rPr>
          <w:rFonts w:ascii="Helvetica" w:hAnsi="Helvetica" w:eastAsia="Helvetica" w:cs="Helvetica"/>
          <w:szCs w:val="21"/>
        </w:rPr>
      </w:pPr>
      <w:r>
        <w:rPr>
          <w:rFonts w:hint="eastAsia" w:ascii="仿宋" w:hAnsi="仿宋" w:eastAsia="仿宋" w:cs="仿宋"/>
          <w:b/>
          <w:bCs/>
          <w:kern w:val="0"/>
          <w:sz w:val="24"/>
          <w:szCs w:val="24"/>
          <w:shd w:val="clear" w:color="auto" w:fill="FFFFFF"/>
          <w:lang w:bidi="ar"/>
        </w:rPr>
        <w:t>（8）、其他说明</w:t>
      </w:r>
    </w:p>
    <w:p w14:paraId="67EF4856">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8.1领取招标文件后，投标人不得无故放弃参加本项目。若确有实际原因不能参加本项目，请最迟在</w:t>
      </w:r>
      <w:r>
        <w:rPr>
          <w:rFonts w:hint="eastAsia" w:ascii="仿宋" w:hAnsi="仿宋" w:eastAsia="仿宋" w:cs="仿宋"/>
          <w:kern w:val="0"/>
          <w:sz w:val="24"/>
          <w:szCs w:val="24"/>
          <w:u w:val="single"/>
          <w:shd w:val="clear" w:color="auto" w:fill="FFFFFF"/>
          <w:lang w:bidi="ar"/>
        </w:rPr>
        <w:t>本项目递交投标文件截止时间3天前</w:t>
      </w:r>
      <w:r>
        <w:rPr>
          <w:rFonts w:hint="eastAsia" w:ascii="仿宋" w:hAnsi="仿宋" w:eastAsia="仿宋" w:cs="仿宋"/>
          <w:kern w:val="0"/>
          <w:sz w:val="24"/>
          <w:szCs w:val="24"/>
          <w:shd w:val="clear" w:color="auto" w:fill="FFFFFF"/>
          <w:lang w:bidi="ar"/>
        </w:rPr>
        <w:t>以书面方式通知（加盖公章的扫描件发送至邮件）。</w:t>
      </w:r>
    </w:p>
    <w:p w14:paraId="7014B9A9">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8.2投标人应承担参加本项目相关的所有费用。不论本项目的结果如何，招标人均无义务和责任承担这些费用。</w:t>
      </w:r>
    </w:p>
    <w:p w14:paraId="02ACFA4F">
      <w:pPr>
        <w:widowControl/>
        <w:shd w:val="clear" w:color="auto" w:fill="FFFFFF"/>
        <w:spacing w:line="273" w:lineRule="atLeast"/>
        <w:ind w:firstLine="426"/>
        <w:jc w:val="left"/>
        <w:rPr>
          <w:rFonts w:ascii="Helvetica" w:hAnsi="Helvetica" w:eastAsia="Helvetica" w:cs="Helvetica"/>
          <w:szCs w:val="21"/>
        </w:rPr>
      </w:pPr>
      <w:r>
        <w:rPr>
          <w:rFonts w:hint="eastAsia" w:ascii="仿宋" w:hAnsi="仿宋" w:eastAsia="仿宋" w:cs="仿宋"/>
          <w:b/>
          <w:bCs/>
          <w:kern w:val="0"/>
          <w:sz w:val="24"/>
          <w:szCs w:val="24"/>
          <w:shd w:val="clear" w:color="auto" w:fill="FFFFFF"/>
          <w:lang w:bidi="ar"/>
        </w:rPr>
        <w:t>※特别说明：根据《转发辽宁省财政厅关于公布2018-2019年度辽宁省政府集中采购目录及采购限额标准的通知》（大财采（2017）1016号）规定，本项目属于自行采购的项目，应由采购单位自行组织采购，不纳入财政部门监管范围，不属于政府采购项目。凡涉及与自行采购项目有关的询问、质疑、投诉、举报等事宜，相关供应商应向代理机构（如有）、采购单位或其上级行政主管部门反映情况。</w:t>
      </w:r>
    </w:p>
    <w:p w14:paraId="677724A1">
      <w:pPr>
        <w:widowControl/>
        <w:shd w:val="clear" w:color="auto" w:fill="FFFFFF"/>
        <w:ind w:firstLine="482"/>
        <w:jc w:val="left"/>
        <w:textAlignment w:val="baseline"/>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招标人：大连爱立方健康管理有限公司</w:t>
      </w:r>
    </w:p>
    <w:p w14:paraId="0C348F03">
      <w:pPr>
        <w:widowControl/>
        <w:shd w:val="clear" w:color="auto" w:fill="FFFFFF"/>
        <w:ind w:firstLine="480"/>
        <w:jc w:val="left"/>
        <w:textAlignment w:val="baseline"/>
        <w:rPr>
          <w:rFonts w:hint="eastAsia"/>
        </w:rPr>
      </w:pPr>
      <w:r>
        <w:rPr>
          <w:rFonts w:hint="eastAsia" w:ascii="仿宋" w:hAnsi="仿宋" w:eastAsia="仿宋" w:cs="仿宋"/>
          <w:kern w:val="0"/>
          <w:sz w:val="24"/>
          <w:szCs w:val="24"/>
          <w:shd w:val="clear" w:color="auto" w:fill="FFFFFF"/>
          <w:lang w:bidi="ar"/>
        </w:rPr>
        <w:t>    2025年12月</w:t>
      </w:r>
      <w:r>
        <w:rPr>
          <w:rFonts w:hint="eastAsia" w:ascii="仿宋" w:hAnsi="仿宋" w:eastAsia="仿宋" w:cs="仿宋"/>
          <w:kern w:val="0"/>
          <w:sz w:val="24"/>
          <w:szCs w:val="24"/>
          <w:shd w:val="clear" w:color="auto" w:fill="FFFFFF"/>
          <w:lang w:val="en-US" w:eastAsia="zh-CN" w:bidi="ar"/>
        </w:rPr>
        <w:t>2</w:t>
      </w:r>
      <w:r>
        <w:rPr>
          <w:rFonts w:hint="eastAsia" w:ascii="仿宋" w:hAnsi="仿宋" w:eastAsia="仿宋" w:cs="仿宋"/>
          <w:kern w:val="0"/>
          <w:sz w:val="24"/>
          <w:szCs w:val="24"/>
          <w:shd w:val="clear" w:color="auto" w:fill="FFFFFF"/>
          <w:lang w:bidi="ar"/>
        </w:rPr>
        <w:t>日</w:t>
      </w:r>
    </w:p>
    <w:bookmarkEnd w:id="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Cambria Math">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hhNGI4NTVmNTUzYzQ1OTBmOTQ1ZDY4YWI3YThhMTUifQ=="/>
  </w:docVars>
  <w:rsids>
    <w:rsidRoot w:val="000941A1"/>
    <w:rsid w:val="00022E13"/>
    <w:rsid w:val="0003662D"/>
    <w:rsid w:val="00037F4A"/>
    <w:rsid w:val="000941A1"/>
    <w:rsid w:val="00150258"/>
    <w:rsid w:val="001C6014"/>
    <w:rsid w:val="001D5801"/>
    <w:rsid w:val="001F1358"/>
    <w:rsid w:val="002A3930"/>
    <w:rsid w:val="002B0F12"/>
    <w:rsid w:val="002F3D69"/>
    <w:rsid w:val="00311403"/>
    <w:rsid w:val="003728CE"/>
    <w:rsid w:val="003763B6"/>
    <w:rsid w:val="003B3ED1"/>
    <w:rsid w:val="003E55E3"/>
    <w:rsid w:val="004115B6"/>
    <w:rsid w:val="00436ED6"/>
    <w:rsid w:val="004566D8"/>
    <w:rsid w:val="004A5456"/>
    <w:rsid w:val="004C642D"/>
    <w:rsid w:val="00735831"/>
    <w:rsid w:val="007E33EB"/>
    <w:rsid w:val="007E4AD7"/>
    <w:rsid w:val="008024CE"/>
    <w:rsid w:val="008251E5"/>
    <w:rsid w:val="008529D7"/>
    <w:rsid w:val="00872401"/>
    <w:rsid w:val="00924AC4"/>
    <w:rsid w:val="0094122A"/>
    <w:rsid w:val="009E4E16"/>
    <w:rsid w:val="00BE385A"/>
    <w:rsid w:val="00C34453"/>
    <w:rsid w:val="00C836CF"/>
    <w:rsid w:val="00CF3A03"/>
    <w:rsid w:val="00D26D9F"/>
    <w:rsid w:val="00D61A3A"/>
    <w:rsid w:val="00D64286"/>
    <w:rsid w:val="00D93470"/>
    <w:rsid w:val="00DB6668"/>
    <w:rsid w:val="00DC0C12"/>
    <w:rsid w:val="00E22AFB"/>
    <w:rsid w:val="00E5158A"/>
    <w:rsid w:val="00E60665"/>
    <w:rsid w:val="00E71057"/>
    <w:rsid w:val="00EC2D1D"/>
    <w:rsid w:val="00F74457"/>
    <w:rsid w:val="00FA6222"/>
    <w:rsid w:val="00FC7D14"/>
    <w:rsid w:val="04151023"/>
    <w:rsid w:val="067526A6"/>
    <w:rsid w:val="06BF3F53"/>
    <w:rsid w:val="08844E22"/>
    <w:rsid w:val="08F35116"/>
    <w:rsid w:val="08FC70AE"/>
    <w:rsid w:val="0946032A"/>
    <w:rsid w:val="09D80AD3"/>
    <w:rsid w:val="0C1B5A9E"/>
    <w:rsid w:val="0CDB1DC5"/>
    <w:rsid w:val="0ECF2B6F"/>
    <w:rsid w:val="0FD3485E"/>
    <w:rsid w:val="116C3A55"/>
    <w:rsid w:val="11817653"/>
    <w:rsid w:val="12311AFF"/>
    <w:rsid w:val="126D7095"/>
    <w:rsid w:val="14074B59"/>
    <w:rsid w:val="169A78CA"/>
    <w:rsid w:val="17530574"/>
    <w:rsid w:val="18187335"/>
    <w:rsid w:val="18737847"/>
    <w:rsid w:val="1B284259"/>
    <w:rsid w:val="1B371328"/>
    <w:rsid w:val="1C1D316C"/>
    <w:rsid w:val="1C886577"/>
    <w:rsid w:val="1F6536F0"/>
    <w:rsid w:val="2114528A"/>
    <w:rsid w:val="25AB17E9"/>
    <w:rsid w:val="26331017"/>
    <w:rsid w:val="27871DE1"/>
    <w:rsid w:val="29D86924"/>
    <w:rsid w:val="2A88034A"/>
    <w:rsid w:val="2E3A2F02"/>
    <w:rsid w:val="2FB53E40"/>
    <w:rsid w:val="32985CB1"/>
    <w:rsid w:val="34FF745B"/>
    <w:rsid w:val="35570927"/>
    <w:rsid w:val="359462C1"/>
    <w:rsid w:val="35CB558F"/>
    <w:rsid w:val="388A1EF2"/>
    <w:rsid w:val="3B043A1D"/>
    <w:rsid w:val="3B98045A"/>
    <w:rsid w:val="3C472FAC"/>
    <w:rsid w:val="3C990195"/>
    <w:rsid w:val="3D803103"/>
    <w:rsid w:val="3E190559"/>
    <w:rsid w:val="41061935"/>
    <w:rsid w:val="417F7261"/>
    <w:rsid w:val="423170C2"/>
    <w:rsid w:val="4269071B"/>
    <w:rsid w:val="42EB256B"/>
    <w:rsid w:val="43D9356D"/>
    <w:rsid w:val="44C508C0"/>
    <w:rsid w:val="44F468B0"/>
    <w:rsid w:val="45A7278E"/>
    <w:rsid w:val="45F97BF5"/>
    <w:rsid w:val="4651711C"/>
    <w:rsid w:val="469D2F78"/>
    <w:rsid w:val="472F082D"/>
    <w:rsid w:val="490D12B6"/>
    <w:rsid w:val="490F30FB"/>
    <w:rsid w:val="49F40F24"/>
    <w:rsid w:val="4A525E27"/>
    <w:rsid w:val="4A7207BB"/>
    <w:rsid w:val="4C2757BD"/>
    <w:rsid w:val="4CE42B74"/>
    <w:rsid w:val="4DD3292B"/>
    <w:rsid w:val="4E3E0EF8"/>
    <w:rsid w:val="50512320"/>
    <w:rsid w:val="507F724A"/>
    <w:rsid w:val="526861E8"/>
    <w:rsid w:val="538277C4"/>
    <w:rsid w:val="543744C9"/>
    <w:rsid w:val="54D97871"/>
    <w:rsid w:val="55654C60"/>
    <w:rsid w:val="557D01FC"/>
    <w:rsid w:val="565C13C1"/>
    <w:rsid w:val="579F183C"/>
    <w:rsid w:val="57FC7308"/>
    <w:rsid w:val="58906498"/>
    <w:rsid w:val="59587BE8"/>
    <w:rsid w:val="5B1213E7"/>
    <w:rsid w:val="5B44356A"/>
    <w:rsid w:val="5B9D0B7E"/>
    <w:rsid w:val="5C5872CD"/>
    <w:rsid w:val="5C612A23"/>
    <w:rsid w:val="5D0E3E30"/>
    <w:rsid w:val="5D7D4F78"/>
    <w:rsid w:val="61650082"/>
    <w:rsid w:val="63957059"/>
    <w:rsid w:val="64E77440"/>
    <w:rsid w:val="64E831B8"/>
    <w:rsid w:val="679B2764"/>
    <w:rsid w:val="6ABC136F"/>
    <w:rsid w:val="6C0E1756"/>
    <w:rsid w:val="6CE801F9"/>
    <w:rsid w:val="6FA4173B"/>
    <w:rsid w:val="6FE95CFA"/>
    <w:rsid w:val="70531E2E"/>
    <w:rsid w:val="70A37328"/>
    <w:rsid w:val="727E5B59"/>
    <w:rsid w:val="731A258E"/>
    <w:rsid w:val="737541E3"/>
    <w:rsid w:val="76F21CBB"/>
    <w:rsid w:val="771B22FF"/>
    <w:rsid w:val="77B41AD9"/>
    <w:rsid w:val="793D1D39"/>
    <w:rsid w:val="7A4F18B8"/>
    <w:rsid w:val="7BA7455A"/>
    <w:rsid w:val="7D07647A"/>
    <w:rsid w:val="7DE257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0"/>
    <w:qFormat/>
    <w:uiPriority w:val="9"/>
    <w:pPr>
      <w:keepNext/>
      <w:keepLines/>
      <w:spacing w:before="340" w:after="330" w:line="578" w:lineRule="auto"/>
      <w:outlineLvl w:val="0"/>
    </w:pPr>
    <w:rPr>
      <w:b/>
      <w:bCs/>
      <w:kern w:val="44"/>
      <w:sz w:val="44"/>
      <w:szCs w:val="44"/>
    </w:rPr>
  </w:style>
  <w:style w:type="paragraph" w:styleId="3">
    <w:name w:val="heading 2"/>
    <w:basedOn w:val="1"/>
    <w:link w:val="12"/>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unhideWhenUsed/>
    <w:qFormat/>
    <w:uiPriority w:val="99"/>
    <w:pPr>
      <w:spacing w:after="120"/>
    </w:p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semiHidden/>
    <w:unhideWhenUsed/>
    <w:qFormat/>
    <w:uiPriority w:val="99"/>
    <w:rPr>
      <w:color w:val="0000FF"/>
      <w:u w:val="single"/>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标题 2 字符"/>
    <w:basedOn w:val="8"/>
    <w:link w:val="3"/>
    <w:qFormat/>
    <w:uiPriority w:val="9"/>
    <w:rPr>
      <w:rFonts w:ascii="宋体" w:hAnsi="宋体" w:eastAsia="宋体" w:cs="宋体"/>
      <w:b/>
      <w:bCs/>
      <w:kern w:val="0"/>
      <w:sz w:val="36"/>
      <w:szCs w:val="36"/>
    </w:rPr>
  </w:style>
  <w:style w:type="character" w:customStyle="1" w:styleId="13">
    <w:name w:val="font31"/>
    <w:basedOn w:val="8"/>
    <w:qFormat/>
    <w:uiPriority w:val="0"/>
    <w:rPr>
      <w:rFonts w:hint="eastAsia" w:ascii="宋体" w:hAnsi="宋体" w:eastAsia="宋体" w:cs="宋体"/>
      <w:color w:val="000000"/>
      <w:sz w:val="20"/>
      <w:szCs w:val="20"/>
      <w:u w:val="none"/>
    </w:rPr>
  </w:style>
  <w:style w:type="paragraph" w:customStyle="1" w:styleId="14">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15">
    <w:name w:val="font61"/>
    <w:basedOn w:val="8"/>
    <w:qFormat/>
    <w:uiPriority w:val="0"/>
    <w:rPr>
      <w:rFonts w:hint="eastAsia" w:ascii="宋体" w:hAnsi="宋体" w:eastAsia="宋体" w:cs="宋体"/>
      <w:color w:val="FF0000"/>
      <w:sz w:val="20"/>
      <w:szCs w:val="20"/>
      <w:u w:val="none"/>
    </w:rPr>
  </w:style>
  <w:style w:type="paragraph" w:customStyle="1" w:styleId="16">
    <w:name w:val="A正文"/>
    <w:basedOn w:val="1"/>
    <w:qFormat/>
    <w:uiPriority w:val="0"/>
    <w:pPr>
      <w:tabs>
        <w:tab w:val="left" w:pos="893"/>
      </w:tabs>
      <w:spacing w:line="360" w:lineRule="auto"/>
      <w:ind w:firstLine="480" w:firstLineChars="200"/>
    </w:pPr>
    <w:rPr>
      <w:snapToGrid w:val="0"/>
      <w:lang w:val="zh-CN"/>
    </w:rPr>
  </w:style>
  <w:style w:type="paragraph" w:styleId="17">
    <w:name w:val="List Paragraph"/>
    <w:basedOn w:val="1"/>
    <w:qFormat/>
    <w:uiPriority w:val="34"/>
    <w:pPr>
      <w:ind w:left="720"/>
      <w:contextualSpacing/>
    </w:pPr>
  </w:style>
  <w:style w:type="paragraph" w:customStyle="1" w:styleId="18">
    <w:name w:val="Table Text"/>
    <w:basedOn w:val="1"/>
    <w:semiHidden/>
    <w:qFormat/>
    <w:uiPriority w:val="0"/>
    <w:rPr>
      <w:rFonts w:ascii="微软雅黑" w:hAnsi="微软雅黑" w:eastAsia="微软雅黑" w:cs="微软雅黑"/>
      <w:sz w:val="16"/>
      <w:szCs w:val="16"/>
      <w:lang w:eastAsia="en-US"/>
    </w:rPr>
  </w:style>
  <w:style w:type="table" w:customStyle="1" w:styleId="19">
    <w:name w:val="Table Normal"/>
    <w:semiHidden/>
    <w:unhideWhenUsed/>
    <w:qFormat/>
    <w:uiPriority w:val="0"/>
    <w:rPr>
      <w:rFonts w:ascii="Calibri" w:hAnsi="Calibri" w:cs="宋体"/>
    </w:rPr>
    <w:tblPr>
      <w:tblCellMar>
        <w:top w:w="0" w:type="dxa"/>
        <w:left w:w="0" w:type="dxa"/>
        <w:bottom w:w="0" w:type="dxa"/>
        <w:right w:w="0" w:type="dxa"/>
      </w:tblCellMar>
    </w:tblPr>
  </w:style>
  <w:style w:type="character" w:customStyle="1" w:styleId="20">
    <w:name w:val="标题 1 字符"/>
    <w:basedOn w:val="8"/>
    <w:link w:val="2"/>
    <w:qFormat/>
    <w:uiPriority w:val="9"/>
    <w:rPr>
      <w:rFonts w:asciiTheme="minorHAnsi" w:hAnsiTheme="minorHAnsi" w:eastAsiaTheme="minorEastAsia" w:cstheme="minorBidi"/>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3626</Words>
  <Characters>4308</Characters>
  <Lines>32</Lines>
  <Paragraphs>9</Paragraphs>
  <TotalTime>1</TotalTime>
  <ScaleCrop>false</ScaleCrop>
  <LinksUpToDate>false</LinksUpToDate>
  <CharactersWithSpaces>4419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2025-11-28T09:29:00Z</dcterms:created>
  <dc:creator>罗德惠</dc:creator>
  <cp:lastModifiedBy>ywwwf</cp:lastModifiedBy>
  <dcterms:modified xsi:type="dcterms:W3CDTF">2025-12-02T02:55:40Z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E4084FB869D24F6AB3EE55C8C604DB47_12</vt:lpwstr>
  </property>
  <property fmtid="{D5CDD505-2E9C-101B-9397-08002B2CF9AE}" pid="4" name="KSOTemplateDocerSaveRecord">
    <vt:lpwstr>eyJoZGlkIjoiYzhhNGI4NTVmNTUzYzQ1OTBmOTQ1ZDY4YWI3YThhMTUiLCJ1c2VySWQiOiIxOTQ2MTExMjgifQ==</vt:lpwstr>
  </property>
</Properties>
</file>