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9ABE74" w14:textId="77777777" w:rsidR="00896D3D" w:rsidRDefault="00DD1984">
      <w:pPr>
        <w:adjustRightInd w:val="0"/>
        <w:snapToGrid w:val="0"/>
        <w:spacing w:line="360" w:lineRule="auto"/>
        <w:jc w:val="center"/>
        <w:rPr>
          <w:rFonts w:ascii="宋体" w:eastAsia="宋体" w:hAnsi="宋体" w:cs="宋体"/>
          <w:snapToGrid w:val="0"/>
          <w:kern w:val="0"/>
          <w:sz w:val="36"/>
          <w:szCs w:val="36"/>
        </w:rPr>
      </w:pPr>
      <w:r>
        <w:rPr>
          <w:rFonts w:ascii="宋体" w:eastAsia="宋体" w:hAnsi="宋体" w:cs="宋体" w:hint="eastAsia"/>
          <w:snapToGrid w:val="0"/>
          <w:kern w:val="0"/>
          <w:sz w:val="36"/>
          <w:szCs w:val="36"/>
        </w:rPr>
        <w:t>中国矿业大学资产统筹管理平台升级改造项目</w:t>
      </w:r>
    </w:p>
    <w:p w14:paraId="21B3C3BD" w14:textId="77777777" w:rsidR="00896D3D" w:rsidRDefault="00DD1984">
      <w:pPr>
        <w:adjustRightInd w:val="0"/>
        <w:snapToGrid w:val="0"/>
        <w:spacing w:line="360" w:lineRule="auto"/>
        <w:jc w:val="center"/>
        <w:rPr>
          <w:rFonts w:ascii="宋体" w:eastAsia="宋体" w:hAnsi="宋体" w:cs="宋体"/>
          <w:snapToGrid w:val="0"/>
          <w:kern w:val="0"/>
          <w:sz w:val="36"/>
          <w:szCs w:val="36"/>
        </w:rPr>
      </w:pPr>
      <w:r>
        <w:rPr>
          <w:rFonts w:ascii="宋体" w:eastAsia="宋体" w:hAnsi="宋体" w:cs="宋体" w:hint="eastAsia"/>
          <w:snapToGrid w:val="0"/>
          <w:kern w:val="0"/>
          <w:sz w:val="36"/>
          <w:szCs w:val="36"/>
        </w:rPr>
        <w:t>采购需求</w:t>
      </w:r>
    </w:p>
    <w:p w14:paraId="6772D92A" w14:textId="77777777" w:rsidR="00896D3D" w:rsidRDefault="00896D3D">
      <w:pPr>
        <w:spacing w:line="440" w:lineRule="exact"/>
        <w:rPr>
          <w:rFonts w:ascii="宋体" w:eastAsia="宋体" w:hAnsi="宋体" w:cs="宋体"/>
        </w:rPr>
      </w:pPr>
    </w:p>
    <w:p w14:paraId="73876E24" w14:textId="77777777" w:rsidR="00896D3D" w:rsidRDefault="00896D3D">
      <w:pPr>
        <w:spacing w:line="440" w:lineRule="exact"/>
        <w:rPr>
          <w:rFonts w:ascii="宋体" w:eastAsia="宋体" w:hAnsi="宋体" w:cs="宋体"/>
        </w:rPr>
      </w:pPr>
    </w:p>
    <w:p w14:paraId="58A759B1" w14:textId="77777777" w:rsidR="00896D3D" w:rsidRDefault="00DD1984">
      <w:pPr>
        <w:adjustRightInd w:val="0"/>
        <w:snapToGrid w:val="0"/>
        <w:spacing w:line="360" w:lineRule="auto"/>
        <w:ind w:firstLineChars="100" w:firstLine="280"/>
        <w:rPr>
          <w:rFonts w:ascii="宋体" w:eastAsia="宋体" w:hAnsi="宋体" w:cs="宋体"/>
          <w:snapToGrid w:val="0"/>
          <w:kern w:val="0"/>
          <w:sz w:val="28"/>
          <w:szCs w:val="28"/>
        </w:rPr>
      </w:pPr>
      <w:r>
        <w:rPr>
          <w:rFonts w:ascii="宋体" w:eastAsia="宋体" w:hAnsi="宋体" w:cs="宋体" w:hint="eastAsia"/>
          <w:snapToGrid w:val="0"/>
          <w:kern w:val="0"/>
          <w:sz w:val="28"/>
          <w:szCs w:val="28"/>
        </w:rPr>
        <w:t>一、对于候选供应商的要求</w:t>
      </w:r>
    </w:p>
    <w:p w14:paraId="7131C8B8" w14:textId="77777777" w:rsidR="00896D3D" w:rsidRDefault="00DD1984">
      <w:pPr>
        <w:adjustRightInd w:val="0"/>
        <w:snapToGrid w:val="0"/>
        <w:spacing w:line="360" w:lineRule="auto"/>
        <w:ind w:firstLineChars="100" w:firstLine="280"/>
        <w:rPr>
          <w:rFonts w:eastAsia="宋体"/>
          <w:sz w:val="28"/>
          <w:szCs w:val="28"/>
        </w:rPr>
      </w:pPr>
      <w:r>
        <w:rPr>
          <w:rFonts w:eastAsia="宋体" w:hint="eastAsia"/>
          <w:sz w:val="28"/>
          <w:szCs w:val="28"/>
        </w:rPr>
        <w:t>详见市场调研公告。</w:t>
      </w:r>
    </w:p>
    <w:p w14:paraId="33F60360" w14:textId="77777777" w:rsidR="00896D3D" w:rsidRDefault="00DD1984">
      <w:pPr>
        <w:adjustRightInd w:val="0"/>
        <w:snapToGrid w:val="0"/>
        <w:spacing w:line="360" w:lineRule="auto"/>
        <w:ind w:firstLineChars="100" w:firstLine="280"/>
        <w:rPr>
          <w:rFonts w:ascii="宋体" w:eastAsia="宋体" w:hAnsi="宋体" w:cs="宋体"/>
          <w:snapToGrid w:val="0"/>
          <w:kern w:val="0"/>
          <w:sz w:val="28"/>
          <w:szCs w:val="28"/>
        </w:rPr>
      </w:pPr>
      <w:r>
        <w:rPr>
          <w:rFonts w:ascii="宋体" w:eastAsia="宋体" w:hAnsi="宋体" w:cs="宋体" w:hint="eastAsia"/>
          <w:snapToGrid w:val="0"/>
          <w:kern w:val="0"/>
          <w:sz w:val="28"/>
          <w:szCs w:val="28"/>
        </w:rPr>
        <w:t>二、产品品类，即本次采购产品的各种类型及所属的商品品类。</w:t>
      </w:r>
    </w:p>
    <w:p w14:paraId="0EE5672C" w14:textId="77777777" w:rsidR="00896D3D" w:rsidRDefault="00DD1984">
      <w:pPr>
        <w:adjustRightInd w:val="0"/>
        <w:snapToGrid w:val="0"/>
        <w:spacing w:line="360" w:lineRule="auto"/>
        <w:ind w:firstLineChars="200" w:firstLine="640"/>
        <w:rPr>
          <w:rFonts w:ascii="宋体" w:eastAsia="宋体" w:hAnsi="宋体" w:cs="宋体"/>
          <w:snapToGrid w:val="0"/>
          <w:kern w:val="0"/>
          <w:sz w:val="32"/>
          <w:szCs w:val="32"/>
        </w:rPr>
      </w:pPr>
      <w:r>
        <w:rPr>
          <w:rFonts w:ascii="宋体" w:eastAsia="宋体" w:hAnsi="宋体" w:cs="宋体" w:hint="eastAsia"/>
          <w:snapToGrid w:val="0"/>
          <w:kern w:val="0"/>
          <w:sz w:val="32"/>
          <w:szCs w:val="32"/>
        </w:rPr>
        <w:t>业务延伸类（软件）</w:t>
      </w:r>
    </w:p>
    <w:p w14:paraId="465CC906" w14:textId="77777777" w:rsidR="00896D3D" w:rsidRDefault="00DD1984">
      <w:pPr>
        <w:adjustRightInd w:val="0"/>
        <w:snapToGrid w:val="0"/>
        <w:spacing w:line="360" w:lineRule="auto"/>
        <w:ind w:firstLineChars="100" w:firstLine="280"/>
        <w:rPr>
          <w:rFonts w:ascii="宋体" w:eastAsia="宋体" w:hAnsi="宋体" w:cs="宋体"/>
          <w:snapToGrid w:val="0"/>
          <w:kern w:val="0"/>
          <w:sz w:val="28"/>
          <w:szCs w:val="28"/>
        </w:rPr>
      </w:pPr>
      <w:r>
        <w:rPr>
          <w:rFonts w:ascii="宋体" w:eastAsia="宋体" w:hAnsi="宋体" w:cs="宋体" w:hint="eastAsia"/>
          <w:snapToGrid w:val="0"/>
          <w:kern w:val="0"/>
          <w:sz w:val="28"/>
          <w:szCs w:val="28"/>
        </w:rPr>
        <w:t>三、产品规格，包括产品的品牌（如有），配置，配件，功能、性能，容量，冗余，制式（服务器如：刀片、塔式等），系统软件等。</w:t>
      </w:r>
    </w:p>
    <w:tbl>
      <w:tblPr>
        <w:tblW w:w="9512" w:type="dxa"/>
        <w:jc w:val="center"/>
        <w:tblLayout w:type="fixed"/>
        <w:tblLook w:val="04A0" w:firstRow="1" w:lastRow="0" w:firstColumn="1" w:lastColumn="0" w:noHBand="0" w:noVBand="1"/>
      </w:tblPr>
      <w:tblGrid>
        <w:gridCol w:w="423"/>
        <w:gridCol w:w="924"/>
        <w:gridCol w:w="1524"/>
        <w:gridCol w:w="6641"/>
      </w:tblGrid>
      <w:tr w:rsidR="00896D3D" w14:paraId="612FC1D0" w14:textId="77777777">
        <w:trPr>
          <w:trHeight w:val="630"/>
          <w:jc w:val="center"/>
        </w:trPr>
        <w:tc>
          <w:tcPr>
            <w:tcW w:w="423" w:type="dxa"/>
            <w:tcBorders>
              <w:top w:val="single" w:sz="4" w:space="0" w:color="auto"/>
              <w:left w:val="single" w:sz="4" w:space="0" w:color="auto"/>
              <w:bottom w:val="single" w:sz="4" w:space="0" w:color="auto"/>
              <w:right w:val="single" w:sz="4" w:space="0" w:color="auto"/>
            </w:tcBorders>
            <w:shd w:val="clear" w:color="000000" w:fill="FFFFFF"/>
            <w:vAlign w:val="center"/>
          </w:tcPr>
          <w:p w14:paraId="4CBD7221" w14:textId="77777777" w:rsidR="00896D3D" w:rsidRDefault="00DD1984">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序号</w:t>
            </w:r>
          </w:p>
        </w:tc>
        <w:tc>
          <w:tcPr>
            <w:tcW w:w="2448"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14:paraId="458DE1B2" w14:textId="77777777" w:rsidR="00896D3D" w:rsidRDefault="00DD1984">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产品名称</w:t>
            </w:r>
          </w:p>
        </w:tc>
        <w:tc>
          <w:tcPr>
            <w:tcW w:w="6641" w:type="dxa"/>
            <w:tcBorders>
              <w:top w:val="single" w:sz="4" w:space="0" w:color="auto"/>
              <w:left w:val="single" w:sz="4" w:space="0" w:color="auto"/>
              <w:bottom w:val="single" w:sz="4" w:space="0" w:color="auto"/>
              <w:right w:val="single" w:sz="4" w:space="0" w:color="auto"/>
            </w:tcBorders>
            <w:shd w:val="clear" w:color="000000" w:fill="FFFFFF"/>
            <w:vAlign w:val="center"/>
          </w:tcPr>
          <w:p w14:paraId="651C6284" w14:textId="77777777" w:rsidR="00896D3D" w:rsidRDefault="00DD1984">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产品属性</w:t>
            </w:r>
          </w:p>
        </w:tc>
      </w:tr>
      <w:tr w:rsidR="00896D3D" w14:paraId="1AEE3115" w14:textId="77777777">
        <w:trPr>
          <w:trHeight w:val="630"/>
          <w:jc w:val="center"/>
        </w:trPr>
        <w:tc>
          <w:tcPr>
            <w:tcW w:w="423" w:type="dxa"/>
            <w:vMerge w:val="restart"/>
            <w:tcBorders>
              <w:top w:val="single" w:sz="4" w:space="0" w:color="auto"/>
              <w:left w:val="single" w:sz="4" w:space="0" w:color="auto"/>
              <w:right w:val="single" w:sz="4" w:space="0" w:color="auto"/>
            </w:tcBorders>
            <w:shd w:val="clear" w:color="000000" w:fill="FFFFFF"/>
            <w:vAlign w:val="center"/>
          </w:tcPr>
          <w:p w14:paraId="139171F7" w14:textId="77777777" w:rsidR="00896D3D" w:rsidRDefault="00DD1984">
            <w:pPr>
              <w:widowControl/>
              <w:jc w:val="left"/>
              <w:rPr>
                <w:rFonts w:ascii="宋体" w:eastAsia="宋体" w:hAnsi="宋体" w:cs="宋体"/>
                <w:color w:val="000000"/>
                <w:kern w:val="0"/>
                <w:sz w:val="22"/>
              </w:rPr>
            </w:pPr>
            <w:r>
              <w:rPr>
                <w:rFonts w:ascii="宋体" w:eastAsia="宋体" w:hAnsi="宋体" w:cs="宋体" w:hint="eastAsia"/>
                <w:color w:val="000000"/>
                <w:kern w:val="0"/>
                <w:sz w:val="22"/>
              </w:rPr>
              <w:t>1</w:t>
            </w:r>
          </w:p>
        </w:tc>
        <w:tc>
          <w:tcPr>
            <w:tcW w:w="92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6293FE9D" w14:textId="77777777" w:rsidR="00896D3D" w:rsidRDefault="00DD1984">
            <w:pPr>
              <w:jc w:val="left"/>
              <w:rPr>
                <w:rFonts w:ascii="宋体" w:eastAsia="宋体" w:hAnsi="宋体" w:cs="宋体"/>
                <w:color w:val="000000"/>
                <w:kern w:val="0"/>
                <w:sz w:val="22"/>
              </w:rPr>
            </w:pPr>
            <w:r>
              <w:rPr>
                <w:rFonts w:ascii="宋体" w:eastAsia="宋体" w:hAnsi="宋体" w:cs="宋体" w:hint="eastAsia"/>
                <w:color w:val="000000"/>
                <w:kern w:val="0"/>
                <w:sz w:val="22"/>
              </w:rPr>
              <w:t>资产统筹管理平台升级改造</w:t>
            </w:r>
          </w:p>
        </w:tc>
        <w:tc>
          <w:tcPr>
            <w:tcW w:w="1524" w:type="dxa"/>
            <w:tcBorders>
              <w:top w:val="single" w:sz="4" w:space="0" w:color="auto"/>
              <w:left w:val="single" w:sz="4" w:space="0" w:color="auto"/>
              <w:bottom w:val="single" w:sz="4" w:space="0" w:color="auto"/>
              <w:right w:val="single" w:sz="4" w:space="0" w:color="auto"/>
            </w:tcBorders>
            <w:shd w:val="clear" w:color="000000" w:fill="FFFFFF"/>
            <w:vAlign w:val="center"/>
          </w:tcPr>
          <w:p w14:paraId="1BEC9FFE" w14:textId="77777777" w:rsidR="00896D3D" w:rsidRDefault="00DD1984">
            <w:pPr>
              <w:widowControl/>
              <w:jc w:val="center"/>
              <w:rPr>
                <w:rFonts w:ascii="宋体" w:eastAsia="宋体" w:hAnsi="宋体" w:cs="宋体"/>
                <w:color w:val="000000"/>
                <w:kern w:val="0"/>
                <w:sz w:val="22"/>
              </w:rPr>
            </w:pPr>
            <w:r>
              <w:rPr>
                <w:rFonts w:asciiTheme="minorEastAsia" w:hAnsiTheme="minorEastAsia" w:cstheme="minorEastAsia" w:hint="eastAsia"/>
                <w:sz w:val="20"/>
                <w:szCs w:val="20"/>
                <w:lang w:eastAsia="zh-Hans"/>
              </w:rPr>
              <w:t>基础平台</w:t>
            </w:r>
          </w:p>
        </w:tc>
        <w:tc>
          <w:tcPr>
            <w:tcW w:w="6641" w:type="dxa"/>
            <w:tcBorders>
              <w:top w:val="single" w:sz="4" w:space="0" w:color="auto"/>
              <w:left w:val="single" w:sz="4" w:space="0" w:color="auto"/>
              <w:bottom w:val="single" w:sz="4" w:space="0" w:color="auto"/>
              <w:right w:val="single" w:sz="4" w:space="0" w:color="auto"/>
            </w:tcBorders>
            <w:shd w:val="clear" w:color="000000" w:fill="FFFFFF"/>
            <w:vAlign w:val="center"/>
          </w:tcPr>
          <w:p w14:paraId="563B3CAC" w14:textId="77777777" w:rsidR="00896D3D" w:rsidRDefault="00DD1984">
            <w:pPr>
              <w:widowControl/>
              <w:spacing w:line="360" w:lineRule="auto"/>
              <w:ind w:firstLineChars="200" w:firstLine="400"/>
              <w:jc w:val="left"/>
              <w:rPr>
                <w:rFonts w:asciiTheme="minorEastAsia" w:hAnsiTheme="minorEastAsia" w:cstheme="minorEastAsia"/>
                <w:sz w:val="20"/>
                <w:szCs w:val="20"/>
              </w:rPr>
            </w:pPr>
            <w:r>
              <w:rPr>
                <w:rFonts w:asciiTheme="minorEastAsia" w:hAnsiTheme="minorEastAsia" w:cstheme="minorEastAsia" w:hint="eastAsia"/>
                <w:sz w:val="20"/>
                <w:szCs w:val="20"/>
                <w:lang w:eastAsia="zh-Hans"/>
              </w:rPr>
              <w:t>基础应用平台包括基础运行平台和开发框架、规范、组件，提供组织结构</w:t>
            </w:r>
            <w:r>
              <w:rPr>
                <w:rFonts w:asciiTheme="minorEastAsia" w:hAnsiTheme="minorEastAsia" w:cstheme="minorEastAsia" w:hint="eastAsia"/>
                <w:sz w:val="20"/>
                <w:szCs w:val="20"/>
              </w:rPr>
              <w:t>管理</w:t>
            </w:r>
            <w:r>
              <w:rPr>
                <w:rFonts w:asciiTheme="minorEastAsia" w:hAnsiTheme="minorEastAsia" w:cstheme="minorEastAsia" w:hint="eastAsia"/>
                <w:sz w:val="20"/>
                <w:szCs w:val="20"/>
                <w:lang w:eastAsia="zh-Hans"/>
              </w:rPr>
              <w:t>、权限</w:t>
            </w:r>
            <w:r>
              <w:rPr>
                <w:rFonts w:asciiTheme="minorEastAsia" w:hAnsiTheme="minorEastAsia" w:cstheme="minorEastAsia" w:hint="eastAsia"/>
                <w:sz w:val="20"/>
                <w:szCs w:val="20"/>
              </w:rPr>
              <w:t>管理</w:t>
            </w:r>
            <w:r>
              <w:rPr>
                <w:rFonts w:asciiTheme="minorEastAsia" w:hAnsiTheme="minorEastAsia" w:cstheme="minorEastAsia" w:hint="eastAsia"/>
                <w:sz w:val="20"/>
                <w:szCs w:val="20"/>
                <w:lang w:eastAsia="zh-Hans"/>
              </w:rPr>
              <w:t>、工作流引擎</w:t>
            </w:r>
            <w:r>
              <w:rPr>
                <w:rFonts w:asciiTheme="minorEastAsia" w:hAnsiTheme="minorEastAsia" w:cstheme="minorEastAsia" w:hint="eastAsia"/>
                <w:sz w:val="20"/>
                <w:szCs w:val="20"/>
              </w:rPr>
              <w:t>等</w:t>
            </w:r>
            <w:r>
              <w:rPr>
                <w:rFonts w:asciiTheme="minorEastAsia" w:hAnsiTheme="minorEastAsia" w:cstheme="minorEastAsia" w:hint="eastAsia"/>
                <w:sz w:val="20"/>
                <w:szCs w:val="20"/>
                <w:lang w:eastAsia="zh-Hans"/>
              </w:rPr>
              <w:t>支持能力。并开放标准接口，支持快速开发集成。</w:t>
            </w:r>
          </w:p>
        </w:tc>
      </w:tr>
      <w:tr w:rsidR="00896D3D" w14:paraId="4076BD70" w14:textId="77777777">
        <w:trPr>
          <w:trHeight w:val="422"/>
          <w:jc w:val="center"/>
        </w:trPr>
        <w:tc>
          <w:tcPr>
            <w:tcW w:w="423" w:type="dxa"/>
            <w:vMerge/>
            <w:tcBorders>
              <w:left w:val="single" w:sz="4" w:space="0" w:color="auto"/>
              <w:right w:val="single" w:sz="4" w:space="0" w:color="auto"/>
            </w:tcBorders>
            <w:shd w:val="clear" w:color="000000" w:fill="FFFFFF"/>
            <w:vAlign w:val="center"/>
          </w:tcPr>
          <w:p w14:paraId="0493B4F3" w14:textId="77777777" w:rsidR="00896D3D" w:rsidRDefault="00896D3D">
            <w:pPr>
              <w:widowControl/>
              <w:jc w:val="left"/>
              <w:rPr>
                <w:rFonts w:ascii="宋体" w:eastAsia="宋体" w:hAnsi="宋体" w:cs="宋体"/>
                <w:color w:val="000000"/>
                <w:kern w:val="0"/>
                <w:sz w:val="22"/>
              </w:rPr>
            </w:pPr>
          </w:p>
        </w:tc>
        <w:tc>
          <w:tcPr>
            <w:tcW w:w="924" w:type="dxa"/>
            <w:vMerge/>
            <w:tcBorders>
              <w:left w:val="single" w:sz="4" w:space="0" w:color="auto"/>
              <w:right w:val="single" w:sz="4" w:space="0" w:color="auto"/>
            </w:tcBorders>
            <w:shd w:val="clear" w:color="000000" w:fill="FFFFFF"/>
            <w:vAlign w:val="center"/>
          </w:tcPr>
          <w:p w14:paraId="26360819" w14:textId="77777777" w:rsidR="00896D3D" w:rsidRDefault="00896D3D">
            <w:pPr>
              <w:jc w:val="left"/>
              <w:rPr>
                <w:rFonts w:ascii="宋体" w:eastAsia="宋体" w:hAnsi="宋体" w:cs="宋体"/>
                <w:color w:val="000000"/>
                <w:kern w:val="0"/>
                <w:sz w:val="22"/>
              </w:rPr>
            </w:pPr>
          </w:p>
        </w:tc>
        <w:tc>
          <w:tcPr>
            <w:tcW w:w="1524" w:type="dxa"/>
            <w:tcBorders>
              <w:top w:val="single" w:sz="4" w:space="0" w:color="auto"/>
              <w:left w:val="single" w:sz="4" w:space="0" w:color="auto"/>
              <w:bottom w:val="single" w:sz="4" w:space="0" w:color="auto"/>
              <w:right w:val="single" w:sz="4" w:space="0" w:color="auto"/>
            </w:tcBorders>
            <w:shd w:val="clear" w:color="000000" w:fill="FFFFFF"/>
            <w:vAlign w:val="center"/>
          </w:tcPr>
          <w:p w14:paraId="6940A736" w14:textId="77777777" w:rsidR="00896D3D" w:rsidRDefault="00DD1984">
            <w:pPr>
              <w:widowControl/>
              <w:jc w:val="center"/>
              <w:rPr>
                <w:rFonts w:ascii="宋体" w:eastAsia="宋体" w:hAnsi="宋体" w:cs="宋体"/>
                <w:color w:val="000000"/>
                <w:kern w:val="0"/>
                <w:sz w:val="22"/>
                <w:lang w:eastAsia="zh-Hans"/>
              </w:rPr>
            </w:pPr>
            <w:r>
              <w:rPr>
                <w:rFonts w:asciiTheme="minorEastAsia" w:hAnsiTheme="minorEastAsia" w:cstheme="minorEastAsia" w:hint="eastAsia"/>
                <w:sz w:val="20"/>
                <w:szCs w:val="20"/>
              </w:rPr>
              <w:t>校内资产日常监管功能</w:t>
            </w:r>
          </w:p>
        </w:tc>
        <w:tc>
          <w:tcPr>
            <w:tcW w:w="6641" w:type="dxa"/>
            <w:tcBorders>
              <w:top w:val="single" w:sz="4" w:space="0" w:color="auto"/>
              <w:left w:val="single" w:sz="4" w:space="0" w:color="auto"/>
              <w:bottom w:val="single" w:sz="4" w:space="0" w:color="auto"/>
              <w:right w:val="single" w:sz="4" w:space="0" w:color="auto"/>
            </w:tcBorders>
            <w:shd w:val="clear" w:color="000000" w:fill="FFFFFF"/>
            <w:vAlign w:val="center"/>
          </w:tcPr>
          <w:p w14:paraId="15DB491C"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1.</w:t>
            </w:r>
            <w:r>
              <w:rPr>
                <w:rFonts w:asciiTheme="minorEastAsia" w:hAnsiTheme="minorEastAsia" w:cstheme="minorEastAsia" w:hint="eastAsia"/>
                <w:sz w:val="20"/>
                <w:szCs w:val="20"/>
                <w:lang w:eastAsia="zh-Hans"/>
              </w:rPr>
              <w:t>系统登录</w:t>
            </w:r>
          </w:p>
          <w:p w14:paraId="3437FFB6"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平台支持用户名及密码、统一认证等方式登录，用户体验更加安全，便捷。</w:t>
            </w:r>
          </w:p>
          <w:p w14:paraId="00D79C82"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2.</w:t>
            </w:r>
            <w:r>
              <w:rPr>
                <w:rFonts w:asciiTheme="minorEastAsia" w:hAnsiTheme="minorEastAsia" w:cstheme="minorEastAsia" w:hint="eastAsia"/>
                <w:sz w:val="20"/>
                <w:szCs w:val="20"/>
                <w:lang w:eastAsia="zh-Hans"/>
              </w:rPr>
              <w:t>首页门户</w:t>
            </w:r>
          </w:p>
          <w:p w14:paraId="64AC79D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系统首页界面简洁明了，包括功能菜单、待办事项、业务进度、统计图表、通知公告、政策法规、下载专区、预警提示等内容。针对不同角色用户的实际管理需求，系统设置了不同的首页界面。</w:t>
            </w:r>
          </w:p>
          <w:p w14:paraId="6A678CD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3.</w:t>
            </w:r>
            <w:r>
              <w:rPr>
                <w:rFonts w:asciiTheme="minorEastAsia" w:hAnsiTheme="minorEastAsia" w:cstheme="minorEastAsia" w:hint="eastAsia"/>
                <w:sz w:val="20"/>
                <w:szCs w:val="20"/>
                <w:lang w:eastAsia="zh-Hans"/>
              </w:rPr>
              <w:t>卡片管理</w:t>
            </w:r>
          </w:p>
          <w:p w14:paraId="66EFCDC3"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3.1</w:t>
            </w:r>
            <w:r>
              <w:rPr>
                <w:rFonts w:asciiTheme="minorEastAsia" w:hAnsiTheme="minorEastAsia" w:cstheme="minorEastAsia" w:hint="eastAsia"/>
                <w:sz w:val="20"/>
                <w:szCs w:val="20"/>
                <w:lang w:eastAsia="zh-Hans"/>
              </w:rPr>
              <w:t>资产入库</w:t>
            </w:r>
          </w:p>
          <w:p w14:paraId="5449933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支持新购、调拨、捐赠、盘盈等多种入库场景，并且可以通过新建、导入等方式进行资产卡片新建业务。</w:t>
            </w:r>
          </w:p>
          <w:p w14:paraId="34579DC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3.2</w:t>
            </w:r>
            <w:r>
              <w:rPr>
                <w:rFonts w:asciiTheme="minorEastAsia" w:hAnsiTheme="minorEastAsia" w:cstheme="minorEastAsia" w:hint="eastAsia"/>
                <w:sz w:val="20"/>
                <w:szCs w:val="20"/>
                <w:lang w:eastAsia="zh-Hans"/>
              </w:rPr>
              <w:t>资产退库</w:t>
            </w:r>
          </w:p>
          <w:p w14:paraId="65DE016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资产入库后，因为产品质量问题、商家服务等问题发生的退货和换货业务或因为历史原因建账重复，需要将已入库资产进行退库处理业务。</w:t>
            </w:r>
          </w:p>
          <w:p w14:paraId="717FE3E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3.3</w:t>
            </w:r>
            <w:r>
              <w:rPr>
                <w:rFonts w:asciiTheme="minorEastAsia" w:hAnsiTheme="minorEastAsia" w:cstheme="minorEastAsia" w:hint="eastAsia"/>
                <w:sz w:val="20"/>
                <w:szCs w:val="20"/>
                <w:lang w:eastAsia="zh-Hans"/>
              </w:rPr>
              <w:t>信息变动</w:t>
            </w:r>
          </w:p>
          <w:p w14:paraId="160B7116"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lastRenderedPageBreak/>
              <w:t>3.3.1</w:t>
            </w:r>
            <w:r>
              <w:rPr>
                <w:rFonts w:asciiTheme="minorEastAsia" w:hAnsiTheme="minorEastAsia" w:cstheme="minorEastAsia" w:hint="eastAsia"/>
                <w:sz w:val="20"/>
                <w:szCs w:val="20"/>
                <w:lang w:eastAsia="zh-Hans"/>
              </w:rPr>
              <w:t>一般信息变动</w:t>
            </w:r>
          </w:p>
          <w:p w14:paraId="0CD42F9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如果资产的位置信息、使用人等信息发生变化时，可通过一般信息变动功能处理。</w:t>
            </w:r>
          </w:p>
          <w:p w14:paraId="151A8CD2"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通过一般信息变动修改卡片信息，无需流程化审批，保存即生效，同时记录卡片变动情况，支持变动记录追溯查看。</w:t>
            </w:r>
          </w:p>
          <w:p w14:paraId="48B16F8F"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系统支持变动处理单条及批量资产，同时支持管理员自定义设置不同角色的可修改信息项，系统默认可修改信息项如下：</w:t>
            </w:r>
          </w:p>
          <w:p w14:paraId="0C89513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3.3.2</w:t>
            </w:r>
            <w:r>
              <w:rPr>
                <w:rFonts w:asciiTheme="minorEastAsia" w:hAnsiTheme="minorEastAsia" w:cstheme="minorEastAsia" w:hint="eastAsia"/>
                <w:sz w:val="20"/>
                <w:szCs w:val="20"/>
                <w:lang w:eastAsia="zh-Hans"/>
              </w:rPr>
              <w:t>增减值变动</w:t>
            </w:r>
          </w:p>
          <w:p w14:paraId="1B71AD2D"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如果资产因新增配件或部分报废等业务引起资</w:t>
            </w:r>
            <w:r>
              <w:rPr>
                <w:rFonts w:asciiTheme="minorEastAsia" w:hAnsiTheme="minorEastAsia" w:cstheme="minorEastAsia" w:hint="eastAsia"/>
                <w:sz w:val="20"/>
                <w:szCs w:val="20"/>
                <w:lang w:eastAsia="zh-Hans"/>
              </w:rPr>
              <w:t>产价值增加减时，可通过增减值变动功能处理。</w:t>
            </w:r>
          </w:p>
          <w:p w14:paraId="1CB33195"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增减值变动需流程化审批，同时记录变化情况，同时影响当月折旧额。</w:t>
            </w:r>
          </w:p>
          <w:p w14:paraId="2DE4CE6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3.3.3</w:t>
            </w:r>
            <w:r>
              <w:rPr>
                <w:rFonts w:asciiTheme="minorEastAsia" w:hAnsiTheme="minorEastAsia" w:cstheme="minorEastAsia" w:hint="eastAsia"/>
                <w:sz w:val="20"/>
                <w:szCs w:val="20"/>
                <w:lang w:eastAsia="zh-Hans"/>
              </w:rPr>
              <w:t>资产分类变动</w:t>
            </w:r>
          </w:p>
          <w:p w14:paraId="3AC7D85F"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针对资产分类信息发生错录、漏录等情况，可以通过资产分类变动功能对资产卡片分类进行调整。</w:t>
            </w:r>
          </w:p>
          <w:p w14:paraId="02F0831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4.</w:t>
            </w:r>
            <w:r>
              <w:rPr>
                <w:rFonts w:asciiTheme="minorEastAsia" w:hAnsiTheme="minorEastAsia" w:cstheme="minorEastAsia" w:hint="eastAsia"/>
                <w:sz w:val="20"/>
                <w:szCs w:val="20"/>
                <w:lang w:eastAsia="zh-Hans"/>
              </w:rPr>
              <w:t>资产折旧</w:t>
            </w:r>
          </w:p>
          <w:p w14:paraId="50A9DEF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4.1</w:t>
            </w:r>
            <w:r>
              <w:rPr>
                <w:rFonts w:asciiTheme="minorEastAsia" w:hAnsiTheme="minorEastAsia" w:cstheme="minorEastAsia" w:hint="eastAsia"/>
                <w:sz w:val="20"/>
                <w:szCs w:val="20"/>
                <w:lang w:eastAsia="zh-Hans"/>
              </w:rPr>
              <w:t>折旧策略设置</w:t>
            </w:r>
          </w:p>
          <w:p w14:paraId="3F19D42D"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折旧策略设置功能支持用户对本单位折旧会计期间的设置，包括折旧是否启用、折旧启用的会计期间、折旧的策略等。</w:t>
            </w:r>
          </w:p>
          <w:p w14:paraId="1300343C"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4.2</w:t>
            </w:r>
            <w:r>
              <w:rPr>
                <w:rFonts w:asciiTheme="minorEastAsia" w:hAnsiTheme="minorEastAsia" w:cstheme="minorEastAsia" w:hint="eastAsia"/>
                <w:sz w:val="20"/>
                <w:szCs w:val="20"/>
                <w:lang w:eastAsia="zh-Hans"/>
              </w:rPr>
              <w:t>折旧年限批量设置</w:t>
            </w:r>
          </w:p>
          <w:p w14:paraId="35F1267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折旧年限批量设置支持用户对不同分类的资产设置不同的折旧年限，用户可以根据自己单位的要求，对折旧年限进行批量设置。完成了分类资产的折旧年限设置。</w:t>
            </w:r>
          </w:p>
          <w:p w14:paraId="052476F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4.3</w:t>
            </w:r>
            <w:r>
              <w:rPr>
                <w:rFonts w:asciiTheme="minorEastAsia" w:hAnsiTheme="minorEastAsia" w:cstheme="minorEastAsia" w:hint="eastAsia"/>
                <w:sz w:val="20"/>
                <w:szCs w:val="20"/>
                <w:lang w:eastAsia="zh-Hans"/>
              </w:rPr>
              <w:t>资产折旧信息初始化</w:t>
            </w:r>
          </w:p>
          <w:p w14:paraId="3BC3EFE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用户可以通过折旧信息初始化，对本单位的数据进行折旧的设置及修改，用户可以通过本功能调整资产的折旧状态及折旧信息。通过折旧信息初始化完成了对历史数据的折旧初始。</w:t>
            </w:r>
          </w:p>
          <w:p w14:paraId="21FE767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4.4</w:t>
            </w:r>
            <w:r>
              <w:rPr>
                <w:rFonts w:asciiTheme="minorEastAsia" w:hAnsiTheme="minorEastAsia" w:cstheme="minorEastAsia" w:hint="eastAsia"/>
                <w:sz w:val="20"/>
                <w:szCs w:val="20"/>
                <w:lang w:eastAsia="zh-Hans"/>
              </w:rPr>
              <w:t>计提折旧</w:t>
            </w:r>
            <w:r>
              <w:rPr>
                <w:rFonts w:asciiTheme="minorEastAsia" w:hAnsiTheme="minorEastAsia" w:cstheme="minorEastAsia" w:hint="eastAsia"/>
                <w:sz w:val="20"/>
                <w:szCs w:val="20"/>
                <w:lang w:eastAsia="zh-Hans"/>
              </w:rPr>
              <w:t>/</w:t>
            </w:r>
            <w:r>
              <w:rPr>
                <w:rFonts w:asciiTheme="minorEastAsia" w:hAnsiTheme="minorEastAsia" w:cstheme="minorEastAsia" w:hint="eastAsia"/>
                <w:sz w:val="20"/>
                <w:szCs w:val="20"/>
                <w:lang w:eastAsia="zh-Hans"/>
              </w:rPr>
              <w:t>摊销</w:t>
            </w:r>
          </w:p>
          <w:p w14:paraId="78B2F51E"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计提折旧包含了固定资产的折旧，无形资产的摊销。本功能实现了用户对本单位资产的按月折旧，并且可以按分类对本月的折旧资产进行汇总展示。</w:t>
            </w:r>
          </w:p>
          <w:p w14:paraId="60E443B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4.5</w:t>
            </w:r>
            <w:r>
              <w:rPr>
                <w:rFonts w:asciiTheme="minorEastAsia" w:hAnsiTheme="minorEastAsia" w:cstheme="minorEastAsia" w:hint="eastAsia"/>
                <w:sz w:val="20"/>
                <w:szCs w:val="20"/>
                <w:lang w:eastAsia="zh-Hans"/>
              </w:rPr>
              <w:t>折旧查询</w:t>
            </w:r>
          </w:p>
          <w:p w14:paraId="22A5A73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 xml:space="preserve">    </w:t>
            </w:r>
            <w:r>
              <w:rPr>
                <w:rFonts w:asciiTheme="minorEastAsia" w:hAnsiTheme="minorEastAsia" w:cstheme="minorEastAsia" w:hint="eastAsia"/>
                <w:sz w:val="20"/>
                <w:szCs w:val="20"/>
                <w:lang w:eastAsia="zh-Hans"/>
              </w:rPr>
              <w:t>具备不同维度和检索条件的折旧查询功能。</w:t>
            </w:r>
          </w:p>
          <w:p w14:paraId="3F5634A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 xml:space="preserve">    4.6</w:t>
            </w:r>
            <w:r>
              <w:rPr>
                <w:rFonts w:asciiTheme="minorEastAsia" w:hAnsiTheme="minorEastAsia" w:cstheme="minorEastAsia" w:hint="eastAsia"/>
                <w:sz w:val="20"/>
                <w:szCs w:val="20"/>
                <w:lang w:eastAsia="zh-Hans"/>
              </w:rPr>
              <w:t>针对我校折旧由资产管理职能部门日常计提，故要求本系统能不限于自定格式和公式计算折旧，也可采用直接折旧数据读取填写方式</w:t>
            </w:r>
            <w:r>
              <w:rPr>
                <w:rFonts w:asciiTheme="minorEastAsia" w:hAnsiTheme="minorEastAsia" w:cstheme="minorEastAsia" w:hint="eastAsia"/>
                <w:sz w:val="20"/>
                <w:szCs w:val="20"/>
                <w:lang w:eastAsia="zh-Hans"/>
              </w:rPr>
              <w:lastRenderedPageBreak/>
              <w:t>进行。</w:t>
            </w:r>
          </w:p>
          <w:p w14:paraId="7CCFF83C"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5.</w:t>
            </w:r>
            <w:r>
              <w:rPr>
                <w:rFonts w:asciiTheme="minorEastAsia" w:hAnsiTheme="minorEastAsia" w:cstheme="minorEastAsia" w:hint="eastAsia"/>
                <w:sz w:val="20"/>
                <w:szCs w:val="20"/>
                <w:lang w:eastAsia="zh-Hans"/>
              </w:rPr>
              <w:t>资产处置</w:t>
            </w:r>
          </w:p>
          <w:p w14:paraId="36DAFB3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5.1</w:t>
            </w:r>
            <w:r>
              <w:rPr>
                <w:rFonts w:asciiTheme="minorEastAsia" w:hAnsiTheme="minorEastAsia" w:cstheme="minorEastAsia" w:hint="eastAsia"/>
                <w:sz w:val="20"/>
                <w:szCs w:val="20"/>
                <w:lang w:eastAsia="zh-Hans"/>
              </w:rPr>
              <w:t>校内资产处置申请</w:t>
            </w:r>
          </w:p>
          <w:p w14:paraId="1A5243C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校内资产处置申请功能支持对出售、出让、转让、报废报损，置换，无偿调拨，对外捐赠等多种处置场景，将校内待处置资产进行审核、汇总等业务处理，生成资产处置相关制式表格，报送上级主管部门进行处置备案或审批。</w:t>
            </w:r>
          </w:p>
          <w:p w14:paraId="0E455FFF"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5.2</w:t>
            </w:r>
            <w:r>
              <w:rPr>
                <w:rFonts w:asciiTheme="minorEastAsia" w:hAnsiTheme="minorEastAsia" w:cstheme="minorEastAsia" w:hint="eastAsia"/>
                <w:sz w:val="20"/>
                <w:szCs w:val="20"/>
                <w:lang w:eastAsia="zh-Hans"/>
              </w:rPr>
              <w:t>资产处置申报</w:t>
            </w:r>
          </w:p>
          <w:p w14:paraId="5639B52E"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资产处置申请功能支持对出售、出让、转让、报废报损，置换，无偿调拨，对</w:t>
            </w:r>
            <w:r>
              <w:rPr>
                <w:rFonts w:asciiTheme="minorEastAsia" w:hAnsiTheme="minorEastAsia" w:cstheme="minorEastAsia" w:hint="eastAsia"/>
                <w:sz w:val="20"/>
                <w:szCs w:val="20"/>
                <w:lang w:eastAsia="zh-Hans"/>
              </w:rPr>
              <w:t>外捐赠等多种处置场景，将校内待处置资产进行处理，生成资产处置相关制式表格，报送上级主管部门进行处置备案或审批。</w:t>
            </w:r>
          </w:p>
          <w:p w14:paraId="199B89EE"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5.3</w:t>
            </w:r>
            <w:r>
              <w:rPr>
                <w:rFonts w:asciiTheme="minorEastAsia" w:hAnsiTheme="minorEastAsia" w:cstheme="minorEastAsia" w:hint="eastAsia"/>
                <w:sz w:val="20"/>
                <w:szCs w:val="20"/>
                <w:lang w:eastAsia="zh-Hans"/>
              </w:rPr>
              <w:t>资产处置执行</w:t>
            </w:r>
          </w:p>
          <w:p w14:paraId="0979151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资产处置执行功能是支持对准许处置的资产进行登记，记录每笔资产的处置形式、处置收益等信息。系统支持出售、出让、转让、报废报损，置换，无偿调拨，对外捐赠等业务类型，导出相关业务申报表，便于与财务核对。</w:t>
            </w:r>
          </w:p>
          <w:p w14:paraId="082BA53E"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5.4</w:t>
            </w:r>
            <w:r>
              <w:rPr>
                <w:rFonts w:asciiTheme="minorEastAsia" w:hAnsiTheme="minorEastAsia" w:cstheme="minorEastAsia" w:hint="eastAsia"/>
                <w:sz w:val="20"/>
                <w:szCs w:val="20"/>
                <w:lang w:eastAsia="zh-Hans"/>
              </w:rPr>
              <w:t>历年事项查询</w:t>
            </w:r>
          </w:p>
          <w:p w14:paraId="6B5ECCC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历年事项查询支持用户通过年度对历年资产处置情况进行查询统计，为学校各种决策提供有力的数据支持。</w:t>
            </w:r>
          </w:p>
        </w:tc>
      </w:tr>
      <w:tr w:rsidR="00896D3D" w14:paraId="6F663073" w14:textId="77777777">
        <w:trPr>
          <w:trHeight w:val="630"/>
          <w:jc w:val="center"/>
        </w:trPr>
        <w:tc>
          <w:tcPr>
            <w:tcW w:w="423" w:type="dxa"/>
            <w:vMerge/>
            <w:tcBorders>
              <w:left w:val="single" w:sz="4" w:space="0" w:color="auto"/>
              <w:right w:val="single" w:sz="4" w:space="0" w:color="auto"/>
            </w:tcBorders>
            <w:shd w:val="clear" w:color="000000" w:fill="FFFFFF"/>
            <w:vAlign w:val="center"/>
          </w:tcPr>
          <w:p w14:paraId="1CB6C46A" w14:textId="77777777" w:rsidR="00896D3D" w:rsidRDefault="00896D3D">
            <w:pPr>
              <w:jc w:val="left"/>
              <w:rPr>
                <w:rFonts w:ascii="宋体" w:eastAsia="宋体" w:hAnsi="宋体" w:cs="宋体"/>
                <w:color w:val="000000"/>
                <w:kern w:val="0"/>
                <w:sz w:val="22"/>
              </w:rPr>
            </w:pPr>
          </w:p>
        </w:tc>
        <w:tc>
          <w:tcPr>
            <w:tcW w:w="924"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0BC2D37F" w14:textId="77777777" w:rsidR="00896D3D" w:rsidRDefault="00896D3D">
            <w:pPr>
              <w:jc w:val="left"/>
              <w:rPr>
                <w:rFonts w:ascii="宋体" w:eastAsia="宋体" w:hAnsi="宋体" w:cs="宋体"/>
                <w:color w:val="000000"/>
                <w:kern w:val="0"/>
                <w:sz w:val="22"/>
              </w:rPr>
            </w:pPr>
          </w:p>
        </w:tc>
        <w:tc>
          <w:tcPr>
            <w:tcW w:w="1524" w:type="dxa"/>
            <w:tcBorders>
              <w:top w:val="single" w:sz="4" w:space="0" w:color="auto"/>
              <w:left w:val="single" w:sz="4" w:space="0" w:color="auto"/>
              <w:bottom w:val="single" w:sz="4" w:space="0" w:color="auto"/>
              <w:right w:val="single" w:sz="4" w:space="0" w:color="auto"/>
            </w:tcBorders>
            <w:shd w:val="clear" w:color="000000" w:fill="FFFFFF"/>
            <w:vAlign w:val="center"/>
          </w:tcPr>
          <w:p w14:paraId="5981A747" w14:textId="77777777" w:rsidR="00896D3D" w:rsidRDefault="00DD1984">
            <w:pPr>
              <w:widowControl/>
              <w:jc w:val="center"/>
              <w:rPr>
                <w:rFonts w:ascii="宋体" w:eastAsia="宋体" w:hAnsi="宋体" w:cs="宋体"/>
                <w:color w:val="000000"/>
                <w:kern w:val="0"/>
                <w:sz w:val="22"/>
              </w:rPr>
            </w:pPr>
            <w:r>
              <w:rPr>
                <w:rFonts w:ascii="宋体" w:hAnsi="宋体" w:cs="宋体" w:hint="eastAsia"/>
                <w:color w:val="000000"/>
                <w:kern w:val="0"/>
                <w:sz w:val="22"/>
              </w:rPr>
              <w:t>教育部监管功能（含报表中心）</w:t>
            </w:r>
          </w:p>
        </w:tc>
        <w:tc>
          <w:tcPr>
            <w:tcW w:w="6641" w:type="dxa"/>
            <w:tcBorders>
              <w:top w:val="single" w:sz="4" w:space="0" w:color="auto"/>
              <w:left w:val="single" w:sz="4" w:space="0" w:color="auto"/>
              <w:bottom w:val="single" w:sz="4" w:space="0" w:color="auto"/>
              <w:right w:val="single" w:sz="4" w:space="0" w:color="auto"/>
            </w:tcBorders>
            <w:shd w:val="clear" w:color="000000" w:fill="FFFFFF"/>
            <w:vAlign w:val="center"/>
          </w:tcPr>
          <w:p w14:paraId="2B2981F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6.</w:t>
            </w:r>
            <w:r>
              <w:rPr>
                <w:rFonts w:asciiTheme="minorEastAsia" w:hAnsiTheme="minorEastAsia" w:cstheme="minorEastAsia" w:hint="eastAsia"/>
                <w:sz w:val="20"/>
                <w:szCs w:val="20"/>
                <w:lang w:eastAsia="zh-Hans"/>
              </w:rPr>
              <w:t>出租出借管理</w:t>
            </w:r>
          </w:p>
          <w:p w14:paraId="5B893E2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6.1</w:t>
            </w:r>
            <w:r>
              <w:rPr>
                <w:rFonts w:asciiTheme="minorEastAsia" w:hAnsiTheme="minorEastAsia" w:cstheme="minorEastAsia" w:hint="eastAsia"/>
                <w:sz w:val="20"/>
                <w:szCs w:val="20"/>
                <w:lang w:eastAsia="zh-Hans"/>
              </w:rPr>
              <w:t>出租出借申请</w:t>
            </w:r>
          </w:p>
          <w:p w14:paraId="18BF7A3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出租出借申报是指学校有需要向其他单位出租或者出借资产时，需要进行事项申报的过程。出租出借申报功能按照导航模式引导用户一步一步操作，首先是选择需要出租或者出借的资产；第二步系统自动生成资产明细，用户完善申请表其他信息；第三步是单位根据资产管理暂行办法，拟制出租出借申请报告；第四步是单位根据国有资产管理暂行办法上传相关附报材料，例如发票凭证等。</w:t>
            </w:r>
          </w:p>
          <w:p w14:paraId="66E8D2F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6.2</w:t>
            </w:r>
            <w:r>
              <w:rPr>
                <w:rFonts w:asciiTheme="minorEastAsia" w:hAnsiTheme="minorEastAsia" w:cstheme="minorEastAsia" w:hint="eastAsia"/>
                <w:sz w:val="20"/>
                <w:szCs w:val="20"/>
                <w:lang w:eastAsia="zh-Hans"/>
              </w:rPr>
              <w:t>申报事项进度</w:t>
            </w:r>
          </w:p>
          <w:p w14:paraId="3FD3AF7F"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申报事项进度查看是一个以树形结构展示的列表查询功能，学校可以查看自己办理中和已完成的出租出借申报事项，可以穿透进入单个事项的界面</w:t>
            </w:r>
            <w:r>
              <w:rPr>
                <w:rFonts w:asciiTheme="minorEastAsia" w:hAnsiTheme="minorEastAsia" w:cstheme="minorEastAsia" w:hint="eastAsia"/>
                <w:sz w:val="20"/>
                <w:szCs w:val="20"/>
                <w:lang w:eastAsia="zh-Hans"/>
              </w:rPr>
              <w:t>，查看所有事项信息，包括资产出租出借申请文件、资产出租出借申请表、其他附报材料。</w:t>
            </w:r>
          </w:p>
          <w:p w14:paraId="33107E6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6.3</w:t>
            </w:r>
            <w:r>
              <w:rPr>
                <w:rFonts w:asciiTheme="minorEastAsia" w:hAnsiTheme="minorEastAsia" w:cstheme="minorEastAsia" w:hint="eastAsia"/>
                <w:sz w:val="20"/>
                <w:szCs w:val="20"/>
                <w:lang w:eastAsia="zh-Hans"/>
              </w:rPr>
              <w:t>出租出借执行</w:t>
            </w:r>
          </w:p>
          <w:p w14:paraId="316B9394"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出租出借执行功能是对上级单位审核同意或者满足自行使用标准的出租出借申报单，进行出租出借资产登记，记录每笔资产的出租出借合同金</w:t>
            </w:r>
            <w:r>
              <w:rPr>
                <w:rFonts w:asciiTheme="minorEastAsia" w:hAnsiTheme="minorEastAsia" w:cstheme="minorEastAsia" w:hint="eastAsia"/>
                <w:sz w:val="20"/>
                <w:szCs w:val="20"/>
                <w:lang w:eastAsia="zh-Hans"/>
              </w:rPr>
              <w:lastRenderedPageBreak/>
              <w:t>额、承租</w:t>
            </w:r>
            <w:r>
              <w:rPr>
                <w:rFonts w:asciiTheme="minorEastAsia" w:hAnsiTheme="minorEastAsia" w:cstheme="minorEastAsia" w:hint="eastAsia"/>
                <w:sz w:val="20"/>
                <w:szCs w:val="20"/>
                <w:lang w:eastAsia="zh-Hans"/>
              </w:rPr>
              <w:t>/</w:t>
            </w:r>
            <w:r>
              <w:rPr>
                <w:rFonts w:asciiTheme="minorEastAsia" w:hAnsiTheme="minorEastAsia" w:cstheme="minorEastAsia" w:hint="eastAsia"/>
                <w:sz w:val="20"/>
                <w:szCs w:val="20"/>
                <w:lang w:eastAsia="zh-Hans"/>
              </w:rPr>
              <w:t>借用单位等信息。</w:t>
            </w:r>
          </w:p>
          <w:p w14:paraId="22F55570"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6.4</w:t>
            </w:r>
            <w:r>
              <w:rPr>
                <w:rFonts w:asciiTheme="minorEastAsia" w:hAnsiTheme="minorEastAsia" w:cstheme="minorEastAsia" w:hint="eastAsia"/>
                <w:sz w:val="20"/>
                <w:szCs w:val="20"/>
                <w:lang w:eastAsia="zh-Hans"/>
              </w:rPr>
              <w:t>出租出借收益</w:t>
            </w:r>
          </w:p>
          <w:p w14:paraId="0C7778B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生成资产出租出借收益单据，填写出租出借收益，用户选择出租出借单据生成出租出借收益表，填写出租出借收益明细。</w:t>
            </w:r>
          </w:p>
          <w:p w14:paraId="03BD9CDF"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6.5</w:t>
            </w:r>
            <w:r>
              <w:rPr>
                <w:rFonts w:asciiTheme="minorEastAsia" w:hAnsiTheme="minorEastAsia" w:cstheme="minorEastAsia" w:hint="eastAsia"/>
                <w:sz w:val="20"/>
                <w:szCs w:val="20"/>
                <w:lang w:eastAsia="zh-Hans"/>
              </w:rPr>
              <w:t>出租出借收回</w:t>
            </w:r>
          </w:p>
          <w:p w14:paraId="7192A32E"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出租出借资产收回功能是针对已经出租出借的资产，如果合同年限到期，需要结束合同收回资产时，进行登记。它可以将资产卡片的出租出借面积、使用方向等字段改写，不再记录出租出借等业务信息。</w:t>
            </w:r>
          </w:p>
          <w:p w14:paraId="29886CA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7.</w:t>
            </w:r>
            <w:r>
              <w:rPr>
                <w:rFonts w:asciiTheme="minorEastAsia" w:hAnsiTheme="minorEastAsia" w:cstheme="minorEastAsia" w:hint="eastAsia"/>
                <w:sz w:val="20"/>
                <w:szCs w:val="20"/>
                <w:lang w:eastAsia="zh-Hans"/>
              </w:rPr>
              <w:t>统计查询</w:t>
            </w:r>
          </w:p>
          <w:p w14:paraId="5B173100"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系统提供强大的统计分析功能，能够为管理部门提供各种决策数据。能够按单位、资产变动、时期、分类等多种维度统计分析。统计分析模块包括资产账面查询、折旧查询、资产变动专项查询、资产历史账目查询、资产变动明细查询、资产配置情况查询</w:t>
            </w:r>
            <w:r>
              <w:rPr>
                <w:rFonts w:asciiTheme="minorEastAsia" w:hAnsiTheme="minorEastAsia" w:cstheme="minorEastAsia" w:hint="eastAsia"/>
                <w:sz w:val="20"/>
                <w:szCs w:val="20"/>
                <w:lang w:eastAsia="zh-Hans"/>
              </w:rPr>
              <w:t xml:space="preserve">. </w:t>
            </w:r>
          </w:p>
          <w:p w14:paraId="506DF96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7.1</w:t>
            </w:r>
            <w:r>
              <w:rPr>
                <w:rFonts w:asciiTheme="minorEastAsia" w:hAnsiTheme="minorEastAsia" w:cstheme="minorEastAsia" w:hint="eastAsia"/>
                <w:sz w:val="20"/>
                <w:szCs w:val="20"/>
                <w:lang w:eastAsia="zh-Hans"/>
              </w:rPr>
              <w:t>资产变动增减查询</w:t>
            </w:r>
          </w:p>
          <w:p w14:paraId="4CF93CEC"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按照国标大类或教育大类两种统计维度展现资产的变化情况。</w:t>
            </w:r>
          </w:p>
          <w:p w14:paraId="53E078B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7.2</w:t>
            </w:r>
            <w:r>
              <w:rPr>
                <w:rFonts w:asciiTheme="minorEastAsia" w:hAnsiTheme="minorEastAsia" w:cstheme="minorEastAsia" w:hint="eastAsia"/>
                <w:sz w:val="20"/>
                <w:szCs w:val="20"/>
                <w:lang w:eastAsia="zh-Hans"/>
              </w:rPr>
              <w:t>资产历史账目</w:t>
            </w:r>
          </w:p>
          <w:p w14:paraId="34EB4183"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按照单位分户、使用方向、取得方式、经费科目等多维度组合展现统计结果。</w:t>
            </w:r>
          </w:p>
          <w:p w14:paraId="3180744B"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7.3</w:t>
            </w:r>
            <w:r>
              <w:rPr>
                <w:rFonts w:asciiTheme="minorEastAsia" w:hAnsiTheme="minorEastAsia" w:cstheme="minorEastAsia" w:hint="eastAsia"/>
                <w:sz w:val="20"/>
                <w:szCs w:val="20"/>
                <w:lang w:eastAsia="zh-Hans"/>
              </w:rPr>
              <w:t>资产明细查询</w:t>
            </w:r>
          </w:p>
          <w:p w14:paraId="3EE237B7"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资产明细查询可以查询单位现有资产的明细信息，不包括已处置、已作废、对外投资的资产。</w:t>
            </w:r>
          </w:p>
          <w:p w14:paraId="3B2F2864"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7.4</w:t>
            </w:r>
            <w:r>
              <w:rPr>
                <w:rFonts w:asciiTheme="minorEastAsia" w:hAnsiTheme="minorEastAsia" w:cstheme="minorEastAsia" w:hint="eastAsia"/>
                <w:sz w:val="20"/>
                <w:szCs w:val="20"/>
                <w:lang w:eastAsia="zh-Hans"/>
              </w:rPr>
              <w:t>提供直接符合资产年度报表提取数据格式的资产期初，本期发生，期末的综合查询功能。</w:t>
            </w:r>
          </w:p>
          <w:p w14:paraId="74AB3840"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8.</w:t>
            </w:r>
            <w:r>
              <w:rPr>
                <w:rFonts w:asciiTheme="minorEastAsia" w:hAnsiTheme="minorEastAsia" w:cstheme="minorEastAsia" w:hint="eastAsia"/>
                <w:sz w:val="20"/>
                <w:szCs w:val="20"/>
                <w:lang w:eastAsia="zh-Hans"/>
              </w:rPr>
              <w:t>资产报表</w:t>
            </w:r>
          </w:p>
          <w:p w14:paraId="2B942D92"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资产报表模块提供教育部监管平台全部报表、自定义报表功能。能按财政部门、教育部门要求，完成教育部监管平台上资产数据报表的生产、汇总和上报工作，实现报表的上报。</w:t>
            </w:r>
          </w:p>
          <w:p w14:paraId="3C03241D"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能直接生成或有系统工程师加工完成国管局及其他格式各类资产上报</w:t>
            </w:r>
            <w:r>
              <w:rPr>
                <w:rFonts w:asciiTheme="minorEastAsia" w:hAnsiTheme="minorEastAsia" w:cstheme="minorEastAsia" w:hint="eastAsia"/>
                <w:sz w:val="20"/>
                <w:szCs w:val="20"/>
                <w:lang w:eastAsia="zh-Hans"/>
              </w:rPr>
              <w:t>报表。</w:t>
            </w:r>
          </w:p>
          <w:p w14:paraId="6A870D26"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w:t>
            </w:r>
            <w:r>
              <w:rPr>
                <w:rFonts w:asciiTheme="minorEastAsia" w:hAnsiTheme="minorEastAsia" w:cstheme="minorEastAsia" w:hint="eastAsia"/>
                <w:sz w:val="20"/>
                <w:szCs w:val="20"/>
                <w:lang w:eastAsia="zh-Hans"/>
              </w:rPr>
              <w:t>系统管理</w:t>
            </w:r>
          </w:p>
          <w:p w14:paraId="102266CB"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9.1</w:t>
            </w:r>
            <w:r>
              <w:rPr>
                <w:rFonts w:asciiTheme="minorEastAsia" w:hAnsiTheme="minorEastAsia" w:cstheme="minorEastAsia" w:hint="eastAsia"/>
                <w:sz w:val="20"/>
                <w:szCs w:val="20"/>
                <w:lang w:eastAsia="zh-Hans"/>
              </w:rPr>
              <w:t>基础数据管理</w:t>
            </w:r>
          </w:p>
          <w:p w14:paraId="1008652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本功能实现基础数据的统一管理与维护功能，所有基础数据支持手工录入和</w:t>
            </w:r>
            <w:r>
              <w:rPr>
                <w:rFonts w:asciiTheme="minorEastAsia" w:hAnsiTheme="minorEastAsia" w:cstheme="minorEastAsia" w:hint="eastAsia"/>
                <w:sz w:val="20"/>
                <w:szCs w:val="20"/>
                <w:lang w:eastAsia="zh-Hans"/>
              </w:rPr>
              <w:t>Excel</w:t>
            </w:r>
            <w:r>
              <w:rPr>
                <w:rFonts w:asciiTheme="minorEastAsia" w:hAnsiTheme="minorEastAsia" w:cstheme="minorEastAsia" w:hint="eastAsia"/>
                <w:sz w:val="20"/>
                <w:szCs w:val="20"/>
                <w:lang w:eastAsia="zh-Hans"/>
              </w:rPr>
              <w:t>导入功能。提供部门信息、教职工信息、存放地点、项目经费和资产归属等基础数据管理功能。</w:t>
            </w:r>
          </w:p>
          <w:p w14:paraId="14467FDD"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9.2</w:t>
            </w:r>
            <w:r>
              <w:rPr>
                <w:rFonts w:asciiTheme="minorEastAsia" w:hAnsiTheme="minorEastAsia" w:cstheme="minorEastAsia" w:hint="eastAsia"/>
                <w:sz w:val="20"/>
                <w:szCs w:val="20"/>
                <w:lang w:eastAsia="zh-Hans"/>
              </w:rPr>
              <w:t>部门管理</w:t>
            </w:r>
          </w:p>
          <w:p w14:paraId="1AE90B72"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lastRenderedPageBreak/>
              <w:t>部门管理主要提供了对部门基础数据管理与编辑的界面；用于新增、删除、修改和查看部门数据。</w:t>
            </w:r>
          </w:p>
          <w:p w14:paraId="458DA37B"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9.3</w:t>
            </w:r>
            <w:r>
              <w:rPr>
                <w:rFonts w:asciiTheme="minorEastAsia" w:hAnsiTheme="minorEastAsia" w:cstheme="minorEastAsia" w:hint="eastAsia"/>
                <w:sz w:val="20"/>
                <w:szCs w:val="20"/>
                <w:lang w:eastAsia="zh-Hans"/>
              </w:rPr>
              <w:t>教职工信息管理</w:t>
            </w:r>
          </w:p>
          <w:p w14:paraId="2AA8024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教职工信息主要提供了对教职工基础数据管理与编辑的界面；用于新增、删除、修改和查看教职工数据。</w:t>
            </w:r>
          </w:p>
          <w:p w14:paraId="6681F8B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9.4</w:t>
            </w:r>
            <w:r>
              <w:rPr>
                <w:rFonts w:asciiTheme="minorEastAsia" w:hAnsiTheme="minorEastAsia" w:cstheme="minorEastAsia" w:hint="eastAsia"/>
                <w:sz w:val="20"/>
                <w:szCs w:val="20"/>
                <w:lang w:eastAsia="zh-Hans"/>
              </w:rPr>
              <w:t>存放地点</w:t>
            </w:r>
          </w:p>
          <w:p w14:paraId="40BAA6C9"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存放地点主要提供了对存放地点基础数据管理与编辑的界面；用于新增、删除、修</w:t>
            </w:r>
            <w:r>
              <w:rPr>
                <w:rFonts w:asciiTheme="minorEastAsia" w:hAnsiTheme="minorEastAsia" w:cstheme="minorEastAsia" w:hint="eastAsia"/>
                <w:sz w:val="20"/>
                <w:szCs w:val="20"/>
                <w:lang w:eastAsia="zh-Hans"/>
              </w:rPr>
              <w:t>改和查看存放地点数据。</w:t>
            </w:r>
          </w:p>
          <w:p w14:paraId="732D3044"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9.5</w:t>
            </w:r>
            <w:r>
              <w:rPr>
                <w:rFonts w:asciiTheme="minorEastAsia" w:hAnsiTheme="minorEastAsia" w:cstheme="minorEastAsia" w:hint="eastAsia"/>
                <w:sz w:val="20"/>
                <w:szCs w:val="20"/>
                <w:lang w:eastAsia="zh-Hans"/>
              </w:rPr>
              <w:t>用户及权限管理</w:t>
            </w:r>
          </w:p>
          <w:p w14:paraId="77B494D2"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可对部门、人员授权，实现按学校各部门、各人员岗位职责进行角色定义，并依据岗位职责进行权限的分配。可实现多级授权管理，实现多种权限管理方式，如单独授权、按角色授权等实现管理权限的逐级下移。可按照资产分类来确定相应管理人员特定资产管理权限。</w:t>
            </w:r>
          </w:p>
          <w:p w14:paraId="5B3D0438"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9.6</w:t>
            </w:r>
            <w:r>
              <w:rPr>
                <w:rFonts w:asciiTheme="minorEastAsia" w:hAnsiTheme="minorEastAsia" w:cstheme="minorEastAsia" w:hint="eastAsia"/>
                <w:sz w:val="20"/>
                <w:szCs w:val="20"/>
                <w:lang w:eastAsia="zh-Hans"/>
              </w:rPr>
              <w:t>数据备份</w:t>
            </w:r>
          </w:p>
          <w:p w14:paraId="740DB034"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系统具备完善的备份机制，能够自动进行数据机制（每天备份），确保数据安全。支持用户随时备份和数据恢复。</w:t>
            </w:r>
          </w:p>
          <w:p w14:paraId="2A69FFB3"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9.7</w:t>
            </w:r>
            <w:r>
              <w:rPr>
                <w:rFonts w:asciiTheme="minorEastAsia" w:hAnsiTheme="minorEastAsia" w:cstheme="minorEastAsia" w:hint="eastAsia"/>
                <w:sz w:val="20"/>
                <w:szCs w:val="20"/>
                <w:lang w:eastAsia="zh-Hans"/>
              </w:rPr>
              <w:t>系统日志</w:t>
            </w:r>
          </w:p>
          <w:p w14:paraId="6BD256C1"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对于系统中的全部用户具有详细的数据操作日志及数据跟踪管理能力，日志内容包括</w:t>
            </w:r>
            <w:r>
              <w:rPr>
                <w:rFonts w:asciiTheme="minorEastAsia" w:hAnsiTheme="minorEastAsia" w:cstheme="minorEastAsia" w:hint="eastAsia"/>
                <w:sz w:val="20"/>
                <w:szCs w:val="20"/>
                <w:lang w:eastAsia="zh-Hans"/>
              </w:rPr>
              <w:t>IP</w:t>
            </w:r>
            <w:r>
              <w:rPr>
                <w:rFonts w:asciiTheme="minorEastAsia" w:hAnsiTheme="minorEastAsia" w:cstheme="minorEastAsia" w:hint="eastAsia"/>
                <w:sz w:val="20"/>
                <w:szCs w:val="20"/>
                <w:lang w:eastAsia="zh-Hans"/>
              </w:rPr>
              <w:t>地址、修改时间、修改前后内容（支持同一条记录多次修改多次记录的功能）、使用人、操作模块等，并能依修改日期、资产编号、修改人等灵活查询。</w:t>
            </w:r>
          </w:p>
        </w:tc>
      </w:tr>
      <w:tr w:rsidR="00896D3D" w14:paraId="436D7738" w14:textId="77777777">
        <w:trPr>
          <w:trHeight w:val="630"/>
          <w:jc w:val="center"/>
        </w:trPr>
        <w:tc>
          <w:tcPr>
            <w:tcW w:w="423" w:type="dxa"/>
            <w:vMerge/>
            <w:tcBorders>
              <w:left w:val="single" w:sz="4" w:space="0" w:color="auto"/>
              <w:right w:val="single" w:sz="4" w:space="0" w:color="auto"/>
            </w:tcBorders>
            <w:shd w:val="clear" w:color="000000" w:fill="FFFFFF"/>
            <w:vAlign w:val="center"/>
          </w:tcPr>
          <w:p w14:paraId="75C4ED3F" w14:textId="77777777" w:rsidR="00896D3D" w:rsidRDefault="00896D3D">
            <w:pPr>
              <w:jc w:val="left"/>
              <w:rPr>
                <w:rFonts w:ascii="宋体" w:eastAsia="宋体" w:hAnsi="宋体" w:cs="宋体"/>
                <w:color w:val="000000"/>
                <w:kern w:val="0"/>
                <w:sz w:val="22"/>
              </w:rPr>
            </w:pPr>
          </w:p>
        </w:tc>
        <w:tc>
          <w:tcPr>
            <w:tcW w:w="924"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1D64C8E0" w14:textId="77777777" w:rsidR="00896D3D" w:rsidRDefault="00896D3D">
            <w:pPr>
              <w:jc w:val="left"/>
              <w:rPr>
                <w:rFonts w:ascii="宋体" w:eastAsia="宋体" w:hAnsi="宋体" w:cs="宋体"/>
                <w:color w:val="000000"/>
                <w:kern w:val="0"/>
                <w:sz w:val="22"/>
              </w:rPr>
            </w:pPr>
          </w:p>
        </w:tc>
        <w:tc>
          <w:tcPr>
            <w:tcW w:w="1524" w:type="dxa"/>
            <w:tcBorders>
              <w:top w:val="single" w:sz="4" w:space="0" w:color="auto"/>
              <w:left w:val="single" w:sz="4" w:space="0" w:color="auto"/>
              <w:bottom w:val="single" w:sz="4" w:space="0" w:color="auto"/>
              <w:right w:val="single" w:sz="4" w:space="0" w:color="auto"/>
            </w:tcBorders>
            <w:shd w:val="clear" w:color="000000" w:fill="FFFFFF"/>
            <w:vAlign w:val="center"/>
          </w:tcPr>
          <w:p w14:paraId="4FA534D3" w14:textId="77777777" w:rsidR="00896D3D" w:rsidRDefault="00DD198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数据同步</w:t>
            </w:r>
          </w:p>
        </w:tc>
        <w:tc>
          <w:tcPr>
            <w:tcW w:w="6641" w:type="dxa"/>
            <w:tcBorders>
              <w:top w:val="single" w:sz="4" w:space="0" w:color="auto"/>
              <w:left w:val="single" w:sz="4" w:space="0" w:color="auto"/>
              <w:bottom w:val="single" w:sz="4" w:space="0" w:color="auto"/>
              <w:right w:val="single" w:sz="4" w:space="0" w:color="auto"/>
            </w:tcBorders>
            <w:shd w:val="clear" w:color="000000" w:fill="FFFFFF"/>
            <w:vAlign w:val="center"/>
          </w:tcPr>
          <w:p w14:paraId="2A388164"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10.</w:t>
            </w:r>
            <w:r>
              <w:rPr>
                <w:rFonts w:asciiTheme="minorEastAsia" w:hAnsiTheme="minorEastAsia" w:cstheme="minorEastAsia" w:hint="eastAsia"/>
                <w:sz w:val="20"/>
                <w:szCs w:val="20"/>
                <w:lang w:eastAsia="zh-Hans"/>
              </w:rPr>
              <w:t>数据同步</w:t>
            </w:r>
          </w:p>
          <w:p w14:paraId="5FBA4925"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系统提供数据同步功能，协助完成上级主管部门数据上报，且同步本地数据至教育部国有资产统筹监管平台，同步内容包括</w:t>
            </w:r>
            <w:r>
              <w:rPr>
                <w:rFonts w:asciiTheme="minorEastAsia" w:hAnsiTheme="minorEastAsia" w:cstheme="minorEastAsia" w:hint="eastAsia"/>
                <w:sz w:val="20"/>
                <w:szCs w:val="20"/>
                <w:lang w:eastAsia="zh-Hans"/>
              </w:rPr>
              <w:t xml:space="preserve"> </w:t>
            </w:r>
            <w:r>
              <w:rPr>
                <w:rFonts w:asciiTheme="minorEastAsia" w:hAnsiTheme="minorEastAsia" w:cstheme="minorEastAsia" w:hint="eastAsia"/>
                <w:sz w:val="20"/>
                <w:szCs w:val="20"/>
                <w:lang w:eastAsia="zh-Hans"/>
              </w:rPr>
              <w:t>部门、人员、存放地点、资产卡片明细、业务数据（变动、处置、出租出借等）。</w:t>
            </w:r>
          </w:p>
          <w:p w14:paraId="6A0457FC"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实现本次升级后平台与教育主管部门的对接。系统数据同步支持在线及离线多种方式。系统完全满足“财政部门——主管部门——高校”的管理要求。在加强单位内部管理同时，能够满足财政及主管部门的数据上报及监管需要，真正实现资产统筹管理，帮助单位建立统一的数据上报体系、事项审批体系。可根据不同管理需要实现信息单项报送或往返交互的效果，保证单位与上级资产系统数据的同步。</w:t>
            </w:r>
          </w:p>
          <w:p w14:paraId="4EE49BFA"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11.</w:t>
            </w:r>
            <w:r>
              <w:rPr>
                <w:rFonts w:asciiTheme="minorEastAsia" w:hAnsiTheme="minorEastAsia" w:cstheme="minorEastAsia" w:hint="eastAsia"/>
                <w:sz w:val="20"/>
                <w:szCs w:val="20"/>
                <w:lang w:eastAsia="zh-Hans"/>
              </w:rPr>
              <w:t>新增及处置数据接收模块</w:t>
            </w:r>
          </w:p>
          <w:p w14:paraId="7884A553"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本次系统采购计划改变以往数据接口模式接收数据，拟采用数据中台形式获取各职能部门业务数据。并且接收频率和接收方式需由校方主导控制</w:t>
            </w:r>
            <w:r>
              <w:rPr>
                <w:rFonts w:asciiTheme="minorEastAsia" w:hAnsiTheme="minorEastAsia" w:cstheme="minorEastAsia" w:hint="eastAsia"/>
                <w:sz w:val="20"/>
                <w:szCs w:val="20"/>
                <w:lang w:eastAsia="zh-Hans"/>
              </w:rPr>
              <w:t>。</w:t>
            </w:r>
          </w:p>
          <w:p w14:paraId="580203B4"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lastRenderedPageBreak/>
              <w:t>12.</w:t>
            </w:r>
            <w:r>
              <w:rPr>
                <w:rFonts w:asciiTheme="minorEastAsia" w:hAnsiTheme="minorEastAsia" w:cstheme="minorEastAsia" w:hint="eastAsia"/>
                <w:sz w:val="20"/>
                <w:szCs w:val="20"/>
                <w:lang w:eastAsia="zh-Hans"/>
              </w:rPr>
              <w:t>与上级主管部门数据上报</w:t>
            </w:r>
          </w:p>
          <w:p w14:paraId="55A0A15B" w14:textId="77777777" w:rsidR="00896D3D" w:rsidRDefault="00DD1984">
            <w:pPr>
              <w:widowControl/>
              <w:spacing w:line="360" w:lineRule="auto"/>
              <w:ind w:firstLineChars="200" w:firstLine="400"/>
              <w:jc w:val="left"/>
              <w:rPr>
                <w:rFonts w:asciiTheme="minorEastAsia" w:hAnsiTheme="minorEastAsia" w:cstheme="minorEastAsia"/>
                <w:sz w:val="20"/>
                <w:szCs w:val="20"/>
                <w:lang w:eastAsia="zh-Hans"/>
              </w:rPr>
            </w:pPr>
            <w:r>
              <w:rPr>
                <w:rFonts w:asciiTheme="minorEastAsia" w:hAnsiTheme="minorEastAsia" w:cstheme="minorEastAsia" w:hint="eastAsia"/>
                <w:sz w:val="20"/>
                <w:szCs w:val="20"/>
                <w:lang w:eastAsia="zh-Hans"/>
              </w:rPr>
              <w:t>协助完成上级主管部门数据上报，且同步本地数据至教育部资产监管管理平台，同步内容包括</w:t>
            </w:r>
            <w:r>
              <w:rPr>
                <w:rFonts w:asciiTheme="minorEastAsia" w:hAnsiTheme="minorEastAsia" w:cstheme="minorEastAsia" w:hint="eastAsia"/>
                <w:sz w:val="20"/>
                <w:szCs w:val="20"/>
                <w:lang w:eastAsia="zh-Hans"/>
              </w:rPr>
              <w:t xml:space="preserve"> </w:t>
            </w:r>
            <w:r>
              <w:rPr>
                <w:rFonts w:asciiTheme="minorEastAsia" w:hAnsiTheme="minorEastAsia" w:cstheme="minorEastAsia" w:hint="eastAsia"/>
                <w:sz w:val="20"/>
                <w:szCs w:val="20"/>
                <w:lang w:eastAsia="zh-Hans"/>
              </w:rPr>
              <w:t>部门、人员、存放地点、资产卡片明细、业务数据（变动、处置、出租出借等）。</w:t>
            </w:r>
          </w:p>
        </w:tc>
      </w:tr>
      <w:tr w:rsidR="00896D3D" w14:paraId="5C954EBC" w14:textId="77777777">
        <w:trPr>
          <w:trHeight w:val="630"/>
          <w:jc w:val="center"/>
        </w:trPr>
        <w:tc>
          <w:tcPr>
            <w:tcW w:w="423" w:type="dxa"/>
            <w:vMerge/>
            <w:tcBorders>
              <w:left w:val="single" w:sz="4" w:space="0" w:color="auto"/>
              <w:right w:val="single" w:sz="4" w:space="0" w:color="auto"/>
            </w:tcBorders>
            <w:shd w:val="clear" w:color="000000" w:fill="FFFFFF"/>
            <w:vAlign w:val="center"/>
          </w:tcPr>
          <w:p w14:paraId="0E95EC0D" w14:textId="77777777" w:rsidR="00896D3D" w:rsidRDefault="00896D3D">
            <w:pPr>
              <w:jc w:val="left"/>
              <w:rPr>
                <w:rFonts w:ascii="宋体" w:eastAsia="宋体" w:hAnsi="宋体" w:cs="宋体"/>
                <w:color w:val="000000"/>
                <w:kern w:val="0"/>
                <w:sz w:val="22"/>
              </w:rPr>
            </w:pPr>
          </w:p>
        </w:tc>
        <w:tc>
          <w:tcPr>
            <w:tcW w:w="924" w:type="dxa"/>
            <w:vMerge/>
            <w:tcBorders>
              <w:top w:val="single" w:sz="4" w:space="0" w:color="auto"/>
              <w:left w:val="single" w:sz="4" w:space="0" w:color="auto"/>
              <w:bottom w:val="single" w:sz="4" w:space="0" w:color="auto"/>
              <w:right w:val="single" w:sz="4" w:space="0" w:color="auto"/>
            </w:tcBorders>
            <w:shd w:val="clear" w:color="000000" w:fill="FFFFFF"/>
            <w:vAlign w:val="center"/>
          </w:tcPr>
          <w:p w14:paraId="1E64C8DC" w14:textId="77777777" w:rsidR="00896D3D" w:rsidRDefault="00896D3D">
            <w:pPr>
              <w:widowControl/>
              <w:jc w:val="left"/>
              <w:rPr>
                <w:rFonts w:ascii="宋体" w:eastAsia="宋体" w:hAnsi="宋体" w:cs="宋体"/>
                <w:color w:val="000000"/>
                <w:kern w:val="0"/>
                <w:sz w:val="22"/>
              </w:rPr>
            </w:pPr>
          </w:p>
        </w:tc>
        <w:tc>
          <w:tcPr>
            <w:tcW w:w="1524" w:type="dxa"/>
            <w:tcBorders>
              <w:top w:val="single" w:sz="4" w:space="0" w:color="auto"/>
              <w:left w:val="single" w:sz="4" w:space="0" w:color="auto"/>
              <w:bottom w:val="single" w:sz="4" w:space="0" w:color="auto"/>
              <w:right w:val="single" w:sz="4" w:space="0" w:color="auto"/>
            </w:tcBorders>
            <w:shd w:val="clear" w:color="000000" w:fill="FFFFFF"/>
            <w:vAlign w:val="center"/>
          </w:tcPr>
          <w:p w14:paraId="24ACC568" w14:textId="77777777" w:rsidR="00896D3D" w:rsidRDefault="00DD198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数据治理服务</w:t>
            </w:r>
          </w:p>
        </w:tc>
        <w:tc>
          <w:tcPr>
            <w:tcW w:w="6641" w:type="dxa"/>
            <w:tcBorders>
              <w:top w:val="single" w:sz="4" w:space="0" w:color="auto"/>
              <w:left w:val="single" w:sz="4" w:space="0" w:color="auto"/>
              <w:bottom w:val="single" w:sz="4" w:space="0" w:color="auto"/>
              <w:right w:val="single" w:sz="4" w:space="0" w:color="auto"/>
            </w:tcBorders>
            <w:shd w:val="clear" w:color="000000" w:fill="FFFFFF"/>
            <w:vAlign w:val="center"/>
          </w:tcPr>
          <w:p w14:paraId="7FB2AEED" w14:textId="77777777" w:rsidR="00896D3D" w:rsidRDefault="00DD1984">
            <w:pPr>
              <w:widowControl/>
              <w:numPr>
                <w:ilvl w:val="0"/>
                <w:numId w:val="1"/>
              </w:numPr>
              <w:spacing w:line="360" w:lineRule="auto"/>
              <w:jc w:val="left"/>
              <w:rPr>
                <w:rFonts w:asciiTheme="minorEastAsia" w:hAnsiTheme="minorEastAsia" w:cstheme="minorEastAsia"/>
                <w:sz w:val="20"/>
                <w:szCs w:val="20"/>
              </w:rPr>
            </w:pPr>
            <w:r>
              <w:rPr>
                <w:rFonts w:asciiTheme="minorEastAsia" w:hAnsiTheme="minorEastAsia" w:cstheme="minorEastAsia" w:hint="eastAsia"/>
                <w:sz w:val="20"/>
                <w:szCs w:val="20"/>
              </w:rPr>
              <w:t>采用最新的《固定资产等资产基础分类与代码》国家标准（</w:t>
            </w:r>
            <w:r>
              <w:rPr>
                <w:rFonts w:asciiTheme="minorEastAsia" w:hAnsiTheme="minorEastAsia" w:cstheme="minorEastAsia" w:hint="eastAsia"/>
                <w:sz w:val="20"/>
                <w:szCs w:val="20"/>
              </w:rPr>
              <w:t>GB/T 14885-2022</w:t>
            </w:r>
            <w:r>
              <w:rPr>
                <w:rFonts w:asciiTheme="minorEastAsia" w:hAnsiTheme="minorEastAsia" w:cstheme="minorEastAsia" w:hint="eastAsia"/>
                <w:sz w:val="20"/>
                <w:szCs w:val="20"/>
              </w:rPr>
              <w:t>）；</w:t>
            </w:r>
          </w:p>
          <w:p w14:paraId="0350093F" w14:textId="77777777" w:rsidR="00896D3D" w:rsidRDefault="00DD1984">
            <w:pPr>
              <w:widowControl/>
              <w:numPr>
                <w:ilvl w:val="0"/>
                <w:numId w:val="1"/>
              </w:numPr>
              <w:spacing w:line="360" w:lineRule="auto"/>
              <w:jc w:val="left"/>
            </w:pPr>
            <w:r>
              <w:rPr>
                <w:rFonts w:asciiTheme="minorEastAsia" w:hAnsiTheme="minorEastAsia" w:cstheme="minorEastAsia" w:hint="eastAsia"/>
                <w:sz w:val="20"/>
                <w:szCs w:val="20"/>
              </w:rPr>
              <w:t>历史数据迁移及初始化：将我校现有资产监管平台卡片数据迁移到升级改造后的资产统筹管理平台中，将资产分类全部调整为上述新国标。</w:t>
            </w:r>
          </w:p>
        </w:tc>
      </w:tr>
    </w:tbl>
    <w:p w14:paraId="422D0954" w14:textId="77777777" w:rsidR="00896D3D" w:rsidRDefault="00896D3D">
      <w:pPr>
        <w:pStyle w:val="11"/>
      </w:pPr>
    </w:p>
    <w:p w14:paraId="3C2C6D3C" w14:textId="77777777" w:rsidR="00896D3D" w:rsidRDefault="00DD1984">
      <w:pPr>
        <w:numPr>
          <w:ilvl w:val="0"/>
          <w:numId w:val="2"/>
        </w:numPr>
        <w:adjustRightInd w:val="0"/>
        <w:snapToGrid w:val="0"/>
        <w:spacing w:line="360" w:lineRule="auto"/>
        <w:ind w:firstLineChars="200" w:firstLine="640"/>
      </w:pPr>
      <w:r>
        <w:rPr>
          <w:rFonts w:ascii="宋体" w:eastAsia="宋体" w:hAnsi="宋体" w:cs="宋体" w:hint="eastAsia"/>
          <w:snapToGrid w:val="0"/>
          <w:kern w:val="0"/>
          <w:sz w:val="32"/>
          <w:szCs w:val="32"/>
        </w:rPr>
        <w:t>产品质量要求，包括技术标准要求、必须的认证资格要求等。</w:t>
      </w:r>
    </w:p>
    <w:p w14:paraId="07A4B89E" w14:textId="77777777" w:rsidR="00896D3D" w:rsidRDefault="00DD1984">
      <w:pPr>
        <w:widowControl/>
        <w:spacing w:line="360" w:lineRule="auto"/>
        <w:jc w:val="left"/>
        <w:rPr>
          <w:rFonts w:ascii="宋体" w:eastAsia="宋体" w:hAnsi="宋体" w:cs="宋体"/>
          <w:b/>
          <w:bCs/>
          <w:sz w:val="24"/>
          <w:szCs w:val="24"/>
        </w:rPr>
      </w:pPr>
      <w:r>
        <w:rPr>
          <w:rFonts w:ascii="宋体" w:eastAsia="宋体" w:hAnsi="宋体" w:cs="宋体" w:hint="eastAsia"/>
          <w:b/>
          <w:bCs/>
          <w:sz w:val="24"/>
          <w:szCs w:val="24"/>
        </w:rPr>
        <w:t>1</w:t>
      </w:r>
      <w:r>
        <w:rPr>
          <w:rFonts w:ascii="宋体" w:eastAsia="宋体" w:hAnsi="宋体" w:cs="宋体" w:hint="eastAsia"/>
          <w:b/>
          <w:bCs/>
          <w:sz w:val="24"/>
          <w:szCs w:val="24"/>
        </w:rPr>
        <w:t>、</w:t>
      </w:r>
      <w:r>
        <w:rPr>
          <w:rFonts w:ascii="宋体" w:eastAsia="宋体" w:hAnsi="宋体" w:cs="宋体" w:hint="eastAsia"/>
          <w:bCs/>
          <w:sz w:val="24"/>
          <w:szCs w:val="24"/>
        </w:rPr>
        <w:t>投标人需保证提供的软件产品均为正版产品，同时不包含任何明显的或主要的缺陷、错误，不包含任何恶意的、破坏性的或可能导致未经授权者侵入、操作、控制计算机或计算机数据的计算机病毒、木马程序、后门程序等程序设计或程序代码。</w:t>
      </w:r>
    </w:p>
    <w:p w14:paraId="6D9A9A45" w14:textId="77777777" w:rsidR="00896D3D" w:rsidRDefault="00DD1984">
      <w:pPr>
        <w:adjustRightInd w:val="0"/>
        <w:snapToGrid w:val="0"/>
        <w:spacing w:before="240" w:line="360" w:lineRule="auto"/>
        <w:ind w:firstLineChars="200" w:firstLine="640"/>
        <w:rPr>
          <w:rFonts w:ascii="宋体" w:eastAsia="宋体" w:hAnsi="宋体" w:cs="宋体"/>
          <w:snapToGrid w:val="0"/>
          <w:kern w:val="0"/>
          <w:sz w:val="32"/>
          <w:szCs w:val="32"/>
        </w:rPr>
      </w:pPr>
      <w:bookmarkStart w:id="0" w:name="_GoBack"/>
      <w:bookmarkEnd w:id="0"/>
      <w:r>
        <w:rPr>
          <w:rFonts w:ascii="宋体" w:eastAsia="宋体" w:hAnsi="宋体" w:cs="宋体" w:hint="eastAsia"/>
          <w:snapToGrid w:val="0"/>
          <w:kern w:val="0"/>
          <w:sz w:val="32"/>
          <w:szCs w:val="32"/>
        </w:rPr>
        <w:t>五、产品数量，包括采购产品数量、拟分配数量</w:t>
      </w:r>
    </w:p>
    <w:p w14:paraId="60A4CD67" w14:textId="77777777" w:rsidR="00896D3D" w:rsidRDefault="00DD1984">
      <w:pPr>
        <w:pStyle w:val="a5"/>
        <w:adjustRightInd w:val="0"/>
        <w:snapToGrid w:val="0"/>
        <w:spacing w:line="560" w:lineRule="atLeast"/>
        <w:ind w:firstLineChars="200" w:firstLine="480"/>
        <w:rPr>
          <w:rFonts w:hAnsi="宋体" w:cs="宋体"/>
          <w:sz w:val="24"/>
          <w:szCs w:val="28"/>
        </w:rPr>
      </w:pPr>
      <w:r>
        <w:rPr>
          <w:rFonts w:hAnsi="宋体" w:cs="宋体" w:hint="eastAsia"/>
          <w:sz w:val="24"/>
          <w:szCs w:val="28"/>
        </w:rPr>
        <w:t>根据项目规模和用户需求，供应商需提供一套完整的资产统筹管理平台升级改造。</w:t>
      </w:r>
    </w:p>
    <w:p w14:paraId="57D46E2C" w14:textId="77777777" w:rsidR="00896D3D" w:rsidRDefault="00DD1984">
      <w:pPr>
        <w:adjustRightInd w:val="0"/>
        <w:snapToGrid w:val="0"/>
        <w:spacing w:line="360" w:lineRule="auto"/>
        <w:ind w:firstLineChars="200" w:firstLine="640"/>
        <w:rPr>
          <w:rFonts w:ascii="宋体" w:eastAsia="宋体" w:hAnsi="宋体" w:cs="宋体"/>
          <w:snapToGrid w:val="0"/>
          <w:kern w:val="0"/>
          <w:sz w:val="32"/>
          <w:szCs w:val="32"/>
        </w:rPr>
      </w:pPr>
      <w:r>
        <w:rPr>
          <w:rFonts w:ascii="宋体" w:eastAsia="宋体" w:hAnsi="宋体" w:cs="宋体" w:hint="eastAsia"/>
          <w:snapToGrid w:val="0"/>
          <w:kern w:val="0"/>
          <w:sz w:val="32"/>
          <w:szCs w:val="32"/>
        </w:rPr>
        <w:t>六、上线要求</w:t>
      </w:r>
    </w:p>
    <w:p w14:paraId="2FA47460" w14:textId="77777777" w:rsidR="00896D3D" w:rsidRDefault="00DD1984">
      <w:pPr>
        <w:adjustRightInd w:val="0"/>
        <w:snapToGrid w:val="0"/>
        <w:spacing w:line="360" w:lineRule="auto"/>
        <w:ind w:firstLineChars="200" w:firstLine="480"/>
        <w:rPr>
          <w:rFonts w:ascii="宋体" w:eastAsia="宋体" w:hAnsi="宋体" w:cs="宋体"/>
          <w:snapToGrid w:val="0"/>
          <w:kern w:val="0"/>
          <w:sz w:val="32"/>
          <w:szCs w:val="32"/>
        </w:rPr>
      </w:pPr>
      <w:r>
        <w:rPr>
          <w:rFonts w:ascii="宋体" w:eastAsia="宋体" w:hAnsi="宋体" w:cs="宋体" w:hint="eastAsia"/>
          <w:sz w:val="24"/>
          <w:szCs w:val="28"/>
        </w:rPr>
        <w:t>合同签订生效后，中标供应商需要在</w:t>
      </w:r>
      <w:r>
        <w:rPr>
          <w:rFonts w:ascii="宋体" w:eastAsia="宋体" w:hAnsi="宋体" w:cs="宋体" w:hint="eastAsia"/>
          <w:sz w:val="24"/>
          <w:szCs w:val="28"/>
        </w:rPr>
        <w:t>10</w:t>
      </w:r>
      <w:r>
        <w:rPr>
          <w:rFonts w:ascii="宋体" w:eastAsia="宋体" w:hAnsi="宋体" w:cs="宋体" w:hint="eastAsia"/>
          <w:sz w:val="24"/>
          <w:szCs w:val="28"/>
        </w:rPr>
        <w:t>天（日历天）内将上述系统软件调试安装上线。采购方将对中标供应商所提供的产品功能逐一进行测试验收，测试过程中发现有虚假应标的行为，采购方将终止合同。</w:t>
      </w:r>
    </w:p>
    <w:p w14:paraId="3F497677" w14:textId="77777777" w:rsidR="00896D3D" w:rsidRDefault="00DD1984">
      <w:pPr>
        <w:adjustRightInd w:val="0"/>
        <w:snapToGrid w:val="0"/>
        <w:spacing w:line="360" w:lineRule="auto"/>
        <w:ind w:firstLineChars="200" w:firstLine="640"/>
        <w:rPr>
          <w:rFonts w:ascii="宋体" w:eastAsia="宋体" w:hAnsi="宋体" w:cs="宋体"/>
          <w:snapToGrid w:val="0"/>
          <w:kern w:val="0"/>
          <w:sz w:val="32"/>
          <w:szCs w:val="32"/>
        </w:rPr>
      </w:pPr>
      <w:r>
        <w:rPr>
          <w:rFonts w:ascii="宋体" w:eastAsia="宋体" w:hAnsi="宋体" w:cs="宋体" w:hint="eastAsia"/>
          <w:snapToGrid w:val="0"/>
          <w:kern w:val="0"/>
          <w:sz w:val="32"/>
          <w:szCs w:val="32"/>
        </w:rPr>
        <w:t>七、款项支付要求，包括分期付款要求、付款方式等。</w:t>
      </w:r>
    </w:p>
    <w:p w14:paraId="2780B93E" w14:textId="77777777" w:rsidR="00896D3D" w:rsidRDefault="00DD1984">
      <w:pPr>
        <w:pStyle w:val="a5"/>
        <w:adjustRightInd w:val="0"/>
        <w:snapToGrid w:val="0"/>
        <w:spacing w:line="560" w:lineRule="atLeast"/>
        <w:ind w:firstLineChars="200" w:firstLine="480"/>
        <w:rPr>
          <w:rFonts w:hAnsi="宋体" w:cs="宋体"/>
          <w:sz w:val="24"/>
          <w:szCs w:val="28"/>
        </w:rPr>
      </w:pPr>
      <w:r>
        <w:rPr>
          <w:rFonts w:hAnsi="宋体" w:cs="宋体" w:hint="eastAsia"/>
          <w:sz w:val="24"/>
          <w:szCs w:val="28"/>
        </w:rPr>
        <w:t>合同签订后，中国矿业大学出具工程师入场证明，且提供符合中国建设银行股份有限公司徐州分行规定的增值税发票后</w:t>
      </w:r>
      <w:r>
        <w:rPr>
          <w:rFonts w:hAnsi="宋体" w:cs="宋体" w:hint="eastAsia"/>
          <w:sz w:val="24"/>
          <w:szCs w:val="28"/>
        </w:rPr>
        <w:t>10</w:t>
      </w:r>
      <w:r>
        <w:rPr>
          <w:rFonts w:hAnsi="宋体" w:cs="宋体" w:hint="eastAsia"/>
          <w:sz w:val="24"/>
          <w:szCs w:val="28"/>
        </w:rPr>
        <w:t>个工作日支付合同价款的</w:t>
      </w:r>
      <w:r>
        <w:rPr>
          <w:rFonts w:hAnsi="宋体" w:cs="宋体" w:hint="eastAsia"/>
          <w:sz w:val="24"/>
          <w:szCs w:val="28"/>
        </w:rPr>
        <w:t>50%</w:t>
      </w:r>
      <w:r>
        <w:rPr>
          <w:rFonts w:hAnsi="宋体" w:cs="宋体" w:hint="eastAsia"/>
          <w:sz w:val="24"/>
          <w:szCs w:val="28"/>
        </w:rPr>
        <w:t>；</w:t>
      </w:r>
    </w:p>
    <w:p w14:paraId="0D0B4932" w14:textId="77777777" w:rsidR="00896D3D" w:rsidRDefault="00DD1984">
      <w:pPr>
        <w:pStyle w:val="a5"/>
        <w:adjustRightInd w:val="0"/>
        <w:snapToGrid w:val="0"/>
        <w:spacing w:line="560" w:lineRule="atLeast"/>
        <w:ind w:firstLineChars="200" w:firstLine="480"/>
        <w:rPr>
          <w:rFonts w:ascii="彩虹粗仿宋" w:eastAsia="彩虹粗仿宋"/>
          <w:sz w:val="32"/>
          <w:szCs w:val="32"/>
        </w:rPr>
      </w:pPr>
      <w:r>
        <w:rPr>
          <w:rFonts w:hAnsi="宋体" w:cs="宋体" w:hint="eastAsia"/>
          <w:sz w:val="24"/>
          <w:szCs w:val="28"/>
        </w:rPr>
        <w:t>项目上线完成提供上线报告，且提供符合中国建设银行股份有限公司徐州分行规定的增值税发票后</w:t>
      </w:r>
      <w:r>
        <w:rPr>
          <w:rFonts w:hAnsi="宋体" w:cs="宋体" w:hint="eastAsia"/>
          <w:sz w:val="24"/>
          <w:szCs w:val="28"/>
        </w:rPr>
        <w:t>10</w:t>
      </w:r>
      <w:r>
        <w:rPr>
          <w:rFonts w:hAnsi="宋体" w:cs="宋体" w:hint="eastAsia"/>
          <w:sz w:val="24"/>
          <w:szCs w:val="28"/>
        </w:rPr>
        <w:t>个工作日支付合同价款的</w:t>
      </w:r>
      <w:r>
        <w:rPr>
          <w:rFonts w:hAnsi="宋体" w:cs="宋体" w:hint="eastAsia"/>
          <w:sz w:val="24"/>
          <w:szCs w:val="28"/>
        </w:rPr>
        <w:t>45%</w:t>
      </w:r>
      <w:r>
        <w:rPr>
          <w:rFonts w:hAnsi="宋体" w:cs="宋体" w:hint="eastAsia"/>
          <w:sz w:val="24"/>
          <w:szCs w:val="28"/>
        </w:rPr>
        <w:t>（中国矿业大学证明</w:t>
      </w:r>
      <w:r>
        <w:rPr>
          <w:rFonts w:hAnsi="宋体" w:cs="宋体" w:hint="eastAsia"/>
          <w:sz w:val="24"/>
          <w:szCs w:val="28"/>
        </w:rPr>
        <w:lastRenderedPageBreak/>
        <w:t>文件），系统上线运行期满</w:t>
      </w:r>
      <w:r>
        <w:rPr>
          <w:rFonts w:hAnsi="宋体" w:cs="宋体" w:hint="eastAsia"/>
          <w:sz w:val="24"/>
          <w:szCs w:val="28"/>
        </w:rPr>
        <w:t>1</w:t>
      </w:r>
      <w:r>
        <w:rPr>
          <w:rFonts w:hAnsi="宋体" w:cs="宋体" w:hint="eastAsia"/>
          <w:sz w:val="24"/>
          <w:szCs w:val="28"/>
        </w:rPr>
        <w:t>年后，结清剩余</w:t>
      </w:r>
      <w:r>
        <w:rPr>
          <w:rFonts w:hAnsi="宋体" w:cs="宋体" w:hint="eastAsia"/>
          <w:sz w:val="24"/>
          <w:szCs w:val="28"/>
        </w:rPr>
        <w:t>5%</w:t>
      </w:r>
      <w:r>
        <w:rPr>
          <w:rFonts w:hAnsi="宋体" w:cs="宋体" w:hint="eastAsia"/>
          <w:sz w:val="24"/>
          <w:szCs w:val="28"/>
        </w:rPr>
        <w:t>质保金。</w:t>
      </w:r>
    </w:p>
    <w:p w14:paraId="1F1B3A3E" w14:textId="77777777" w:rsidR="00896D3D" w:rsidRDefault="00DD1984">
      <w:pPr>
        <w:adjustRightInd w:val="0"/>
        <w:snapToGrid w:val="0"/>
        <w:spacing w:line="360" w:lineRule="auto"/>
        <w:ind w:firstLineChars="200" w:firstLine="640"/>
        <w:rPr>
          <w:rFonts w:ascii="宋体" w:eastAsia="宋体" w:hAnsi="宋体" w:cs="宋体"/>
          <w:snapToGrid w:val="0"/>
          <w:kern w:val="0"/>
          <w:sz w:val="32"/>
          <w:szCs w:val="32"/>
        </w:rPr>
      </w:pPr>
      <w:r>
        <w:rPr>
          <w:rFonts w:ascii="宋体" w:eastAsia="宋体" w:hAnsi="宋体" w:cs="宋体" w:hint="eastAsia"/>
          <w:snapToGrid w:val="0"/>
          <w:kern w:val="0"/>
          <w:sz w:val="32"/>
          <w:szCs w:val="32"/>
        </w:rPr>
        <w:t>八</w:t>
      </w:r>
      <w:r>
        <w:rPr>
          <w:rFonts w:ascii="宋体" w:eastAsia="宋体" w:hAnsi="宋体" w:cs="宋体" w:hint="eastAsia"/>
          <w:snapToGrid w:val="0"/>
          <w:kern w:val="0"/>
          <w:sz w:val="32"/>
          <w:szCs w:val="32"/>
        </w:rPr>
        <w:t xml:space="preserve"> </w:t>
      </w:r>
      <w:r>
        <w:rPr>
          <w:rFonts w:ascii="宋体" w:eastAsia="宋体" w:hAnsi="宋体" w:cs="宋体" w:hint="eastAsia"/>
          <w:snapToGrid w:val="0"/>
          <w:kern w:val="0"/>
          <w:sz w:val="32"/>
          <w:szCs w:val="32"/>
        </w:rPr>
        <w:t>、售后服务要求，包括售后服务机构、维修响应时间、备品备件、技术人员配备、维保期限、培训要求等。</w:t>
      </w:r>
    </w:p>
    <w:p w14:paraId="78392747" w14:textId="77777777" w:rsidR="00896D3D" w:rsidRDefault="00DD1984">
      <w:pPr>
        <w:adjustRightInd w:val="0"/>
        <w:snapToGrid w:val="0"/>
        <w:spacing w:line="360" w:lineRule="auto"/>
        <w:ind w:firstLineChars="200" w:firstLine="480"/>
        <w:rPr>
          <w:rFonts w:ascii="宋体" w:eastAsia="宋体" w:hAnsi="宋体" w:cs="宋体"/>
          <w:sz w:val="24"/>
          <w:szCs w:val="28"/>
        </w:rPr>
      </w:pPr>
      <w:r>
        <w:rPr>
          <w:rFonts w:ascii="宋体" w:eastAsia="宋体" w:hAnsi="宋体" w:cs="宋体" w:hint="eastAsia"/>
          <w:sz w:val="24"/>
          <w:szCs w:val="28"/>
        </w:rPr>
        <w:t>投标人需确保一名项目经理负责整个项目的上线及后续服务。</w:t>
      </w:r>
    </w:p>
    <w:p w14:paraId="43A4C58E" w14:textId="77777777" w:rsidR="00896D3D" w:rsidRDefault="00DD1984">
      <w:pPr>
        <w:adjustRightInd w:val="0"/>
        <w:snapToGrid w:val="0"/>
        <w:spacing w:line="360" w:lineRule="auto"/>
        <w:ind w:firstLineChars="200" w:firstLine="480"/>
        <w:rPr>
          <w:rFonts w:ascii="宋体" w:eastAsia="宋体" w:hAnsi="宋体" w:cs="宋体"/>
          <w:sz w:val="24"/>
          <w:szCs w:val="28"/>
        </w:rPr>
      </w:pPr>
      <w:r>
        <w:rPr>
          <w:rFonts w:ascii="宋体" w:eastAsia="宋体" w:hAnsi="宋体" w:cs="宋体" w:hint="eastAsia"/>
          <w:sz w:val="24"/>
          <w:szCs w:val="28"/>
        </w:rPr>
        <w:t>自上述系统软件运行验收合格之日起享受</w:t>
      </w:r>
      <w:r>
        <w:rPr>
          <w:rFonts w:ascii="宋体" w:eastAsia="宋体" w:hAnsi="宋体" w:cs="宋体" w:hint="eastAsia"/>
          <w:sz w:val="24"/>
          <w:szCs w:val="28"/>
        </w:rPr>
        <w:t>5</w:t>
      </w:r>
      <w:r>
        <w:rPr>
          <w:rFonts w:ascii="宋体" w:eastAsia="宋体" w:hAnsi="宋体" w:cs="宋体" w:hint="eastAsia"/>
          <w:sz w:val="24"/>
          <w:szCs w:val="28"/>
        </w:rPr>
        <w:t>年的免费系统维护服务。</w:t>
      </w:r>
    </w:p>
    <w:p w14:paraId="233BAEAE" w14:textId="77777777" w:rsidR="00896D3D" w:rsidRDefault="00DD1984">
      <w:pPr>
        <w:adjustRightInd w:val="0"/>
        <w:snapToGrid w:val="0"/>
        <w:spacing w:line="360" w:lineRule="auto"/>
        <w:ind w:firstLineChars="200" w:firstLine="480"/>
        <w:rPr>
          <w:rFonts w:ascii="宋体" w:eastAsia="宋体" w:hAnsi="宋体" w:cs="宋体"/>
          <w:sz w:val="24"/>
          <w:szCs w:val="28"/>
        </w:rPr>
      </w:pPr>
      <w:r>
        <w:rPr>
          <w:rFonts w:ascii="宋体" w:eastAsia="宋体" w:hAnsi="宋体" w:cs="宋体" w:hint="eastAsia"/>
          <w:sz w:val="24"/>
          <w:szCs w:val="28"/>
        </w:rPr>
        <w:t>投标人需承诺为采购方提供详细的系统测试报告，就系统的总体结构、系统流程、功能实现及故障解决等作出详细的说</w:t>
      </w:r>
      <w:r>
        <w:rPr>
          <w:rFonts w:ascii="宋体" w:eastAsia="宋体" w:hAnsi="宋体" w:cs="宋体" w:hint="eastAsia"/>
          <w:sz w:val="24"/>
          <w:szCs w:val="28"/>
        </w:rPr>
        <w:t>明，并编写详尽的系统使用说明书，对相关使用人员提供免费技术培训，使相关使用人员能独立使用上述系统软件，完成日常操作和相关维护。</w:t>
      </w:r>
    </w:p>
    <w:p w14:paraId="66BF7289" w14:textId="77777777" w:rsidR="00896D3D" w:rsidRDefault="00DD1984">
      <w:pPr>
        <w:adjustRightInd w:val="0"/>
        <w:snapToGrid w:val="0"/>
        <w:spacing w:line="360" w:lineRule="auto"/>
        <w:ind w:firstLineChars="200" w:firstLine="480"/>
        <w:rPr>
          <w:rFonts w:ascii="宋体" w:eastAsia="宋体" w:hAnsi="宋体" w:cs="宋体"/>
          <w:snapToGrid w:val="0"/>
          <w:kern w:val="0"/>
          <w:sz w:val="32"/>
          <w:szCs w:val="32"/>
        </w:rPr>
      </w:pPr>
      <w:r>
        <w:rPr>
          <w:rFonts w:ascii="宋体" w:eastAsia="宋体" w:hAnsi="宋体" w:cs="宋体" w:hint="eastAsia"/>
          <w:sz w:val="24"/>
          <w:szCs w:val="28"/>
        </w:rPr>
        <w:t>投标人需提供完善的售后服务组织保障体系、提供详细的故障处理流程和故障应急方案</w:t>
      </w:r>
      <w:r>
        <w:rPr>
          <w:rFonts w:ascii="宋体" w:eastAsia="宋体" w:hAnsi="宋体" w:cs="宋体" w:hint="eastAsia"/>
          <w:sz w:val="24"/>
          <w:szCs w:val="28"/>
        </w:rPr>
        <w:t>,</w:t>
      </w:r>
      <w:r>
        <w:rPr>
          <w:rFonts w:ascii="宋体" w:eastAsia="宋体" w:hAnsi="宋体" w:cs="宋体" w:hint="eastAsia"/>
          <w:sz w:val="24"/>
          <w:szCs w:val="28"/>
        </w:rPr>
        <w:t>有多种服务响应方式，应急响应时间满足要求。投标人需在合同规定的质保期内，向采购方提供（</w:t>
      </w:r>
      <w:r>
        <w:rPr>
          <w:rFonts w:ascii="宋体" w:eastAsia="宋体" w:hAnsi="宋体" w:cs="宋体" w:hint="eastAsia"/>
          <w:sz w:val="24"/>
          <w:szCs w:val="28"/>
        </w:rPr>
        <w:t>7</w:t>
      </w:r>
      <w:r>
        <w:rPr>
          <w:rFonts w:ascii="宋体" w:eastAsia="宋体" w:hAnsi="宋体" w:cs="宋体" w:hint="eastAsia"/>
          <w:sz w:val="24"/>
          <w:szCs w:val="28"/>
        </w:rPr>
        <w:t>×</w:t>
      </w:r>
      <w:r>
        <w:rPr>
          <w:rFonts w:ascii="宋体" w:eastAsia="宋体" w:hAnsi="宋体" w:cs="宋体" w:hint="eastAsia"/>
          <w:sz w:val="24"/>
          <w:szCs w:val="28"/>
        </w:rPr>
        <w:t>24</w:t>
      </w:r>
      <w:r>
        <w:rPr>
          <w:rFonts w:ascii="宋体" w:eastAsia="宋体" w:hAnsi="宋体" w:cs="宋体" w:hint="eastAsia"/>
          <w:sz w:val="24"/>
          <w:szCs w:val="28"/>
        </w:rPr>
        <w:t>小时）的系统维护和支持服务，包括系统维护、故障处理、软件服务等，故障响应时间不超过</w:t>
      </w:r>
      <w:r>
        <w:rPr>
          <w:rFonts w:ascii="宋体" w:eastAsia="宋体" w:hAnsi="宋体" w:cs="宋体" w:hint="eastAsia"/>
          <w:sz w:val="24"/>
          <w:szCs w:val="28"/>
        </w:rPr>
        <w:t>1</w:t>
      </w:r>
      <w:r>
        <w:rPr>
          <w:rFonts w:ascii="宋体" w:eastAsia="宋体" w:hAnsi="宋体" w:cs="宋体" w:hint="eastAsia"/>
          <w:sz w:val="24"/>
          <w:szCs w:val="28"/>
        </w:rPr>
        <w:t>小时，</w:t>
      </w:r>
      <w:r>
        <w:rPr>
          <w:rFonts w:ascii="宋体" w:eastAsia="宋体" w:hAnsi="宋体" w:cs="宋体" w:hint="eastAsia"/>
          <w:sz w:val="24"/>
          <w:szCs w:val="28"/>
        </w:rPr>
        <w:t>4</w:t>
      </w:r>
      <w:r>
        <w:rPr>
          <w:rFonts w:ascii="宋体" w:eastAsia="宋体" w:hAnsi="宋体" w:cs="宋体" w:hint="eastAsia"/>
          <w:sz w:val="24"/>
          <w:szCs w:val="28"/>
        </w:rPr>
        <w:t>小时内做出故障诊断报告，常规故障</w:t>
      </w:r>
      <w:r>
        <w:rPr>
          <w:rFonts w:ascii="宋体" w:eastAsia="宋体" w:hAnsi="宋体" w:cs="宋体" w:hint="eastAsia"/>
          <w:sz w:val="24"/>
          <w:szCs w:val="28"/>
        </w:rPr>
        <w:t>8</w:t>
      </w:r>
      <w:r>
        <w:rPr>
          <w:rFonts w:ascii="宋体" w:eastAsia="宋体" w:hAnsi="宋体" w:cs="宋体" w:hint="eastAsia"/>
          <w:sz w:val="24"/>
          <w:szCs w:val="28"/>
        </w:rPr>
        <w:t>小时内必须解决。系统运行过程中如果发生严重的问题（如软硬件故障、配置丢失、数据丢失等）</w:t>
      </w:r>
      <w:r>
        <w:rPr>
          <w:rFonts w:ascii="宋体" w:eastAsia="宋体" w:hAnsi="宋体" w:cs="宋体" w:hint="eastAsia"/>
          <w:sz w:val="24"/>
          <w:szCs w:val="28"/>
        </w:rPr>
        <w:t>，投标人需提供现场技术支持。投标人须向采购方提供其现场服务联系机构的电话和联系人姓名。并且提供全天候（</w:t>
      </w:r>
      <w:r>
        <w:rPr>
          <w:rFonts w:ascii="宋体" w:eastAsia="宋体" w:hAnsi="宋体" w:cs="宋体" w:hint="eastAsia"/>
          <w:sz w:val="24"/>
          <w:szCs w:val="28"/>
        </w:rPr>
        <w:t>7</w:t>
      </w:r>
      <w:r>
        <w:rPr>
          <w:rFonts w:ascii="宋体" w:eastAsia="宋体" w:hAnsi="宋体" w:cs="宋体" w:hint="eastAsia"/>
          <w:sz w:val="24"/>
          <w:szCs w:val="28"/>
        </w:rPr>
        <w:t>×</w:t>
      </w:r>
      <w:r>
        <w:rPr>
          <w:rFonts w:ascii="宋体" w:eastAsia="宋体" w:hAnsi="宋体" w:cs="宋体" w:hint="eastAsia"/>
          <w:sz w:val="24"/>
          <w:szCs w:val="28"/>
        </w:rPr>
        <w:t>24</w:t>
      </w:r>
      <w:r>
        <w:rPr>
          <w:rFonts w:ascii="宋体" w:eastAsia="宋体" w:hAnsi="宋体" w:cs="宋体" w:hint="eastAsia"/>
          <w:sz w:val="24"/>
          <w:szCs w:val="28"/>
        </w:rPr>
        <w:t>小时）的热线电话响应服务。</w:t>
      </w:r>
    </w:p>
    <w:p w14:paraId="108B59B1" w14:textId="77777777" w:rsidR="00896D3D" w:rsidRDefault="00DD1984">
      <w:pPr>
        <w:adjustRightInd w:val="0"/>
        <w:snapToGrid w:val="0"/>
        <w:spacing w:line="360" w:lineRule="auto"/>
        <w:ind w:firstLineChars="100" w:firstLine="320"/>
        <w:rPr>
          <w:rFonts w:ascii="宋体" w:eastAsia="宋体" w:hAnsi="宋体" w:cs="宋体"/>
          <w:snapToGrid w:val="0"/>
          <w:kern w:val="0"/>
          <w:sz w:val="32"/>
          <w:szCs w:val="32"/>
        </w:rPr>
      </w:pPr>
      <w:r>
        <w:rPr>
          <w:rFonts w:ascii="宋体" w:eastAsia="宋体" w:hAnsi="宋体" w:cs="宋体" w:hint="eastAsia"/>
          <w:snapToGrid w:val="0"/>
          <w:kern w:val="0"/>
          <w:sz w:val="32"/>
          <w:szCs w:val="32"/>
        </w:rPr>
        <w:t>九、报价要求。</w:t>
      </w:r>
    </w:p>
    <w:p w14:paraId="7B16DBC7" w14:textId="77777777" w:rsidR="00896D3D" w:rsidRDefault="00DD1984">
      <w:pPr>
        <w:spacing w:line="440" w:lineRule="exact"/>
        <w:ind w:firstLineChars="200" w:firstLine="420"/>
        <w:rPr>
          <w:rFonts w:ascii="宋体" w:eastAsia="宋体" w:hAnsi="宋体" w:cs="宋体"/>
        </w:rPr>
      </w:pPr>
      <w:r>
        <w:rPr>
          <w:rFonts w:ascii="宋体" w:eastAsia="宋体" w:hAnsi="宋体" w:cs="宋体" w:hint="eastAsia"/>
        </w:rPr>
        <w:t>请区分技术标及商务标。</w:t>
      </w:r>
    </w:p>
    <w:p w14:paraId="724ABC54" w14:textId="77777777" w:rsidR="00896D3D" w:rsidRDefault="00DD1984">
      <w:pPr>
        <w:ind w:firstLineChars="150" w:firstLine="480"/>
        <w:rPr>
          <w:rFonts w:ascii="宋体" w:eastAsia="宋体" w:hAnsi="宋体" w:cs="宋体"/>
        </w:rPr>
      </w:pPr>
      <w:r>
        <w:rPr>
          <w:rFonts w:ascii="宋体" w:eastAsia="宋体" w:hAnsi="宋体" w:cs="宋体" w:hint="eastAsia"/>
          <w:snapToGrid w:val="0"/>
          <w:kern w:val="0"/>
          <w:sz w:val="32"/>
          <w:szCs w:val="32"/>
        </w:rPr>
        <w:t>十、其他配置需求：中标人签订合同需提供建行结算账号或建行数币账号用于款项支付。</w:t>
      </w:r>
    </w:p>
    <w:p w14:paraId="6EA8C90C" w14:textId="77777777" w:rsidR="00896D3D" w:rsidRDefault="00896D3D">
      <w:pPr>
        <w:rPr>
          <w:rFonts w:ascii="宋体" w:eastAsia="宋体" w:hAnsi="宋体" w:cs="宋体"/>
        </w:rPr>
      </w:pPr>
    </w:p>
    <w:sectPr w:rsidR="00896D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EA15E9" w14:textId="77777777" w:rsidR="00DD1984" w:rsidRDefault="00DD1984" w:rsidP="006413B3">
      <w:r>
        <w:separator/>
      </w:r>
    </w:p>
  </w:endnote>
  <w:endnote w:type="continuationSeparator" w:id="0">
    <w:p w14:paraId="061F6042" w14:textId="77777777" w:rsidR="00DD1984" w:rsidRDefault="00DD1984" w:rsidP="00641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粗仿宋">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117CB5" w14:textId="77777777" w:rsidR="00DD1984" w:rsidRDefault="00DD1984" w:rsidP="006413B3">
      <w:r>
        <w:separator/>
      </w:r>
    </w:p>
  </w:footnote>
  <w:footnote w:type="continuationSeparator" w:id="0">
    <w:p w14:paraId="5C083F5B" w14:textId="77777777" w:rsidR="00DD1984" w:rsidRDefault="00DD1984" w:rsidP="006413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7BF5142"/>
    <w:multiLevelType w:val="singleLevel"/>
    <w:tmpl w:val="97BF5142"/>
    <w:lvl w:ilvl="0">
      <w:start w:val="13"/>
      <w:numFmt w:val="decimal"/>
      <w:suff w:val="nothing"/>
      <w:lvlText w:val="%1、"/>
      <w:lvlJc w:val="left"/>
      <w:pPr>
        <w:ind w:left="300" w:firstLine="0"/>
      </w:pPr>
      <w:rPr>
        <w:rFonts w:ascii="宋体" w:eastAsia="宋体" w:hAnsi="宋体" w:cs="宋体" w:hint="default"/>
        <w:sz w:val="20"/>
        <w:szCs w:val="20"/>
      </w:rPr>
    </w:lvl>
  </w:abstractNum>
  <w:abstractNum w:abstractNumId="1" w15:restartNumberingAfterBreak="0">
    <w:nsid w:val="D74B98A5"/>
    <w:multiLevelType w:val="singleLevel"/>
    <w:tmpl w:val="D74B98A5"/>
    <w:lvl w:ilvl="0">
      <w:start w:val="1"/>
      <w:numFmt w:val="decimal"/>
      <w:lvlText w:val="(%1)"/>
      <w:lvlJc w:val="left"/>
      <w:pPr>
        <w:ind w:left="425" w:hanging="425"/>
      </w:pPr>
      <w:rPr>
        <w:rFonts w:hint="default"/>
      </w:rPr>
    </w:lvl>
  </w:abstractNum>
  <w:abstractNum w:abstractNumId="2" w15:restartNumberingAfterBreak="0">
    <w:nsid w:val="E8F212CB"/>
    <w:multiLevelType w:val="singleLevel"/>
    <w:tmpl w:val="E8F212CB"/>
    <w:lvl w:ilvl="0">
      <w:start w:val="4"/>
      <w:numFmt w:val="chineseCounting"/>
      <w:suff w:val="nothing"/>
      <w:lvlText w:val="%1、"/>
      <w:lvlJc w:val="left"/>
      <w:rPr>
        <w:rFonts w:hint="eastAsia"/>
        <w:sz w:val="32"/>
        <w:szCs w:val="32"/>
      </w:rPr>
    </w:lvl>
  </w:abstractNum>
  <w:abstractNum w:abstractNumId="3" w15:restartNumberingAfterBreak="0">
    <w:nsid w:val="FD34F664"/>
    <w:multiLevelType w:val="singleLevel"/>
    <w:tmpl w:val="FD34F664"/>
    <w:lvl w:ilvl="0">
      <w:start w:val="1"/>
      <w:numFmt w:val="decimal"/>
      <w:lvlText w:val="(%1)"/>
      <w:lvlJc w:val="left"/>
      <w:pPr>
        <w:ind w:left="425" w:hanging="425"/>
      </w:pPr>
      <w:rPr>
        <w:rFonts w:hint="default"/>
      </w:rPr>
    </w:lvl>
  </w:abstractNum>
  <w:abstractNum w:abstractNumId="4" w15:restartNumberingAfterBreak="0">
    <w:nsid w:val="7FEE2404"/>
    <w:multiLevelType w:val="singleLevel"/>
    <w:tmpl w:val="7FEE2404"/>
    <w:lvl w:ilvl="0">
      <w:start w:val="3"/>
      <w:numFmt w:val="decimal"/>
      <w:suff w:val="nothing"/>
      <w:lvlText w:val="%1、"/>
      <w:lvlJc w:val="left"/>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147"/>
    <w:rsid w:val="EEBC8E76"/>
    <w:rsid w:val="FE7E0404"/>
    <w:rsid w:val="000536F6"/>
    <w:rsid w:val="001672AE"/>
    <w:rsid w:val="002E48BF"/>
    <w:rsid w:val="003C2580"/>
    <w:rsid w:val="003D029A"/>
    <w:rsid w:val="003D75E9"/>
    <w:rsid w:val="00432147"/>
    <w:rsid w:val="00437070"/>
    <w:rsid w:val="00516C4E"/>
    <w:rsid w:val="00551C25"/>
    <w:rsid w:val="006413B3"/>
    <w:rsid w:val="00643AC4"/>
    <w:rsid w:val="006F0524"/>
    <w:rsid w:val="00896D3D"/>
    <w:rsid w:val="009E06BE"/>
    <w:rsid w:val="00AC7AA2"/>
    <w:rsid w:val="00C650BB"/>
    <w:rsid w:val="00CF500A"/>
    <w:rsid w:val="00DC7FBF"/>
    <w:rsid w:val="00DD1984"/>
    <w:rsid w:val="00ED7CB6"/>
    <w:rsid w:val="068057B5"/>
    <w:rsid w:val="1D7274E7"/>
    <w:rsid w:val="248B0E8F"/>
    <w:rsid w:val="29763EBB"/>
    <w:rsid w:val="340E0D1F"/>
    <w:rsid w:val="3C4934AB"/>
    <w:rsid w:val="4413082D"/>
    <w:rsid w:val="441922A7"/>
    <w:rsid w:val="4515312F"/>
    <w:rsid w:val="57F4051E"/>
    <w:rsid w:val="5FC85B58"/>
    <w:rsid w:val="60E90E3C"/>
    <w:rsid w:val="672D1356"/>
    <w:rsid w:val="681F3395"/>
    <w:rsid w:val="75956A44"/>
    <w:rsid w:val="75994786"/>
    <w:rsid w:val="77B014EE"/>
    <w:rsid w:val="79F442DB"/>
    <w:rsid w:val="7A5769BE"/>
    <w:rsid w:val="7FD47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40277"/>
  <w15:docId w15:val="{01D16783-51D9-4601-BF65-282C2536F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11"/>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1">
    <w:name w:val="文本块111"/>
    <w:basedOn w:val="a"/>
    <w:unhideWhenUsed/>
    <w:qFormat/>
    <w:pPr>
      <w:spacing w:after="120"/>
      <w:ind w:left="1440" w:right="1440"/>
    </w:pPr>
    <w:rPr>
      <w:rFonts w:ascii="Calibri" w:hAnsi="Calibri"/>
    </w:rPr>
  </w:style>
  <w:style w:type="paragraph" w:styleId="a3">
    <w:name w:val="annotation text"/>
    <w:basedOn w:val="a"/>
    <w:link w:val="a4"/>
    <w:uiPriority w:val="99"/>
    <w:semiHidden/>
    <w:unhideWhenUsed/>
    <w:pPr>
      <w:jc w:val="left"/>
    </w:pPr>
  </w:style>
  <w:style w:type="paragraph" w:styleId="a5">
    <w:name w:val="Plain Text"/>
    <w:basedOn w:val="a"/>
    <w:link w:val="a6"/>
    <w:unhideWhenUsed/>
    <w:qFormat/>
    <w:rPr>
      <w:rFonts w:ascii="宋体" w:eastAsia="宋体" w:hAnsi="Courier New" w:cs="黑体"/>
      <w:szCs w:val="21"/>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纯文本 字符"/>
    <w:basedOn w:val="a0"/>
    <w:link w:val="a5"/>
    <w:qFormat/>
    <w:rPr>
      <w:rFonts w:ascii="宋体" w:eastAsia="宋体" w:hAnsi="Courier New" w:cs="黑体"/>
      <w:szCs w:val="21"/>
    </w:rPr>
  </w:style>
  <w:style w:type="paragraph" w:customStyle="1" w:styleId="11">
    <w:name w:val="正文文本11"/>
    <w:basedOn w:val="a"/>
    <w:next w:val="a"/>
    <w:qFormat/>
    <w:pPr>
      <w:spacing w:after="120"/>
    </w:pPr>
  </w:style>
  <w:style w:type="character" w:styleId="ab">
    <w:name w:val="annotation reference"/>
    <w:basedOn w:val="a0"/>
    <w:uiPriority w:val="99"/>
    <w:semiHidden/>
    <w:unhideWhenUsed/>
    <w:rPr>
      <w:sz w:val="21"/>
      <w:szCs w:val="21"/>
    </w:rPr>
  </w:style>
  <w:style w:type="paragraph" w:styleId="ac">
    <w:name w:val="Balloon Text"/>
    <w:basedOn w:val="a"/>
    <w:link w:val="ad"/>
    <w:uiPriority w:val="99"/>
    <w:semiHidden/>
    <w:unhideWhenUsed/>
    <w:rsid w:val="006413B3"/>
    <w:rPr>
      <w:sz w:val="18"/>
      <w:szCs w:val="18"/>
    </w:rPr>
  </w:style>
  <w:style w:type="character" w:customStyle="1" w:styleId="ad">
    <w:name w:val="批注框文本 字符"/>
    <w:basedOn w:val="a0"/>
    <w:link w:val="ac"/>
    <w:uiPriority w:val="99"/>
    <w:semiHidden/>
    <w:rsid w:val="006413B3"/>
    <w:rPr>
      <w:kern w:val="2"/>
      <w:sz w:val="18"/>
      <w:szCs w:val="18"/>
    </w:rPr>
  </w:style>
  <w:style w:type="paragraph" w:styleId="ae">
    <w:name w:val="annotation subject"/>
    <w:basedOn w:val="a3"/>
    <w:next w:val="a3"/>
    <w:link w:val="af"/>
    <w:uiPriority w:val="99"/>
    <w:semiHidden/>
    <w:unhideWhenUsed/>
    <w:rsid w:val="006413B3"/>
    <w:rPr>
      <w:b/>
      <w:bCs/>
    </w:rPr>
  </w:style>
  <w:style w:type="character" w:customStyle="1" w:styleId="a4">
    <w:name w:val="批注文字 字符"/>
    <w:basedOn w:val="a0"/>
    <w:link w:val="a3"/>
    <w:uiPriority w:val="99"/>
    <w:semiHidden/>
    <w:rsid w:val="006413B3"/>
    <w:rPr>
      <w:kern w:val="2"/>
      <w:sz w:val="21"/>
      <w:szCs w:val="22"/>
    </w:rPr>
  </w:style>
  <w:style w:type="character" w:customStyle="1" w:styleId="af">
    <w:name w:val="批注主题 字符"/>
    <w:basedOn w:val="a4"/>
    <w:link w:val="ae"/>
    <w:uiPriority w:val="99"/>
    <w:semiHidden/>
    <w:rsid w:val="006413B3"/>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7</Pages>
  <Words>719</Words>
  <Characters>4103</Characters>
  <Application>Microsoft Office Word</Application>
  <DocSecurity>0</DocSecurity>
  <Lines>34</Lines>
  <Paragraphs>9</Paragraphs>
  <ScaleCrop>false</ScaleCrop>
  <Company>CCB</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菅钊(Jian Zhao 中化商务)</cp:lastModifiedBy>
  <cp:revision>19</cp:revision>
  <dcterms:created xsi:type="dcterms:W3CDTF">2019-03-25T23:46:00Z</dcterms:created>
  <dcterms:modified xsi:type="dcterms:W3CDTF">2025-11-21T09:16:00Z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A2A83FDBE11480603EB09D6874607E15_42</vt:lpwstr>
  </property>
  <property fmtid="{D5CDD505-2E9C-101B-9397-08002B2CF9AE}" pid="4" name="KSOTemplateDocerSaveRecord">
    <vt:lpwstr>eyJoZGlkIjoiOTc3M2Y5NzIzMDFlZjAyY2Q4Njk5ODkyYjFjNzBiNTQiLCJ1c2VySWQiOiIxOTk2OTMxMDMifQ==</vt:lpwstr>
  </property>
</Properties>
</file>