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727839">
      <w:pPr>
        <w:keepNext w:val="0"/>
        <w:keepLines w:val="0"/>
        <w:widowControl/>
        <w:suppressLineNumbers w:val="0"/>
        <w:spacing w:before="0" w:beforeAutospacing="0" w:after="0" w:afterAutospacing="0" w:line="440" w:lineRule="exact"/>
        <w:ind w:left="0" w:right="0" w:firstLine="0" w:firstLineChars="0"/>
        <w:jc w:val="center"/>
        <w:outlineLvl w:val="0"/>
        <w:rPr>
          <w:rFonts w:hint="eastAsia" w:ascii="宋体" w:hAnsi="宋体" w:eastAsia="宋体" w:cs="宋体"/>
          <w:b/>
          <w:bCs/>
          <w:kern w:val="0"/>
          <w:sz w:val="32"/>
          <w:szCs w:val="32"/>
          <w:lang w:val="en-US" w:eastAsia="zh-CN" w:bidi="ar"/>
        </w:rPr>
      </w:pPr>
      <w:r>
        <w:rPr>
          <w:rFonts w:hint="eastAsia" w:ascii="宋体" w:hAnsi="宋体" w:eastAsia="宋体" w:cs="宋体"/>
          <w:b/>
          <w:bCs/>
          <w:kern w:val="0"/>
          <w:sz w:val="32"/>
          <w:szCs w:val="32"/>
          <w:lang w:val="en-US" w:eastAsia="zh-CN" w:bidi="ar"/>
        </w:rPr>
        <w:t>厦门国际银行人民币跨境支付系统建设项目</w:t>
      </w:r>
    </w:p>
    <w:p w14:paraId="05502550">
      <w:pPr>
        <w:keepNext w:val="0"/>
        <w:keepLines w:val="0"/>
        <w:widowControl/>
        <w:suppressLineNumbers w:val="0"/>
        <w:spacing w:before="0" w:beforeAutospacing="0" w:after="0" w:afterAutospacing="0" w:line="440" w:lineRule="exact"/>
        <w:ind w:left="0" w:right="0" w:firstLine="0" w:firstLineChars="0"/>
        <w:jc w:val="center"/>
        <w:outlineLvl w:val="0"/>
        <w:rPr>
          <w:rFonts w:hint="eastAsia" w:ascii="宋体" w:hAnsi="宋体" w:eastAsia="宋体" w:cs="宋体"/>
          <w:b/>
          <w:bCs/>
          <w:sz w:val="32"/>
          <w:szCs w:val="32"/>
        </w:rPr>
      </w:pPr>
      <w:r>
        <w:rPr>
          <w:rFonts w:hint="eastAsia" w:ascii="宋体" w:hAnsi="宋体" w:eastAsia="宋体" w:cs="宋体"/>
          <w:b/>
          <w:bCs/>
          <w:kern w:val="0"/>
          <w:sz w:val="32"/>
          <w:szCs w:val="32"/>
          <w:lang w:val="en-US" w:eastAsia="zh-CN" w:bidi="ar"/>
        </w:rPr>
        <w:t>供应商征集公告</w:t>
      </w:r>
    </w:p>
    <w:p w14:paraId="0343C8B1">
      <w:pPr>
        <w:keepNext w:val="0"/>
        <w:keepLines w:val="0"/>
        <w:widowControl/>
        <w:suppressLineNumbers w:val="0"/>
        <w:spacing w:before="0" w:beforeAutospacing="0" w:after="0" w:afterAutospacing="0" w:line="440" w:lineRule="exact"/>
        <w:ind w:left="0" w:right="0"/>
        <w:jc w:val="center"/>
        <w:rPr>
          <w:rFonts w:hint="eastAsia" w:ascii="宋体" w:hAnsi="宋体" w:eastAsia="宋体" w:cs="宋体"/>
          <w:sz w:val="24"/>
        </w:rPr>
      </w:pPr>
      <w:r>
        <w:rPr>
          <w:rFonts w:hint="eastAsia" w:ascii="宋体" w:hAnsi="宋体" w:eastAsia="宋体" w:cs="宋体"/>
          <w:kern w:val="2"/>
          <w:sz w:val="24"/>
          <w:szCs w:val="24"/>
          <w:lang w:val="en-US" w:eastAsia="zh-CN" w:bidi="ar"/>
        </w:rPr>
        <w:t xml:space="preserve"> </w:t>
      </w:r>
    </w:p>
    <w:p w14:paraId="70A45BAF">
      <w:pPr>
        <w:keepNext w:val="0"/>
        <w:keepLines w:val="0"/>
        <w:widowControl/>
        <w:suppressLineNumbers w:val="0"/>
        <w:spacing w:before="0" w:beforeAutospacing="0" w:after="0" w:afterAutospacing="0" w:line="440" w:lineRule="exact"/>
        <w:ind w:left="0" w:right="0" w:firstLine="600"/>
        <w:jc w:val="left"/>
        <w:rPr>
          <w:rFonts w:hint="eastAsia" w:ascii="宋体" w:hAnsi="宋体" w:eastAsia="宋体" w:cs="宋体"/>
          <w:sz w:val="24"/>
        </w:rPr>
      </w:pPr>
      <w:r>
        <w:rPr>
          <w:rFonts w:hint="eastAsia" w:ascii="宋体" w:hAnsi="宋体" w:eastAsia="宋体" w:cs="宋体"/>
          <w:kern w:val="2"/>
          <w:sz w:val="24"/>
          <w:szCs w:val="24"/>
          <w:lang w:val="en-US" w:eastAsia="zh-CN" w:bidi="ar"/>
        </w:rPr>
        <w:t>征集人厦门国际银行股份有限公司根据人民币跨境支付系统系统建设等工作需要，拟开展人民币跨境支付系统建设项目供应商征集，有关事宜公告如下：</w:t>
      </w:r>
    </w:p>
    <w:p w14:paraId="4F8C3B8B">
      <w:pPr>
        <w:keepNext w:val="0"/>
        <w:keepLines w:val="0"/>
        <w:widowControl/>
        <w:numPr>
          <w:ilvl w:val="0"/>
          <w:numId w:val="0"/>
        </w:numPr>
        <w:suppressLineNumbers w:val="0"/>
        <w:spacing w:before="0" w:beforeAutospacing="0" w:after="0" w:afterAutospacing="0" w:line="440" w:lineRule="exact"/>
        <w:ind w:left="567" w:right="0" w:firstLine="53" w:firstLineChars="22"/>
        <w:jc w:val="both"/>
        <w:outlineLvl w:val="0"/>
        <w:rPr>
          <w:rFonts w:hint="eastAsia" w:ascii="宋体" w:hAnsi="宋体" w:eastAsia="宋体" w:cs="宋体"/>
          <w:b/>
          <w:bCs/>
          <w:sz w:val="24"/>
          <w:lang w:bidi="ar"/>
        </w:rPr>
      </w:pPr>
      <w:r>
        <w:rPr>
          <w:rFonts w:hint="eastAsia" w:ascii="宋体" w:hAnsi="宋体" w:eastAsia="宋体" w:cs="宋体"/>
          <w:b/>
          <w:bCs/>
          <w:kern w:val="2"/>
          <w:sz w:val="24"/>
          <w:szCs w:val="24"/>
          <w:lang w:val="en-US" w:eastAsia="zh-CN" w:bidi="ar"/>
        </w:rPr>
        <w:t>一、采购需求及资格要求</w:t>
      </w:r>
    </w:p>
    <w:p w14:paraId="599E2DCF">
      <w:pPr>
        <w:keepNext w:val="0"/>
        <w:keepLines w:val="0"/>
        <w:widowControl/>
        <w:suppressLineNumbers w:val="0"/>
        <w:spacing w:before="0" w:beforeAutospacing="0" w:after="0" w:afterAutospacing="0" w:line="440" w:lineRule="exact"/>
        <w:ind w:left="567" w:right="0" w:firstLine="71"/>
        <w:jc w:val="left"/>
        <w:outlineLvl w:val="1"/>
        <w:rPr>
          <w:rStyle w:val="12"/>
          <w:rFonts w:hint="eastAsia" w:ascii="宋体" w:hAnsi="宋体" w:eastAsia="宋体" w:cs="宋体"/>
          <w:kern w:val="0"/>
          <w:sz w:val="24"/>
          <w:szCs w:val="24"/>
          <w:lang w:val="en-US" w:eastAsia="zh-CN" w:bidi="ar"/>
        </w:rPr>
      </w:pPr>
      <w:r>
        <w:rPr>
          <w:rFonts w:hint="eastAsia" w:ascii="宋体" w:hAnsi="宋体" w:eastAsia="宋体" w:cs="宋体"/>
          <w:b/>
          <w:bCs/>
          <w:kern w:val="2"/>
          <w:sz w:val="24"/>
          <w:szCs w:val="24"/>
          <w:lang w:val="en-US" w:eastAsia="zh-CN" w:bidi="ar"/>
        </w:rPr>
        <w:t>1. </w:t>
      </w:r>
      <w:r>
        <w:rPr>
          <w:rStyle w:val="12"/>
          <w:rFonts w:hint="eastAsia" w:ascii="宋体" w:hAnsi="宋体" w:eastAsia="宋体" w:cs="宋体"/>
          <w:kern w:val="0"/>
          <w:sz w:val="24"/>
          <w:szCs w:val="24"/>
          <w:lang w:val="en-US" w:eastAsia="zh-CN" w:bidi="ar"/>
        </w:rPr>
        <w:t>采购需求</w:t>
      </w:r>
    </w:p>
    <w:p w14:paraId="591CCB80">
      <w:pPr>
        <w:pStyle w:val="42"/>
        <w:keepNext w:val="0"/>
        <w:keepLines w:val="0"/>
        <w:widowControl/>
        <w:suppressLineNumbers w:val="0"/>
        <w:spacing w:before="0" w:beforeAutospacing="0" w:after="0" w:afterAutospacing="0" w:line="440" w:lineRule="exact"/>
        <w:ind w:left="0" w:right="0" w:firstLine="480" w:firstLineChars="200"/>
        <w:jc w:val="both"/>
        <w:rPr>
          <w:rFonts w:hint="eastAsia" w:ascii="宋体" w:hAnsi="宋体" w:eastAsia="宋体" w:cs="宋体"/>
          <w:sz w:val="24"/>
        </w:rPr>
      </w:pPr>
      <w:r>
        <w:rPr>
          <w:rFonts w:hint="eastAsia" w:ascii="宋体" w:hAnsi="宋体" w:cs="宋体" w:eastAsiaTheme="minorEastAsia"/>
          <w:b w:val="0"/>
          <w:bCs w:val="0"/>
          <w:lang w:val="en-US" w:eastAsia="zh-CN"/>
        </w:rPr>
        <w:t>此次人民币跨境支付系统的建设，旨在基于</w:t>
      </w:r>
      <w:r>
        <w:rPr>
          <w:rFonts w:hint="eastAsia" w:ascii="Times New Roman" w:hAnsi="Times New Roman"/>
          <w:b w:val="0"/>
          <w:bCs w:val="0"/>
          <w:sz w:val="24"/>
        </w:rPr>
        <w:t>分布式微服务架构打造支持全栈信创的</w:t>
      </w:r>
      <w:r>
        <w:rPr>
          <w:rFonts w:hint="eastAsia" w:ascii="Times New Roman" w:hAnsi="Times New Roman"/>
          <w:b w:val="0"/>
          <w:bCs w:val="0"/>
          <w:sz w:val="24"/>
          <w:lang w:val="en-US" w:eastAsia="zh-CN"/>
        </w:rPr>
        <w:t>人民币跨境支付业务平台，构建全新的以CIPS直接参与者接入跨境清算公司处理</w:t>
      </w:r>
      <w:r>
        <w:rPr>
          <w:rFonts w:hint="eastAsia" w:eastAsia="宋体"/>
          <w:b w:val="0"/>
          <w:bCs w:val="0"/>
        </w:rPr>
        <w:t>厦门国际银行（XIB）、澳门国际银行（LIB）、集友银行（CYB）</w:t>
      </w:r>
      <w:r>
        <w:rPr>
          <w:rFonts w:hint="eastAsia" w:eastAsia="宋体" w:cs="宋体"/>
          <w:b w:val="0"/>
          <w:bCs w:val="0"/>
          <w:i w:val="0"/>
          <w:sz w:val="24"/>
          <w:lang w:val="en-US" w:eastAsia="zh-CN"/>
        </w:rPr>
        <w:t>三</w:t>
      </w:r>
      <w:r>
        <w:rPr>
          <w:rFonts w:hint="eastAsia" w:ascii="宋体" w:hAnsi="宋体" w:eastAsia="宋体" w:cs="宋体"/>
          <w:b w:val="0"/>
          <w:bCs w:val="0"/>
          <w:i w:val="0"/>
          <w:sz w:val="24"/>
        </w:rPr>
        <w:t>个</w:t>
      </w:r>
      <w:r>
        <w:rPr>
          <w:rFonts w:hint="eastAsia" w:ascii="宋体" w:hAnsi="宋体" w:eastAsia="宋体" w:cs="宋体"/>
          <w:b w:val="0"/>
          <w:bCs w:val="0"/>
          <w:i w:val="0"/>
          <w:sz w:val="24"/>
          <w:lang w:val="en-US" w:eastAsia="zh-CN"/>
        </w:rPr>
        <w:t>机构</w:t>
      </w:r>
      <w:r>
        <w:rPr>
          <w:rFonts w:hint="eastAsia" w:ascii="宋体" w:hAnsi="宋体" w:cs="宋体"/>
          <w:b w:val="0"/>
          <w:bCs w:val="0"/>
          <w:i w:val="0"/>
          <w:sz w:val="24"/>
          <w:lang w:val="en-US" w:eastAsia="zh-CN"/>
        </w:rPr>
        <w:t>的人民币跨境支付交易的业务处理模式，实现</w:t>
      </w:r>
      <w:r>
        <w:rPr>
          <w:rFonts w:hint="eastAsia"/>
          <w:b w:val="0"/>
          <w:bCs/>
          <w:sz w:val="24"/>
          <w:szCs w:val="24"/>
          <w:lang w:val="en-US" w:eastAsia="zh-CN"/>
        </w:rPr>
        <w:t>集团三地联动拓展跨境人民币业务，</w:t>
      </w:r>
      <w:r>
        <w:rPr>
          <w:rFonts w:hint="eastAsia"/>
          <w:b w:val="0"/>
          <w:bCs w:val="0"/>
          <w:szCs w:val="24"/>
        </w:rPr>
        <w:t>进一步推动华侨金融业务的拓展与深化</w:t>
      </w:r>
      <w:r>
        <w:rPr>
          <w:rFonts w:hint="eastAsia"/>
          <w:b w:val="0"/>
          <w:bCs w:val="0"/>
          <w:szCs w:val="24"/>
          <w:lang w:eastAsia="zh-CN"/>
        </w:rPr>
        <w:t>。</w:t>
      </w:r>
    </w:p>
    <w:p w14:paraId="6F286477">
      <w:pPr>
        <w:keepNext w:val="0"/>
        <w:keepLines w:val="0"/>
        <w:widowControl/>
        <w:suppressLineNumbers w:val="0"/>
        <w:spacing w:before="0" w:beforeAutospacing="0" w:after="0" w:afterAutospacing="0" w:line="440" w:lineRule="exact"/>
        <w:ind w:left="0" w:right="0" w:firstLine="600"/>
        <w:jc w:val="both"/>
        <w:rPr>
          <w:rFonts w:hint="eastAsia" w:ascii="宋体" w:hAnsi="宋体" w:eastAsia="宋体" w:cs="宋体"/>
          <w:sz w:val="24"/>
        </w:rPr>
      </w:pPr>
      <w:r>
        <w:rPr>
          <w:rFonts w:hint="eastAsia" w:ascii="宋体" w:hAnsi="宋体" w:eastAsia="宋体" w:cs="宋体"/>
          <w:kern w:val="2"/>
          <w:sz w:val="24"/>
          <w:szCs w:val="24"/>
          <w:lang w:val="en-US" w:eastAsia="zh-CN" w:bidi="ar"/>
        </w:rPr>
        <w:t>本期项目主要目标如下：</w:t>
      </w:r>
    </w:p>
    <w:p w14:paraId="134E4537">
      <w:pPr>
        <w:numPr>
          <w:ilvl w:val="0"/>
          <w:numId w:val="3"/>
        </w:numPr>
        <w:spacing w:line="440" w:lineRule="exact"/>
        <w:ind w:firstLine="420"/>
        <w:rPr>
          <w:rFonts w:hint="eastAsia" w:ascii="宋体" w:hAnsi="宋体" w:eastAsia="宋体" w:cs="宋体"/>
          <w:kern w:val="0"/>
          <w:sz w:val="24"/>
          <w:szCs w:val="24"/>
          <w:lang w:bidi="ar"/>
        </w:rPr>
      </w:pPr>
      <w:r>
        <w:rPr>
          <w:rFonts w:hint="eastAsia" w:ascii="宋体" w:hAnsi="宋体" w:eastAsia="宋体" w:cs="宋体"/>
          <w:kern w:val="0"/>
          <w:sz w:val="24"/>
          <w:szCs w:val="24"/>
          <w:lang w:val="en-US" w:eastAsia="zh-CN" w:bidi="ar"/>
        </w:rPr>
        <w:t>覆盖完整CIPS支付清算体系功能，</w:t>
      </w:r>
      <w:r>
        <w:rPr>
          <w:rFonts w:hint="eastAsia" w:ascii="宋体" w:hAnsi="宋体" w:eastAsia="宋体" w:cs="宋体"/>
          <w:kern w:val="0"/>
          <w:sz w:val="24"/>
          <w:lang w:bidi="ar"/>
        </w:rPr>
        <w:t>包括客户汇款、金融机构汇款、非银行支付机构汇款、金融市场业务，以及相关转汇、退汇、查询查复等周边配套服务。</w:t>
      </w:r>
      <w:r>
        <w:rPr>
          <w:rFonts w:hint="eastAsia" w:ascii="宋体" w:hAnsi="宋体" w:eastAsia="宋体" w:cs="宋体"/>
          <w:kern w:val="0"/>
          <w:sz w:val="24"/>
          <w:lang w:val="en-US" w:eastAsia="zh-CN" w:bidi="ar"/>
        </w:rPr>
        <w:t>从系统功能服务上</w:t>
      </w:r>
      <w:r>
        <w:rPr>
          <w:rFonts w:hint="eastAsia" w:ascii="宋体" w:hAnsi="宋体" w:eastAsia="宋体" w:cs="宋体"/>
          <w:kern w:val="0"/>
          <w:sz w:val="24"/>
          <w:lang w:bidi="ar"/>
        </w:rPr>
        <w:t>包括报文处理、支付清算服务、账户管理服务、资讯事务服务、风险控制服务、对账服务、差错处理服务、公共管理服务</w:t>
      </w:r>
      <w:r>
        <w:rPr>
          <w:rFonts w:hint="eastAsia" w:ascii="宋体" w:hAnsi="宋体" w:eastAsia="宋体" w:cs="宋体"/>
          <w:kern w:val="0"/>
          <w:sz w:val="24"/>
          <w:lang w:val="en-US" w:eastAsia="zh-CN" w:bidi="ar"/>
        </w:rPr>
        <w:t>等</w:t>
      </w:r>
      <w:r>
        <w:rPr>
          <w:rFonts w:hint="eastAsia" w:ascii="宋体" w:hAnsi="宋体" w:eastAsia="宋体" w:cs="宋体"/>
          <w:kern w:val="0"/>
          <w:sz w:val="24"/>
          <w:lang w:bidi="ar"/>
        </w:rPr>
        <w:t>。</w:t>
      </w:r>
    </w:p>
    <w:p w14:paraId="2EBCDD36">
      <w:pPr>
        <w:numPr>
          <w:ilvl w:val="0"/>
          <w:numId w:val="3"/>
        </w:numPr>
        <w:spacing w:line="440" w:lineRule="exact"/>
        <w:ind w:firstLine="420"/>
        <w:rPr>
          <w:rFonts w:hint="eastAsia" w:ascii="宋体" w:hAnsi="宋体" w:eastAsia="宋体" w:cs="宋体"/>
          <w:kern w:val="0"/>
          <w:sz w:val="24"/>
          <w:szCs w:val="24"/>
          <w:lang w:bidi="ar"/>
        </w:rPr>
      </w:pPr>
      <w:r>
        <w:rPr>
          <w:rFonts w:hint="eastAsia" w:ascii="宋体" w:hAnsi="宋体" w:eastAsia="宋体" w:cs="宋体"/>
          <w:kern w:val="0"/>
          <w:sz w:val="24"/>
          <w:lang w:val="en-US" w:eastAsia="zh-CN" w:bidi="ar"/>
        </w:rPr>
        <w:t>报文处理完全满足《</w:t>
      </w:r>
      <w:r>
        <w:rPr>
          <w:rFonts w:hint="eastAsia" w:ascii="宋体" w:hAnsi="宋体" w:eastAsia="宋体" w:cs="宋体"/>
          <w:kern w:val="0"/>
          <w:sz w:val="24"/>
          <w:szCs w:val="24"/>
          <w:lang w:bidi="ar"/>
        </w:rPr>
        <w:t>人民币跨境支付系统报文交换标准</w:t>
      </w:r>
      <w:r>
        <w:rPr>
          <w:rFonts w:hint="eastAsia" w:ascii="宋体" w:hAnsi="宋体" w:eastAsia="宋体" w:cs="宋体"/>
          <w:kern w:val="0"/>
          <w:sz w:val="24"/>
          <w:lang w:val="en-US" w:eastAsia="zh-CN" w:bidi="ar"/>
        </w:rPr>
        <w:t>》，支持</w:t>
      </w:r>
      <w:r>
        <w:rPr>
          <w:rFonts w:hint="eastAsia" w:ascii="宋体" w:hAnsi="宋体" w:eastAsia="宋体" w:cs="宋体"/>
          <w:kern w:val="0"/>
          <w:sz w:val="24"/>
          <w:szCs w:val="24"/>
          <w:lang w:bidi="ar"/>
        </w:rPr>
        <w:t>生成、发送和处理CIPS所有类型标准报文。支持</w:t>
      </w:r>
      <w:r>
        <w:rPr>
          <w:rFonts w:hint="eastAsia" w:ascii="宋体" w:hAnsi="宋体" w:eastAsia="宋体" w:cs="宋体"/>
          <w:kern w:val="0"/>
          <w:sz w:val="24"/>
          <w:szCs w:val="24"/>
          <w:lang w:val="en-US" w:eastAsia="zh-CN" w:bidi="ar"/>
        </w:rPr>
        <w:t>与</w:t>
      </w:r>
      <w:r>
        <w:rPr>
          <w:rFonts w:hint="eastAsia" w:ascii="宋体" w:hAnsi="宋体" w:eastAsia="宋体" w:cs="宋体"/>
          <w:kern w:val="0"/>
          <w:sz w:val="24"/>
          <w:szCs w:val="24"/>
          <w:lang w:bidi="ar"/>
        </w:rPr>
        <w:t>业务系统对接，支持组报解析、报文格式校验、报文规则校验、重复报文校验、黑名单筛查、往报路由、通讯发报、报文客制化展示。支持系统收发各种类型的行内以及与间参行、代理行的报文形式，自动匹配报文转换机制，灵活形成各类报文与CIPS报文互转的功能。</w:t>
      </w:r>
    </w:p>
    <w:p w14:paraId="2940E47F">
      <w:pPr>
        <w:numPr>
          <w:ilvl w:val="0"/>
          <w:numId w:val="3"/>
        </w:numPr>
        <w:spacing w:line="440" w:lineRule="exact"/>
        <w:ind w:firstLine="420"/>
        <w:rPr>
          <w:rFonts w:hint="eastAsia" w:ascii="宋体" w:hAnsi="宋体" w:eastAsia="宋体" w:cs="宋体"/>
          <w:kern w:val="0"/>
          <w:sz w:val="24"/>
          <w:szCs w:val="24"/>
          <w:lang w:bidi="ar"/>
        </w:rPr>
      </w:pPr>
      <w:r>
        <w:rPr>
          <w:rFonts w:hint="eastAsia" w:ascii="宋体" w:hAnsi="宋体" w:eastAsia="宋体" w:cs="宋体"/>
          <w:kern w:val="0"/>
          <w:sz w:val="24"/>
          <w:szCs w:val="24"/>
          <w:lang w:bidi="ar"/>
        </w:rPr>
        <w:t>支持报文人工发报，历史数据发报，报文修改、报文复核、报文授权、发送失败处理、发报服务、发报登记簿。</w:t>
      </w:r>
    </w:p>
    <w:p w14:paraId="6E0CC210">
      <w:pPr>
        <w:keepNext w:val="0"/>
        <w:keepLines w:val="0"/>
        <w:numPr>
          <w:ilvl w:val="0"/>
          <w:numId w:val="3"/>
        </w:numPr>
        <w:spacing w:after="0" w:line="440" w:lineRule="exact"/>
        <w:ind w:left="0" w:firstLine="420" w:firstLineChars="0"/>
        <w:rPr>
          <w:rFonts w:hint="eastAsia" w:ascii="宋体" w:hAnsi="宋体" w:eastAsia="宋体" w:cs="宋体"/>
          <w:kern w:val="0"/>
          <w:sz w:val="24"/>
          <w:lang w:bidi="ar"/>
        </w:rPr>
      </w:pPr>
      <w:r>
        <w:rPr>
          <w:rFonts w:hint="eastAsia" w:ascii="宋体" w:hAnsi="宋体" w:eastAsia="宋体" w:cs="宋体"/>
          <w:kern w:val="0"/>
          <w:sz w:val="24"/>
          <w:szCs w:val="24"/>
          <w:lang w:val="en-US" w:eastAsia="zh-CN" w:bidi="ar"/>
        </w:rPr>
        <w:t>全面支持代理清算服务，</w:t>
      </w:r>
      <w:r>
        <w:rPr>
          <w:rFonts w:hint="eastAsia" w:ascii="宋体" w:hAnsi="宋体" w:eastAsia="宋体" w:cs="宋体"/>
          <w:kern w:val="0"/>
          <w:sz w:val="24"/>
          <w:lang w:bidi="ar"/>
        </w:rPr>
        <w:t>支持为境内附属机构及其他间参行提供代理清算模式，包括报文收发、结算清算、对账单下发、账户管理、头寸管理、报文转换。</w:t>
      </w:r>
    </w:p>
    <w:p w14:paraId="6CF10C00">
      <w:pPr>
        <w:numPr>
          <w:ilvl w:val="0"/>
          <w:numId w:val="3"/>
        </w:numPr>
        <w:spacing w:line="440" w:lineRule="exact"/>
        <w:ind w:firstLine="420"/>
        <w:rPr>
          <w:rFonts w:hint="eastAsia" w:ascii="宋体" w:hAnsi="宋体" w:eastAsia="宋体" w:cs="宋体"/>
          <w:kern w:val="0"/>
          <w:sz w:val="24"/>
          <w:lang w:eastAsia="zh-CN" w:bidi="ar"/>
        </w:rPr>
      </w:pPr>
      <w:r>
        <w:rPr>
          <w:rFonts w:hint="eastAsia" w:ascii="宋体" w:hAnsi="宋体" w:eastAsia="宋体" w:cs="宋体"/>
          <w:kern w:val="0"/>
          <w:sz w:val="24"/>
          <w:szCs w:val="24"/>
          <w:lang w:val="en-US" w:eastAsia="zh-CN" w:bidi="ar"/>
        </w:rPr>
        <w:t>涵盖</w:t>
      </w:r>
      <w:r>
        <w:rPr>
          <w:rFonts w:hint="eastAsia" w:ascii="宋体" w:hAnsi="宋体" w:eastAsia="宋体" w:cs="宋体"/>
          <w:kern w:val="0"/>
          <w:sz w:val="24"/>
          <w:szCs w:val="24"/>
          <w:lang w:bidi="ar"/>
        </w:rPr>
        <w:t>头寸管理</w:t>
      </w:r>
      <w:r>
        <w:rPr>
          <w:rFonts w:hint="eastAsia" w:ascii="宋体" w:hAnsi="宋体" w:eastAsia="宋体" w:cs="宋体"/>
          <w:kern w:val="0"/>
          <w:sz w:val="24"/>
          <w:szCs w:val="24"/>
          <w:lang w:eastAsia="zh-CN" w:bidi="ar"/>
        </w:rPr>
        <w:t>，</w:t>
      </w:r>
      <w:r>
        <w:rPr>
          <w:rFonts w:hint="eastAsia" w:ascii="宋体" w:hAnsi="宋体" w:eastAsia="宋体" w:cs="宋体"/>
          <w:kern w:val="0"/>
          <w:sz w:val="24"/>
          <w:szCs w:val="24"/>
          <w:lang w:bidi="ar"/>
        </w:rPr>
        <w:t>包括资金调拨、实时匡算、排队管理（排队业务调整、撤销等）、注资管理/预注资、注资状态查询、资金减额、预注资减额、大额系统接口管理、参与者互助协议、双边净额管理、统计报表、代理行账户等。</w:t>
      </w:r>
    </w:p>
    <w:p w14:paraId="233F46A1">
      <w:pPr>
        <w:numPr>
          <w:ilvl w:val="0"/>
          <w:numId w:val="3"/>
        </w:numPr>
        <w:spacing w:line="440" w:lineRule="exact"/>
        <w:ind w:firstLine="420"/>
        <w:rPr>
          <w:rFonts w:hint="eastAsia" w:ascii="宋体" w:hAnsi="宋体" w:eastAsia="宋体" w:cs="宋体"/>
          <w:kern w:val="0"/>
          <w:sz w:val="24"/>
          <w:lang w:val="en-US" w:eastAsia="zh-CN" w:bidi="ar"/>
        </w:rPr>
      </w:pPr>
      <w:r>
        <w:rPr>
          <w:rFonts w:hint="eastAsia" w:ascii="宋体" w:hAnsi="宋体" w:eastAsia="宋体" w:cs="宋体"/>
          <w:kern w:val="0"/>
          <w:sz w:val="24"/>
          <w:szCs w:val="24"/>
          <w:lang w:val="en-US" w:eastAsia="zh-CN" w:bidi="ar"/>
        </w:rPr>
        <w:t>涵盖</w:t>
      </w:r>
      <w:r>
        <w:rPr>
          <w:rFonts w:hint="eastAsia" w:ascii="宋体" w:hAnsi="宋体" w:eastAsia="宋体" w:cs="宋体"/>
          <w:kern w:val="0"/>
          <w:sz w:val="24"/>
          <w:szCs w:val="24"/>
          <w:lang w:bidi="ar"/>
        </w:rPr>
        <w:t>账户管理服务</w:t>
      </w:r>
      <w:r>
        <w:rPr>
          <w:rFonts w:hint="eastAsia" w:ascii="宋体" w:hAnsi="宋体" w:eastAsia="宋体" w:cs="宋体"/>
          <w:kern w:val="0"/>
          <w:sz w:val="24"/>
          <w:szCs w:val="24"/>
          <w:lang w:eastAsia="zh-CN" w:bidi="ar"/>
        </w:rPr>
        <w:t>，</w:t>
      </w:r>
      <w:r>
        <w:rPr>
          <w:rFonts w:hint="eastAsia" w:ascii="宋体" w:hAnsi="宋体" w:eastAsia="宋体" w:cs="宋体"/>
          <w:kern w:val="0"/>
          <w:sz w:val="24"/>
          <w:szCs w:val="24"/>
          <w:lang w:val="en-US" w:eastAsia="zh-CN" w:bidi="ar"/>
        </w:rPr>
        <w:t>为境外直接参与机构提供资金托管服务；</w:t>
      </w:r>
      <w:r>
        <w:rPr>
          <w:rFonts w:hint="eastAsia" w:ascii="宋体" w:hAnsi="宋体" w:eastAsia="宋体" w:cs="宋体"/>
          <w:kern w:val="0"/>
          <w:sz w:val="24"/>
          <w:szCs w:val="24"/>
          <w:lang w:bidi="ar"/>
        </w:rPr>
        <w:t>账户信息通知和查询</w:t>
      </w:r>
      <w:r>
        <w:rPr>
          <w:rFonts w:hint="eastAsia" w:ascii="宋体" w:hAnsi="宋体" w:eastAsia="宋体" w:cs="宋体"/>
          <w:kern w:val="0"/>
          <w:sz w:val="24"/>
          <w:szCs w:val="24"/>
          <w:lang w:eastAsia="zh-CN" w:bidi="ar"/>
        </w:rPr>
        <w:t>，</w:t>
      </w:r>
      <w:r>
        <w:rPr>
          <w:rFonts w:hint="eastAsia" w:ascii="宋体" w:hAnsi="宋体" w:eastAsia="宋体" w:cs="宋体"/>
          <w:kern w:val="0"/>
          <w:sz w:val="24"/>
          <w:szCs w:val="24"/>
          <w:lang w:bidi="ar"/>
        </w:rPr>
        <w:t>账户集中可视化</w:t>
      </w:r>
      <w:r>
        <w:rPr>
          <w:rFonts w:hint="eastAsia" w:ascii="宋体" w:hAnsi="宋体" w:eastAsia="宋体" w:cs="宋体"/>
          <w:kern w:val="0"/>
          <w:sz w:val="24"/>
          <w:szCs w:val="24"/>
          <w:lang w:val="en-US" w:eastAsia="zh-CN" w:bidi="ar"/>
        </w:rPr>
        <w:t>等。</w:t>
      </w:r>
    </w:p>
    <w:p w14:paraId="22A717CA">
      <w:pPr>
        <w:keepNext w:val="0"/>
        <w:keepLines w:val="0"/>
        <w:numPr>
          <w:ilvl w:val="0"/>
          <w:numId w:val="3"/>
        </w:numPr>
        <w:spacing w:after="0" w:line="440" w:lineRule="exact"/>
        <w:ind w:left="0" w:firstLine="420" w:firstLineChars="0"/>
        <w:rPr>
          <w:rFonts w:hint="eastAsia" w:ascii="宋体" w:hAnsi="宋体" w:eastAsia="宋体" w:cs="宋体"/>
          <w:kern w:val="0"/>
          <w:sz w:val="24"/>
          <w:lang w:bidi="ar"/>
        </w:rPr>
      </w:pPr>
      <w:r>
        <w:rPr>
          <w:rFonts w:hint="eastAsia" w:ascii="宋体" w:hAnsi="宋体" w:eastAsia="宋体" w:cs="宋体"/>
          <w:kern w:val="0"/>
          <w:sz w:val="24"/>
          <w:szCs w:val="24"/>
          <w:lang w:val="en-US" w:eastAsia="zh-CN" w:bidi="ar"/>
        </w:rPr>
        <w:t>涵盖</w:t>
      </w:r>
      <w:r>
        <w:rPr>
          <w:rFonts w:hint="eastAsia" w:ascii="宋体" w:hAnsi="宋体" w:eastAsia="宋体" w:cs="宋体"/>
          <w:kern w:val="0"/>
          <w:sz w:val="24"/>
          <w:szCs w:val="24"/>
          <w:lang w:bidi="ar"/>
        </w:rPr>
        <w:t>数据</w:t>
      </w:r>
      <w:r>
        <w:rPr>
          <w:rFonts w:hint="eastAsia" w:ascii="宋体" w:hAnsi="宋体" w:eastAsia="宋体" w:cs="宋体"/>
          <w:kern w:val="0"/>
          <w:sz w:val="24"/>
          <w:szCs w:val="24"/>
          <w:lang w:val="en-US" w:eastAsia="zh-CN" w:bidi="ar"/>
        </w:rPr>
        <w:t>查询统计</w:t>
      </w:r>
      <w:r>
        <w:rPr>
          <w:rFonts w:hint="eastAsia" w:ascii="宋体" w:hAnsi="宋体" w:eastAsia="宋体" w:cs="宋体"/>
          <w:kern w:val="0"/>
          <w:sz w:val="24"/>
          <w:szCs w:val="24"/>
          <w:lang w:eastAsia="zh-CN" w:bidi="ar"/>
        </w:rPr>
        <w:t>，</w:t>
      </w:r>
      <w:r>
        <w:rPr>
          <w:rFonts w:hint="eastAsia" w:ascii="宋体" w:hAnsi="宋体" w:eastAsia="宋体" w:cs="宋体"/>
          <w:kern w:val="0"/>
          <w:sz w:val="24"/>
          <w:szCs w:val="24"/>
          <w:lang w:bidi="ar"/>
        </w:rPr>
        <w:t>可视化方式快捷查询本机构及其代理行三类业务统计：收付汇、查询查复、退汇。可视化方式展示参与者运营自身运营数据：如时间段、查国际/地区、业务类型、来往账。</w:t>
      </w:r>
    </w:p>
    <w:p w14:paraId="1D6AE771">
      <w:pPr>
        <w:keepNext w:val="0"/>
        <w:keepLines w:val="0"/>
        <w:numPr>
          <w:ilvl w:val="0"/>
          <w:numId w:val="3"/>
        </w:numPr>
        <w:spacing w:after="0" w:line="440" w:lineRule="exact"/>
        <w:ind w:left="0" w:firstLine="420" w:firstLineChars="0"/>
        <w:rPr>
          <w:rFonts w:hint="eastAsia" w:ascii="宋体" w:hAnsi="宋体" w:eastAsia="宋体" w:cs="宋体"/>
          <w:kern w:val="0"/>
          <w:sz w:val="24"/>
          <w:szCs w:val="24"/>
          <w:lang w:bidi="ar"/>
        </w:rPr>
      </w:pPr>
      <w:r>
        <w:rPr>
          <w:rFonts w:hint="eastAsia" w:ascii="宋体" w:hAnsi="宋体" w:eastAsia="宋体" w:cs="宋体"/>
          <w:kern w:val="0"/>
          <w:sz w:val="24"/>
          <w:szCs w:val="24"/>
          <w:lang w:val="en-US" w:eastAsia="zh-CN" w:bidi="ar"/>
        </w:rPr>
        <w:t>涵盖</w:t>
      </w:r>
      <w:r>
        <w:rPr>
          <w:rFonts w:hint="eastAsia" w:ascii="宋体" w:hAnsi="宋体" w:eastAsia="宋体" w:cs="宋体"/>
          <w:kern w:val="0"/>
          <w:sz w:val="24"/>
          <w:szCs w:val="24"/>
          <w:lang w:bidi="ar"/>
        </w:rPr>
        <w:t>风险控制服务</w:t>
      </w:r>
      <w:r>
        <w:rPr>
          <w:rFonts w:hint="eastAsia" w:ascii="宋体" w:hAnsi="宋体" w:eastAsia="宋体" w:cs="宋体"/>
          <w:kern w:val="0"/>
          <w:sz w:val="24"/>
          <w:szCs w:val="24"/>
          <w:lang w:eastAsia="zh-CN" w:bidi="ar"/>
        </w:rPr>
        <w:t>，</w:t>
      </w:r>
      <w:r>
        <w:rPr>
          <w:rFonts w:hint="eastAsia" w:ascii="宋体" w:hAnsi="宋体" w:eastAsia="宋体" w:cs="宋体"/>
          <w:kern w:val="0"/>
          <w:sz w:val="24"/>
          <w:szCs w:val="24"/>
          <w:lang w:bidi="ar"/>
        </w:rPr>
        <w:t>包括预警余额设置、余额告警通知、缺款通知等</w:t>
      </w:r>
      <w:r>
        <w:rPr>
          <w:rFonts w:hint="eastAsia" w:ascii="宋体" w:hAnsi="宋体" w:eastAsia="宋体" w:cs="宋体"/>
          <w:kern w:val="0"/>
          <w:sz w:val="24"/>
          <w:szCs w:val="24"/>
          <w:lang w:val="en-US" w:eastAsia="zh-CN" w:bidi="ar"/>
        </w:rPr>
        <w:t>预警服务；</w:t>
      </w:r>
      <w:r>
        <w:rPr>
          <w:rFonts w:hint="eastAsia" w:ascii="宋体" w:hAnsi="宋体" w:eastAsia="宋体" w:cs="宋体"/>
          <w:kern w:val="0"/>
          <w:sz w:val="24"/>
          <w:szCs w:val="24"/>
          <w:lang w:bidi="ar"/>
        </w:rPr>
        <w:t>支持重复交易自动筛查校验，包括对同一交易主体在参数化时段内发起的向同一收款方支付同一金额的业务进行重复性检查等。</w:t>
      </w:r>
    </w:p>
    <w:p w14:paraId="7167EE40">
      <w:pPr>
        <w:keepNext w:val="0"/>
        <w:keepLines w:val="0"/>
        <w:numPr>
          <w:ilvl w:val="0"/>
          <w:numId w:val="3"/>
        </w:numPr>
        <w:spacing w:after="0" w:line="440" w:lineRule="exact"/>
        <w:ind w:left="0" w:firstLine="420" w:firstLineChars="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涵盖</w:t>
      </w:r>
      <w:r>
        <w:rPr>
          <w:rFonts w:hint="eastAsia" w:ascii="宋体" w:hAnsi="宋体" w:eastAsia="宋体" w:cs="宋体"/>
          <w:kern w:val="0"/>
          <w:sz w:val="24"/>
          <w:szCs w:val="24"/>
          <w:lang w:bidi="ar"/>
        </w:rPr>
        <w:t>对账管理</w:t>
      </w:r>
      <w:r>
        <w:rPr>
          <w:rFonts w:hint="eastAsia" w:ascii="宋体" w:hAnsi="宋体" w:eastAsia="宋体" w:cs="宋体"/>
          <w:kern w:val="0"/>
          <w:sz w:val="24"/>
          <w:szCs w:val="24"/>
          <w:lang w:val="en-US" w:eastAsia="zh-CN" w:bidi="ar"/>
        </w:rPr>
        <w:t>服务</w:t>
      </w:r>
      <w:r>
        <w:rPr>
          <w:rFonts w:hint="eastAsia" w:ascii="宋体" w:hAnsi="宋体" w:eastAsia="宋体" w:cs="宋体"/>
          <w:kern w:val="0"/>
          <w:sz w:val="24"/>
          <w:szCs w:val="24"/>
          <w:lang w:eastAsia="zh-CN" w:bidi="ar"/>
        </w:rPr>
        <w:t>，</w:t>
      </w:r>
      <w:r>
        <w:rPr>
          <w:rFonts w:hint="eastAsia" w:ascii="宋体" w:hAnsi="宋体" w:eastAsia="宋体" w:cs="宋体"/>
          <w:kern w:val="0"/>
          <w:sz w:val="24"/>
          <w:szCs w:val="24"/>
          <w:lang w:bidi="ar"/>
        </w:rPr>
        <w:t>包括</w:t>
      </w:r>
      <w:r>
        <w:rPr>
          <w:rFonts w:hint="eastAsia" w:ascii="宋体" w:hAnsi="宋体" w:eastAsia="宋体" w:cs="宋体"/>
          <w:kern w:val="0"/>
          <w:sz w:val="24"/>
          <w:szCs w:val="24"/>
          <w:lang w:val="en-US" w:eastAsia="zh-CN" w:bidi="ar"/>
        </w:rPr>
        <w:t>本系统</w:t>
      </w:r>
      <w:r>
        <w:rPr>
          <w:rFonts w:hint="eastAsia" w:ascii="宋体" w:hAnsi="宋体" w:eastAsia="宋体" w:cs="宋体"/>
          <w:kern w:val="0"/>
          <w:sz w:val="24"/>
          <w:szCs w:val="24"/>
          <w:lang w:bidi="ar"/>
        </w:rPr>
        <w:t>与CIPS对账，</w:t>
      </w:r>
      <w:r>
        <w:rPr>
          <w:rFonts w:hint="eastAsia" w:ascii="宋体" w:hAnsi="宋体" w:eastAsia="宋体" w:cs="宋体"/>
          <w:kern w:val="0"/>
          <w:sz w:val="24"/>
          <w:szCs w:val="24"/>
          <w:lang w:val="en-US" w:eastAsia="zh-CN" w:bidi="ar"/>
        </w:rPr>
        <w:t>本系统</w:t>
      </w:r>
      <w:r>
        <w:rPr>
          <w:rFonts w:hint="eastAsia" w:ascii="宋体" w:hAnsi="宋体" w:eastAsia="宋体" w:cs="宋体"/>
          <w:kern w:val="0"/>
          <w:sz w:val="24"/>
          <w:szCs w:val="24"/>
          <w:lang w:bidi="ar"/>
        </w:rPr>
        <w:t>与行内</w:t>
      </w:r>
      <w:r>
        <w:rPr>
          <w:rFonts w:hint="eastAsia" w:ascii="宋体" w:hAnsi="宋体" w:eastAsia="宋体" w:cs="宋体"/>
          <w:kern w:val="0"/>
          <w:sz w:val="24"/>
          <w:szCs w:val="24"/>
          <w:lang w:val="en-US" w:eastAsia="zh-CN" w:bidi="ar"/>
        </w:rPr>
        <w:t>业务</w:t>
      </w:r>
      <w:r>
        <w:rPr>
          <w:rFonts w:hint="eastAsia" w:ascii="宋体" w:hAnsi="宋体" w:eastAsia="宋体" w:cs="宋体"/>
          <w:kern w:val="0"/>
          <w:sz w:val="24"/>
          <w:szCs w:val="24"/>
          <w:lang w:bidi="ar"/>
        </w:rPr>
        <w:t>系统对账，直参行与间参行对账</w:t>
      </w:r>
      <w:r>
        <w:rPr>
          <w:rFonts w:hint="eastAsia" w:ascii="宋体" w:hAnsi="宋体" w:eastAsia="宋体" w:cs="宋体"/>
          <w:kern w:val="0"/>
          <w:sz w:val="24"/>
          <w:szCs w:val="24"/>
          <w:lang w:eastAsia="zh-CN" w:bidi="ar"/>
        </w:rPr>
        <w:t>；</w:t>
      </w:r>
      <w:r>
        <w:rPr>
          <w:rFonts w:hint="eastAsia" w:ascii="宋体" w:hAnsi="宋体" w:eastAsia="宋体" w:cs="宋体"/>
          <w:kern w:val="0"/>
          <w:sz w:val="24"/>
          <w:szCs w:val="24"/>
          <w:lang w:bidi="ar"/>
        </w:rPr>
        <w:t>支持对账配置、对账单下发、对账单明细下载、汇总核对、明细核对、资金调整核对、业务对账申请、跨境业务核对、计费清单、扣费通知、原报文下载等。</w:t>
      </w:r>
    </w:p>
    <w:p w14:paraId="16684109">
      <w:pPr>
        <w:keepNext w:val="0"/>
        <w:keepLines w:val="0"/>
        <w:numPr>
          <w:ilvl w:val="0"/>
          <w:numId w:val="3"/>
        </w:numPr>
        <w:spacing w:after="0" w:line="440" w:lineRule="exact"/>
        <w:ind w:left="0" w:firstLine="420" w:firstLineChars="0"/>
        <w:rPr>
          <w:rFonts w:hint="eastAsia" w:ascii="宋体" w:hAnsi="宋体" w:eastAsia="宋体" w:cs="宋体"/>
          <w:kern w:val="0"/>
          <w:sz w:val="24"/>
          <w:szCs w:val="24"/>
          <w:lang w:eastAsia="zh-CN" w:bidi="ar"/>
        </w:rPr>
      </w:pPr>
      <w:r>
        <w:rPr>
          <w:rFonts w:hint="eastAsia" w:ascii="宋体" w:hAnsi="宋体" w:eastAsia="宋体" w:cs="宋体"/>
          <w:kern w:val="0"/>
          <w:sz w:val="24"/>
          <w:szCs w:val="24"/>
          <w:lang w:val="en-US" w:eastAsia="zh-CN" w:bidi="ar"/>
        </w:rPr>
        <w:t>涵盖</w:t>
      </w:r>
      <w:r>
        <w:rPr>
          <w:rFonts w:hint="eastAsia" w:ascii="宋体" w:hAnsi="宋体" w:eastAsia="宋体" w:cs="宋体"/>
          <w:kern w:val="0"/>
          <w:sz w:val="24"/>
          <w:szCs w:val="24"/>
          <w:lang w:bidi="ar"/>
        </w:rPr>
        <w:t>运营管理</w:t>
      </w:r>
      <w:r>
        <w:rPr>
          <w:rFonts w:hint="eastAsia" w:ascii="宋体" w:hAnsi="宋体" w:eastAsia="宋体" w:cs="宋体"/>
          <w:kern w:val="0"/>
          <w:sz w:val="24"/>
          <w:szCs w:val="24"/>
          <w:lang w:val="en-US" w:eastAsia="zh-CN" w:bidi="ar"/>
        </w:rPr>
        <w:t>服务</w:t>
      </w:r>
      <w:r>
        <w:rPr>
          <w:rFonts w:hint="eastAsia" w:ascii="宋体" w:hAnsi="宋体" w:eastAsia="宋体" w:cs="宋体"/>
          <w:kern w:val="0"/>
          <w:sz w:val="24"/>
          <w:szCs w:val="24"/>
          <w:lang w:eastAsia="zh-CN" w:bidi="ar"/>
        </w:rPr>
        <w:t>，</w:t>
      </w:r>
      <w:r>
        <w:rPr>
          <w:rFonts w:hint="eastAsia" w:ascii="宋体" w:hAnsi="宋体" w:eastAsia="宋体" w:cs="宋体"/>
          <w:kern w:val="0"/>
          <w:sz w:val="24"/>
          <w:szCs w:val="24"/>
          <w:lang w:bidi="ar"/>
        </w:rPr>
        <w:t>支持CIPS签入/签退、CIPS状态实时监控、系统负载状态监控、业务监控、参数管理、系统权限管理（业务查看权限、总分权限等）、业务权限管理（经办权限、复核权限、授权权限）、计费管理。</w:t>
      </w:r>
    </w:p>
    <w:p w14:paraId="7DA68CE6">
      <w:pPr>
        <w:keepNext w:val="0"/>
        <w:keepLines w:val="0"/>
        <w:numPr>
          <w:ilvl w:val="0"/>
          <w:numId w:val="3"/>
        </w:numPr>
        <w:spacing w:after="0" w:line="440" w:lineRule="exact"/>
        <w:ind w:left="0" w:firstLine="420" w:firstLineChars="0"/>
        <w:rPr>
          <w:rFonts w:hint="eastAsia" w:ascii="宋体" w:hAnsi="宋体" w:eastAsia="宋体" w:cs="宋体"/>
          <w:kern w:val="0"/>
          <w:sz w:val="24"/>
          <w:lang w:bidi="ar"/>
        </w:rPr>
      </w:pPr>
      <w:r>
        <w:rPr>
          <w:rFonts w:hint="eastAsia" w:ascii="宋体" w:hAnsi="宋体" w:eastAsia="宋体" w:cs="宋体"/>
          <w:kern w:val="0"/>
          <w:sz w:val="24"/>
          <w:szCs w:val="24"/>
          <w:lang w:val="en-US" w:eastAsia="zh-CN" w:bidi="ar"/>
        </w:rPr>
        <w:t>与行内关联系统集成，支持</w:t>
      </w:r>
      <w:r>
        <w:rPr>
          <w:rFonts w:hint="eastAsia" w:ascii="宋体" w:hAnsi="宋体" w:eastAsia="宋体" w:cs="宋体"/>
          <w:kern w:val="0"/>
          <w:sz w:val="24"/>
          <w:lang w:val="en-US" w:eastAsia="zh-CN" w:bidi="ar"/>
        </w:rPr>
        <w:t>三个实体CIPS业务需求处理流程差异化处理，针对不同实体不同的汇出、汇入、转汇等业务处理模式进行适配</w:t>
      </w:r>
      <w:r>
        <w:rPr>
          <w:rFonts w:hint="eastAsia" w:ascii="宋体" w:hAnsi="宋体" w:eastAsia="宋体" w:cs="宋体"/>
          <w:kern w:val="0"/>
          <w:sz w:val="24"/>
          <w:lang w:bidi="ar"/>
        </w:rPr>
        <w:t>。</w:t>
      </w:r>
    </w:p>
    <w:p w14:paraId="6D7A7345">
      <w:pPr>
        <w:keepNext w:val="0"/>
        <w:keepLines w:val="0"/>
        <w:widowControl/>
        <w:suppressLineNumbers w:val="0"/>
        <w:spacing w:before="0" w:beforeAutospacing="0" w:after="0" w:afterAutospacing="0" w:line="440" w:lineRule="exact"/>
        <w:ind w:left="0" w:right="0" w:firstLine="480" w:firstLineChars="200"/>
        <w:jc w:val="both"/>
        <w:rPr>
          <w:rFonts w:hint="eastAsia" w:ascii="宋体" w:hAnsi="宋体" w:eastAsia="宋体" w:cs="宋体"/>
          <w:sz w:val="24"/>
        </w:rPr>
      </w:pPr>
      <w:r>
        <w:rPr>
          <w:rFonts w:hint="eastAsia" w:ascii="宋体" w:hAnsi="宋体" w:eastAsia="宋体" w:cs="宋体"/>
          <w:kern w:val="2"/>
          <w:sz w:val="24"/>
          <w:szCs w:val="24"/>
          <w:lang w:val="en-US" w:eastAsia="zh-CN" w:bidi="ar"/>
        </w:rPr>
        <w:t>项目合作以总包形式开展，按照项目目标完成软件研发实施，根据项目各阶段完成情况据实结算。</w:t>
      </w:r>
    </w:p>
    <w:p w14:paraId="2BB18DF7">
      <w:pPr>
        <w:keepNext w:val="0"/>
        <w:keepLines w:val="0"/>
        <w:widowControl/>
        <w:suppressLineNumbers w:val="0"/>
        <w:spacing w:before="0" w:beforeAutospacing="0" w:after="0" w:afterAutospacing="0" w:line="440" w:lineRule="exact"/>
        <w:ind w:left="0" w:right="0" w:firstLine="480" w:firstLineChars="200"/>
        <w:jc w:val="both"/>
        <w:rPr>
          <w:rFonts w:hint="eastAsia" w:ascii="宋体" w:hAnsi="宋体" w:eastAsia="宋体" w:cs="宋体"/>
          <w:sz w:val="24"/>
        </w:rPr>
      </w:pPr>
      <w:r>
        <w:rPr>
          <w:rFonts w:hint="eastAsia" w:ascii="宋体" w:hAnsi="宋体" w:eastAsia="宋体" w:cs="宋体"/>
          <w:kern w:val="2"/>
          <w:sz w:val="24"/>
          <w:szCs w:val="24"/>
          <w:lang w:val="en-US" w:eastAsia="zh-CN" w:bidi="ar"/>
        </w:rPr>
        <w:t>项目工作地点为福建省厦门市。</w:t>
      </w:r>
    </w:p>
    <w:p w14:paraId="2AB21598">
      <w:pPr>
        <w:keepNext w:val="0"/>
        <w:keepLines w:val="0"/>
        <w:widowControl/>
        <w:numPr>
          <w:ilvl w:val="-1"/>
          <w:numId w:val="0"/>
        </w:numPr>
        <w:suppressLineNumbers w:val="0"/>
        <w:spacing w:before="0" w:beforeAutospacing="0" w:after="0" w:afterAutospacing="0" w:line="440" w:lineRule="exact"/>
        <w:ind w:left="567" w:right="0" w:firstLine="71" w:firstLineChars="0"/>
        <w:jc w:val="left"/>
        <w:outlineLvl w:val="1"/>
        <w:rPr>
          <w:rFonts w:hint="eastAsia" w:ascii="宋体" w:hAnsi="宋体" w:eastAsia="宋体" w:cs="宋体"/>
          <w:b/>
          <w:bCs/>
          <w:sz w:val="24"/>
          <w:lang w:val="en-US" w:bidi="ar"/>
        </w:rPr>
      </w:pPr>
      <w:r>
        <w:rPr>
          <w:rFonts w:hint="eastAsia" w:ascii="宋体" w:hAnsi="宋体" w:eastAsia="宋体" w:cs="宋体"/>
          <w:b/>
          <w:bCs/>
          <w:kern w:val="2"/>
          <w:sz w:val="24"/>
          <w:szCs w:val="24"/>
          <w:lang w:val="en-US" w:eastAsia="zh-CN" w:bidi="ar"/>
        </w:rPr>
        <w:t>2. </w:t>
      </w:r>
      <w:r>
        <w:rPr>
          <w:rFonts w:hint="eastAsia" w:ascii="宋体" w:hAnsi="宋体" w:eastAsia="宋体" w:cs="宋体"/>
          <w:b/>
          <w:bCs w:val="0"/>
          <w:kern w:val="2"/>
          <w:sz w:val="24"/>
          <w:szCs w:val="24"/>
          <w:lang w:val="en-US" w:eastAsia="zh-CN" w:bidi="ar"/>
        </w:rPr>
        <w:t>技术要求</w:t>
      </w:r>
    </w:p>
    <w:p w14:paraId="7CF7718B">
      <w:pPr>
        <w:keepNext w:val="0"/>
        <w:keepLines w:val="0"/>
        <w:widowControl/>
        <w:spacing w:after="0" w:line="440" w:lineRule="exact"/>
        <w:ind w:left="0" w:firstLine="480" w:firstLineChars="200"/>
        <w:rPr>
          <w:rFonts w:hint="eastAsia" w:ascii="宋体" w:hAnsi="宋体" w:eastAsia="宋体" w:cs="宋体"/>
          <w:sz w:val="24"/>
          <w:lang w:bidi="ar"/>
        </w:rPr>
      </w:pPr>
      <w:r>
        <w:rPr>
          <w:rFonts w:hint="eastAsia" w:ascii="宋体" w:hAnsi="宋体" w:eastAsia="宋体" w:cs="宋体"/>
          <w:kern w:val="2"/>
          <w:sz w:val="24"/>
          <w:szCs w:val="24"/>
          <w:lang w:val="en-US" w:eastAsia="zh-CN" w:bidi="ar"/>
        </w:rPr>
        <w:t>2.1.</w:t>
      </w:r>
      <w:r>
        <w:rPr>
          <w:rFonts w:hint="eastAsia" w:ascii="宋体" w:hAnsi="宋体" w:eastAsia="宋体" w:cs="宋体"/>
          <w:sz w:val="24"/>
          <w:lang w:bidi="ar"/>
        </w:rPr>
        <w:t>相关系统应用架构具备合理性和先进性</w:t>
      </w:r>
      <w:r>
        <w:rPr>
          <w:rFonts w:hint="eastAsia" w:ascii="宋体" w:hAnsi="宋体" w:eastAsia="宋体" w:cs="宋体"/>
          <w:sz w:val="24"/>
          <w:lang w:eastAsia="zh-CN" w:bidi="ar"/>
        </w:rPr>
        <w:t>，</w:t>
      </w:r>
      <w:r>
        <w:rPr>
          <w:rFonts w:hint="eastAsia" w:ascii="宋体" w:hAnsi="宋体" w:eastAsia="宋体" w:cs="宋体"/>
          <w:sz w:val="24"/>
          <w:lang w:bidi="ar"/>
        </w:rPr>
        <w:t>模块或组件划分合理。</w:t>
      </w:r>
    </w:p>
    <w:p w14:paraId="4452A56D">
      <w:pPr>
        <w:keepNext w:val="0"/>
        <w:keepLines w:val="0"/>
        <w:widowControl/>
        <w:spacing w:after="0" w:line="440" w:lineRule="exact"/>
        <w:ind w:left="0" w:firstLine="480" w:firstLineChars="200"/>
        <w:rPr>
          <w:rFonts w:hint="eastAsia" w:ascii="宋体" w:hAnsi="宋体" w:eastAsia="宋体" w:cs="宋体"/>
          <w:sz w:val="24"/>
          <w:lang w:bidi="ar"/>
        </w:rPr>
      </w:pPr>
      <w:r>
        <w:rPr>
          <w:rFonts w:hint="eastAsia" w:ascii="宋体" w:hAnsi="宋体" w:eastAsia="宋体" w:cs="宋体"/>
          <w:kern w:val="2"/>
          <w:sz w:val="24"/>
          <w:szCs w:val="24"/>
          <w:lang w:val="en-US" w:eastAsia="zh-CN" w:bidi="ar"/>
        </w:rPr>
        <w:t>2.2.</w:t>
      </w:r>
      <w:r>
        <w:rPr>
          <w:rFonts w:hint="eastAsia" w:ascii="Times New Roman" w:hAnsi="Times New Roman"/>
          <w:sz w:val="24"/>
          <w:lang w:val="en-US" w:eastAsia="zh-CN"/>
        </w:rPr>
        <w:t>产品需满足在国产化基础设施环境中进行部署实施和应用，包括但不限于服务器、操作系统、数据库、中间件、终端电脑、浏览器等，</w:t>
      </w:r>
      <w:r>
        <w:rPr>
          <w:rFonts w:hint="eastAsia" w:ascii="宋体" w:hAnsi="宋体" w:eastAsia="宋体" w:cs="宋体"/>
          <w:kern w:val="2"/>
          <w:sz w:val="24"/>
          <w:szCs w:val="24"/>
          <w:lang w:val="en-US" w:eastAsia="zh-CN" w:bidi="ar"/>
        </w:rPr>
        <w:t>支持采用CIPS公司信创化中间件版本CFMQ</w:t>
      </w:r>
      <w:r>
        <w:rPr>
          <w:rFonts w:hint="eastAsia" w:ascii="宋体" w:hAnsi="宋体" w:eastAsia="宋体" w:cs="宋体"/>
          <w:sz w:val="24"/>
          <w:lang w:bidi="ar"/>
        </w:rPr>
        <w:t>。</w:t>
      </w:r>
    </w:p>
    <w:p w14:paraId="4C0CA47B">
      <w:pPr>
        <w:keepNext w:val="0"/>
        <w:keepLines w:val="0"/>
        <w:widowControl/>
        <w:spacing w:after="0" w:line="440" w:lineRule="exact"/>
        <w:ind w:left="0" w:firstLine="480" w:firstLineChars="200"/>
        <w:rPr>
          <w:rFonts w:hint="eastAsia" w:ascii="宋体" w:hAnsi="宋体" w:eastAsia="宋体" w:cs="宋体"/>
          <w:sz w:val="24"/>
          <w:lang w:bidi="ar"/>
        </w:rPr>
      </w:pPr>
      <w:r>
        <w:rPr>
          <w:rFonts w:hint="eastAsia" w:ascii="宋体" w:hAnsi="宋体" w:eastAsia="宋体" w:cs="宋体"/>
          <w:kern w:val="2"/>
          <w:sz w:val="24"/>
          <w:szCs w:val="24"/>
          <w:lang w:val="en-US" w:eastAsia="zh-CN" w:bidi="ar"/>
        </w:rPr>
        <w:t>2.3.</w:t>
      </w:r>
      <w:r>
        <w:rPr>
          <w:rFonts w:hint="eastAsia" w:ascii="宋体" w:hAnsi="宋体" w:eastAsia="宋体" w:cs="宋体"/>
          <w:sz w:val="24"/>
          <w:lang w:bidi="ar"/>
        </w:rPr>
        <w:t>系统在设计与实施过程中全面</w:t>
      </w:r>
      <w:r>
        <w:rPr>
          <w:rFonts w:hint="eastAsia" w:ascii="宋体" w:hAnsi="宋体" w:eastAsia="宋体" w:cs="宋体"/>
          <w:sz w:val="24"/>
          <w:lang w:val="en-US" w:eastAsia="zh-CN" w:bidi="ar"/>
        </w:rPr>
        <w:t>按</w:t>
      </w:r>
      <w:r>
        <w:rPr>
          <w:rFonts w:hint="eastAsia" w:ascii="宋体" w:hAnsi="宋体" w:eastAsia="宋体" w:cs="宋体"/>
          <w:sz w:val="24"/>
          <w:lang w:bidi="ar"/>
        </w:rPr>
        <w:t>我行数据标准化要求、元数据管理要求、数据模型管理要求</w:t>
      </w:r>
      <w:r>
        <w:rPr>
          <w:rFonts w:hint="eastAsia" w:ascii="宋体" w:hAnsi="宋体" w:eastAsia="宋体" w:cs="宋体"/>
          <w:sz w:val="24"/>
          <w:lang w:val="en-US" w:eastAsia="zh-CN" w:bidi="ar"/>
        </w:rPr>
        <w:t>执行</w:t>
      </w:r>
      <w:r>
        <w:rPr>
          <w:rFonts w:hint="eastAsia" w:ascii="宋体" w:hAnsi="宋体" w:eastAsia="宋体" w:cs="宋体"/>
          <w:sz w:val="24"/>
          <w:lang w:bidi="ar"/>
        </w:rPr>
        <w:t>。</w:t>
      </w:r>
    </w:p>
    <w:p w14:paraId="7A3D4517">
      <w:pPr>
        <w:keepNext w:val="0"/>
        <w:keepLines w:val="0"/>
        <w:widowControl/>
        <w:spacing w:after="0" w:line="440" w:lineRule="exact"/>
        <w:ind w:left="0" w:firstLine="480" w:firstLineChars="200"/>
        <w:rPr>
          <w:rFonts w:hint="eastAsia" w:ascii="宋体" w:hAnsi="宋体" w:eastAsia="宋体" w:cs="宋体"/>
          <w:sz w:val="24"/>
          <w:lang w:bidi="ar"/>
        </w:rPr>
      </w:pPr>
      <w:r>
        <w:rPr>
          <w:rFonts w:hint="eastAsia" w:ascii="宋体" w:hAnsi="宋体" w:eastAsia="宋体" w:cs="宋体"/>
          <w:kern w:val="2"/>
          <w:sz w:val="24"/>
          <w:szCs w:val="24"/>
          <w:lang w:val="en-US" w:eastAsia="zh-CN" w:bidi="ar"/>
        </w:rPr>
        <w:t>2.4.</w:t>
      </w:r>
      <w:r>
        <w:rPr>
          <w:rFonts w:hint="eastAsia" w:ascii="Times New Roman" w:hAnsi="Times New Roman"/>
          <w:sz w:val="24"/>
          <w:lang w:val="en-US" w:eastAsia="zh-CN"/>
        </w:rPr>
        <w:t>支持我行腾讯私有云部署和相关云组件应用，支持</w:t>
      </w:r>
      <w:r>
        <w:rPr>
          <w:rFonts w:hint="eastAsia" w:ascii="宋体" w:hAnsi="宋体" w:eastAsia="宋体" w:cs="宋体"/>
          <w:b w:val="0"/>
          <w:bCs w:val="0"/>
          <w:i w:val="0"/>
          <w:iCs w:val="0"/>
          <w:sz w:val="24"/>
          <w:lang w:val="en-US" w:eastAsia="zh-CN" w:bidi="ar"/>
        </w:rPr>
        <w:t>同城双活+异地灾备</w:t>
      </w:r>
      <w:r>
        <w:rPr>
          <w:rFonts w:hint="eastAsia" w:ascii="Times New Roman" w:hAnsi="Times New Roman"/>
          <w:sz w:val="24"/>
          <w:lang w:val="en-US" w:eastAsia="zh-CN"/>
        </w:rPr>
        <w:t>部署架构，支持TKE容器化部署</w:t>
      </w:r>
      <w:r>
        <w:rPr>
          <w:rFonts w:hint="eastAsia" w:ascii="宋体" w:hAnsi="宋体" w:eastAsia="宋体" w:cs="宋体"/>
          <w:sz w:val="24"/>
          <w:lang w:bidi="ar"/>
        </w:rPr>
        <w:t>。</w:t>
      </w:r>
    </w:p>
    <w:p w14:paraId="03E3EBF7">
      <w:pPr>
        <w:keepNext w:val="0"/>
        <w:keepLines w:val="0"/>
        <w:widowControl/>
        <w:suppressLineNumbers w:val="0"/>
        <w:spacing w:before="0" w:beforeAutospacing="0" w:after="0" w:afterAutospacing="0" w:line="440" w:lineRule="exact"/>
        <w:ind w:left="0" w:leftChars="0" w:right="0" w:firstLine="480" w:firstLineChars="200"/>
        <w:jc w:val="left"/>
        <w:rPr>
          <w:rFonts w:hint="eastAsia" w:ascii="宋体" w:hAnsi="宋体" w:eastAsia="宋体" w:cs="宋体"/>
          <w:sz w:val="24"/>
          <w:lang w:bidi="ar"/>
        </w:rPr>
      </w:pPr>
      <w:r>
        <w:rPr>
          <w:rFonts w:hint="eastAsia" w:ascii="宋体" w:hAnsi="宋体" w:eastAsia="宋体" w:cs="宋体"/>
          <w:kern w:val="2"/>
          <w:sz w:val="24"/>
          <w:szCs w:val="24"/>
          <w:lang w:val="en-US" w:eastAsia="zh-CN" w:bidi="ar"/>
        </w:rPr>
        <w:t>2.5.系统集成设计遵循</w:t>
      </w:r>
      <w:r>
        <w:rPr>
          <w:rFonts w:hint="eastAsia" w:ascii="Times New Roman" w:hAnsi="Times New Roman"/>
          <w:sz w:val="24"/>
          <w:lang w:val="en-US" w:eastAsia="zh-CN"/>
        </w:rPr>
        <w:t>银行技术规范，满足接口管理、错误码设计等要求，支持集成我行的CICD流水工艺要求、满足自动部署、日志采集等</w:t>
      </w:r>
      <w:r>
        <w:rPr>
          <w:rFonts w:hint="eastAsia" w:ascii="宋体" w:hAnsi="宋体" w:eastAsia="宋体" w:cs="宋体"/>
          <w:sz w:val="24"/>
          <w:lang w:bidi="ar"/>
        </w:rPr>
        <w:t>。</w:t>
      </w:r>
    </w:p>
    <w:p w14:paraId="7EF974A9">
      <w:pPr>
        <w:keepNext w:val="0"/>
        <w:keepLines w:val="0"/>
        <w:widowControl/>
        <w:suppressLineNumbers w:val="0"/>
        <w:spacing w:before="0" w:beforeAutospacing="0" w:after="0" w:afterAutospacing="0" w:line="440" w:lineRule="exact"/>
        <w:ind w:left="0" w:right="0" w:firstLine="480" w:firstLineChars="200"/>
        <w:jc w:val="left"/>
        <w:rPr>
          <w:rFonts w:hint="eastAsia" w:ascii="宋体" w:hAnsi="宋体" w:eastAsia="宋体" w:cs="宋体"/>
          <w:sz w:val="24"/>
        </w:rPr>
      </w:pPr>
      <w:r>
        <w:rPr>
          <w:rFonts w:hint="eastAsia" w:ascii="宋体" w:hAnsi="宋体" w:eastAsia="宋体" w:cs="宋体"/>
          <w:kern w:val="2"/>
          <w:sz w:val="24"/>
          <w:szCs w:val="24"/>
          <w:lang w:val="en-US" w:eastAsia="zh-CN" w:bidi="ar"/>
        </w:rPr>
        <w:t>2.6.</w:t>
      </w:r>
      <w:r>
        <w:rPr>
          <w:rFonts w:hint="eastAsia" w:ascii="Times New Roman" w:hAnsi="Times New Roman"/>
          <w:sz w:val="24"/>
          <w:lang w:val="en-US" w:eastAsia="zh-CN"/>
        </w:rPr>
        <w:t>根据自主可控的原则，需开放本项目涉及的全部产品源码及客户化实施代码、设计文档等</w:t>
      </w:r>
      <w:r>
        <w:rPr>
          <w:rFonts w:hint="eastAsia" w:ascii="Times New Roman" w:hAnsi="Times New Roman"/>
          <w:sz w:val="24"/>
          <w:lang w:eastAsia="zh-CN"/>
        </w:rPr>
        <w:t>，</w:t>
      </w:r>
      <w:r>
        <w:rPr>
          <w:rFonts w:hint="eastAsia" w:ascii="Times New Roman" w:hAnsi="Times New Roman"/>
          <w:sz w:val="24"/>
        </w:rPr>
        <w:t>授权对象包含</w:t>
      </w:r>
      <w:r>
        <w:rPr>
          <w:rFonts w:hint="eastAsia" w:ascii="Times New Roman" w:hAnsi="Times New Roman"/>
          <w:sz w:val="24"/>
          <w:lang w:val="en-US" w:eastAsia="zh-CN"/>
        </w:rPr>
        <w:t>厦门国际银行股份有限公司及</w:t>
      </w:r>
      <w:r>
        <w:rPr>
          <w:rFonts w:hint="eastAsia" w:ascii="Times New Roman" w:hAnsi="Times New Roman"/>
          <w:sz w:val="24"/>
        </w:rPr>
        <w:t>其他控股或全资子公司</w:t>
      </w:r>
      <w:r>
        <w:rPr>
          <w:rFonts w:hint="eastAsia" w:ascii="Times New Roman" w:hAnsi="Times New Roman"/>
          <w:sz w:val="24"/>
          <w:lang w:val="en-US" w:eastAsia="zh-CN"/>
        </w:rPr>
        <w:t>。</w:t>
      </w:r>
    </w:p>
    <w:p w14:paraId="70417841">
      <w:pPr>
        <w:keepNext w:val="0"/>
        <w:keepLines w:val="0"/>
        <w:widowControl/>
        <w:numPr>
          <w:ilvl w:val="0"/>
          <w:numId w:val="0"/>
        </w:numPr>
        <w:suppressLineNumbers w:val="0"/>
        <w:spacing w:before="0" w:beforeAutospacing="0" w:after="0" w:afterAutospacing="0" w:line="440" w:lineRule="exact"/>
        <w:ind w:left="567" w:right="0" w:firstLine="53" w:firstLineChars="22"/>
        <w:jc w:val="left"/>
        <w:outlineLvl w:val="1"/>
        <w:rPr>
          <w:rFonts w:hint="eastAsia" w:ascii="宋体" w:hAnsi="宋体" w:eastAsia="宋体" w:cs="宋体"/>
          <w:sz w:val="24"/>
        </w:rPr>
      </w:pPr>
      <w:r>
        <w:rPr>
          <w:rFonts w:hint="eastAsia" w:ascii="宋体" w:hAnsi="宋体" w:eastAsia="宋体" w:cs="宋体"/>
          <w:b/>
          <w:bCs/>
          <w:kern w:val="2"/>
          <w:sz w:val="24"/>
          <w:szCs w:val="24"/>
          <w:lang w:val="en-US" w:eastAsia="zh-CN" w:bidi="ar"/>
        </w:rPr>
        <w:t>3. </w:t>
      </w:r>
      <w:r>
        <w:rPr>
          <w:rStyle w:val="12"/>
          <w:rFonts w:hint="eastAsia" w:ascii="宋体" w:hAnsi="宋体" w:eastAsia="宋体" w:cs="宋体"/>
          <w:kern w:val="0"/>
          <w:sz w:val="24"/>
          <w:szCs w:val="24"/>
          <w:lang w:val="en-US" w:eastAsia="zh-CN" w:bidi="ar"/>
        </w:rPr>
        <w:t>供应商资质要求</w:t>
      </w:r>
    </w:p>
    <w:p w14:paraId="596F493F">
      <w:pPr>
        <w:keepNext w:val="0"/>
        <w:keepLines w:val="0"/>
        <w:widowControl/>
        <w:suppressLineNumbers w:val="0"/>
        <w:spacing w:before="0" w:beforeAutospacing="0" w:after="0" w:afterAutospacing="0" w:line="440" w:lineRule="exact"/>
        <w:ind w:left="0" w:right="0" w:firstLine="480" w:firstLineChars="200"/>
        <w:jc w:val="left"/>
        <w:rPr>
          <w:rFonts w:hint="eastAsia" w:ascii="宋体" w:hAnsi="宋体" w:eastAsia="宋体" w:cs="宋体"/>
          <w:kern w:val="0"/>
          <w:sz w:val="24"/>
          <w:lang w:bidi="ar"/>
        </w:rPr>
      </w:pPr>
      <w:r>
        <w:rPr>
          <w:rFonts w:hint="eastAsia" w:ascii="宋体" w:hAnsi="宋体" w:eastAsia="宋体" w:cs="宋体"/>
          <w:kern w:val="0"/>
          <w:sz w:val="24"/>
          <w:szCs w:val="24"/>
          <w:lang w:val="en-US" w:eastAsia="zh-CN" w:bidi="ar"/>
        </w:rPr>
        <w:t>3.1.</w:t>
      </w:r>
      <w:r>
        <w:rPr>
          <w:rFonts w:hint="eastAsia" w:ascii="宋体" w:hAnsi="宋体" w:eastAsia="宋体" w:cs="宋体"/>
          <w:kern w:val="0"/>
          <w:sz w:val="24"/>
          <w:lang w:bidi="ar"/>
        </w:rPr>
        <w:t>企业成立3年及以上，不存在被监管机构禁止或审慎发展的情形，未处于限制开展生产经营活动、责令停产停业、责令关闭、限制从业等重大行政处罚期内。</w:t>
      </w:r>
    </w:p>
    <w:p w14:paraId="25326047">
      <w:pPr>
        <w:keepNext w:val="0"/>
        <w:keepLines w:val="0"/>
        <w:widowControl/>
        <w:numPr>
          <w:ilvl w:val="-1"/>
          <w:numId w:val="0"/>
        </w:numPr>
        <w:suppressLineNumbers w:val="0"/>
        <w:spacing w:before="0" w:beforeAutospacing="0" w:after="0" w:afterAutospacing="0" w:line="440" w:lineRule="exact"/>
        <w:ind w:left="0" w:right="0" w:firstLine="480" w:firstLineChars="200"/>
        <w:jc w:val="left"/>
        <w:outlineLvl w:val="9"/>
        <w:rPr>
          <w:rFonts w:hint="eastAsia" w:ascii="宋体" w:hAnsi="宋体" w:eastAsia="宋体" w:cs="宋体"/>
          <w:kern w:val="0"/>
          <w:sz w:val="24"/>
          <w:lang w:bidi="ar"/>
        </w:rPr>
      </w:pPr>
      <w:r>
        <w:rPr>
          <w:rFonts w:hint="eastAsia" w:ascii="宋体" w:hAnsi="宋体" w:eastAsia="宋体" w:cs="宋体"/>
          <w:kern w:val="0"/>
          <w:sz w:val="24"/>
          <w:lang w:val="en-US" w:eastAsia="zh-CN" w:bidi="ar"/>
        </w:rPr>
        <w:t>3.</w:t>
      </w:r>
      <w:r>
        <w:rPr>
          <w:rFonts w:hint="eastAsia" w:ascii="宋体" w:hAnsi="宋体" w:eastAsia="宋体" w:cs="宋体"/>
          <w:kern w:val="0"/>
          <w:sz w:val="24"/>
          <w:szCs w:val="24"/>
          <w:lang w:val="en-US" w:eastAsia="zh-CN" w:bidi="ar"/>
        </w:rPr>
        <w:t>2.具有近三年（2022年1月1日至今）国内总资产规模</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000亿元人民币（截至2025年</w:t>
      </w:r>
      <w:r>
        <w:rPr>
          <w:rFonts w:hint="eastAsia" w:ascii="宋体" w:hAnsi="宋体" w:cs="宋体"/>
          <w:kern w:val="0"/>
          <w:sz w:val="24"/>
          <w:szCs w:val="24"/>
          <w:lang w:val="en-US" w:eastAsia="zh-CN" w:bidi="ar"/>
        </w:rPr>
        <w:t>9</w:t>
      </w:r>
      <w:r>
        <w:rPr>
          <w:rFonts w:hint="eastAsia" w:ascii="宋体" w:hAnsi="宋体" w:eastAsia="宋体" w:cs="宋体"/>
          <w:kern w:val="0"/>
          <w:sz w:val="24"/>
          <w:szCs w:val="24"/>
          <w:lang w:val="en-US" w:eastAsia="zh-CN" w:bidi="ar"/>
        </w:rPr>
        <w:t>月）以上（含</w:t>
      </w:r>
      <w:bookmarkStart w:id="0" w:name="_GoBack"/>
      <w:bookmarkEnd w:id="0"/>
      <w:r>
        <w:rPr>
          <w:rFonts w:hint="eastAsia" w:ascii="宋体" w:hAnsi="宋体" w:eastAsia="宋体" w:cs="宋体"/>
          <w:kern w:val="0"/>
          <w:sz w:val="24"/>
          <w:szCs w:val="24"/>
          <w:lang w:val="en-US" w:eastAsia="zh-CN" w:bidi="ar"/>
        </w:rPr>
        <w:t>）银行</w:t>
      </w:r>
      <w:r>
        <w:rPr>
          <w:rFonts w:hint="eastAsia" w:ascii="宋体" w:hAnsi="宋体" w:cs="宋体"/>
          <w:kern w:val="0"/>
          <w:sz w:val="24"/>
          <w:szCs w:val="24"/>
          <w:lang w:val="en-US" w:eastAsia="zh-CN" w:bidi="ar"/>
        </w:rPr>
        <w:t>人民币跨境支付</w:t>
      </w:r>
      <w:r>
        <w:rPr>
          <w:rFonts w:hint="eastAsia" w:ascii="宋体" w:hAnsi="宋体" w:eastAsia="宋体" w:cs="宋体"/>
          <w:kern w:val="0"/>
          <w:sz w:val="24"/>
          <w:szCs w:val="24"/>
          <w:lang w:val="en-US" w:eastAsia="zh-CN" w:bidi="ar"/>
        </w:rPr>
        <w:t>项目案例（案例需为包含</w:t>
      </w:r>
      <w:r>
        <w:rPr>
          <w:rFonts w:hint="eastAsia" w:ascii="宋体" w:hAnsi="宋体" w:cs="宋体"/>
          <w:kern w:val="0"/>
          <w:sz w:val="24"/>
          <w:szCs w:val="24"/>
          <w:lang w:val="en-US" w:eastAsia="zh-CN" w:bidi="ar"/>
        </w:rPr>
        <w:t>人民币跨境支付直参系统建设相关项目，其中直参轻量级接入方案的不纳入</w:t>
      </w:r>
      <w:r>
        <w:rPr>
          <w:rFonts w:hint="eastAsia" w:ascii="宋体" w:hAnsi="宋体" w:eastAsia="宋体" w:cs="宋体"/>
          <w:kern w:val="0"/>
          <w:sz w:val="24"/>
          <w:szCs w:val="24"/>
          <w:lang w:val="en-US" w:eastAsia="zh-CN" w:bidi="ar"/>
        </w:rPr>
        <w:t>，</w:t>
      </w:r>
      <w:r>
        <w:rPr>
          <w:rFonts w:hint="eastAsia" w:ascii="宋体" w:hAnsi="宋体" w:eastAsia="宋体" w:cs="宋体"/>
          <w:kern w:val="0"/>
          <w:sz w:val="24"/>
          <w:lang w:bidi="ar"/>
        </w:rPr>
        <w:t>无自主研发产品的人力开发类项目、合作开发类型项目、咨询类项目、维保类项目、升级改造类项目也不纳入，</w:t>
      </w:r>
      <w:r>
        <w:rPr>
          <w:rFonts w:hint="eastAsia" w:ascii="宋体" w:hAnsi="宋体" w:eastAsia="宋体" w:cs="宋体"/>
          <w:kern w:val="0"/>
          <w:sz w:val="24"/>
          <w:szCs w:val="24"/>
          <w:lang w:val="en-US" w:eastAsia="zh-CN" w:bidi="ar"/>
        </w:rPr>
        <w:t>提供合同复印件，合同上须能清晰体现服务内容，合同签订时间及合同双方盖章，不符合上述要求的案例，视为无效案例）。</w:t>
      </w:r>
    </w:p>
    <w:p w14:paraId="386B04FD">
      <w:pPr>
        <w:keepNext w:val="0"/>
        <w:keepLines w:val="0"/>
        <w:widowControl/>
        <w:numPr>
          <w:ilvl w:val="0"/>
          <w:numId w:val="0"/>
        </w:numPr>
        <w:suppressLineNumbers w:val="0"/>
        <w:spacing w:before="0" w:beforeAutospacing="0" w:after="0" w:afterAutospacing="0" w:line="440" w:lineRule="exact"/>
        <w:ind w:left="567" w:right="0" w:firstLine="53" w:firstLineChars="22"/>
        <w:jc w:val="both"/>
        <w:outlineLvl w:val="0"/>
        <w:rPr>
          <w:rFonts w:hint="eastAsia" w:ascii="宋体" w:hAnsi="宋体" w:eastAsia="宋体" w:cs="宋体"/>
          <w:b/>
          <w:bCs/>
          <w:sz w:val="24"/>
          <w:lang w:val="en-US" w:bidi="ar"/>
        </w:rPr>
      </w:pPr>
      <w:r>
        <w:rPr>
          <w:rFonts w:hint="eastAsia" w:ascii="宋体" w:hAnsi="宋体" w:eastAsia="宋体" w:cs="宋体"/>
          <w:b/>
          <w:bCs/>
          <w:kern w:val="2"/>
          <w:sz w:val="24"/>
          <w:szCs w:val="24"/>
          <w:lang w:val="en-US" w:eastAsia="zh-CN" w:bidi="ar"/>
        </w:rPr>
        <w:t>二、报名要求</w:t>
      </w:r>
    </w:p>
    <w:p w14:paraId="3C4654A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firstLine="420" w:firstLineChars="0"/>
        <w:jc w:val="left"/>
        <w:textAlignment w:val="auto"/>
        <w:outlineLvl w:val="1"/>
        <w:rPr>
          <w:rFonts w:hint="eastAsia" w:ascii="宋体" w:hAnsi="宋体" w:eastAsia="宋体" w:cs="宋体"/>
          <w:b w:val="0"/>
          <w:bCs w:val="0"/>
          <w:kern w:val="2"/>
          <w:sz w:val="24"/>
          <w:szCs w:val="24"/>
          <w:lang w:val="en-US" w:eastAsia="zh-CN" w:bidi="ar"/>
        </w:rPr>
      </w:pPr>
      <w:r>
        <w:rPr>
          <w:rFonts w:hint="eastAsia" w:ascii="宋体" w:hAnsi="宋体" w:eastAsia="宋体" w:cs="宋体"/>
          <w:b w:val="0"/>
          <w:bCs w:val="0"/>
          <w:kern w:val="2"/>
          <w:sz w:val="24"/>
          <w:szCs w:val="24"/>
          <w:lang w:val="en-US" w:eastAsia="zh-CN" w:bidi="ar"/>
        </w:rPr>
        <w:t>1. 为中华人民共和国境内合法注册的独立法人，具有独立承担民事责任的能力，拥有合法有效的工商营业执照，且经营范围包含本次采购需求。</w:t>
      </w:r>
    </w:p>
    <w:p w14:paraId="2EF16A9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firstLine="420" w:firstLineChars="0"/>
        <w:jc w:val="left"/>
        <w:textAlignment w:val="auto"/>
        <w:outlineLvl w:val="1"/>
        <w:rPr>
          <w:rFonts w:hint="eastAsia" w:ascii="宋体" w:hAnsi="宋体" w:eastAsia="宋体" w:cs="宋体"/>
          <w:b w:val="0"/>
          <w:bCs w:val="0"/>
          <w:kern w:val="2"/>
          <w:sz w:val="24"/>
          <w:szCs w:val="24"/>
          <w:lang w:val="en-US" w:eastAsia="zh-CN" w:bidi="ar"/>
        </w:rPr>
      </w:pPr>
      <w:r>
        <w:rPr>
          <w:rFonts w:hint="eastAsia" w:ascii="宋体" w:hAnsi="宋体" w:eastAsia="宋体" w:cs="宋体"/>
          <w:b w:val="0"/>
          <w:bCs w:val="0"/>
          <w:kern w:val="2"/>
          <w:sz w:val="24"/>
          <w:szCs w:val="24"/>
          <w:lang w:val="en-US" w:eastAsia="zh-CN" w:bidi="ar"/>
        </w:rPr>
        <w:t>2. 充分理解采购需求并能够根据需求提供相应的服务。</w:t>
      </w:r>
    </w:p>
    <w:p w14:paraId="032FB66A">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firstLine="420" w:firstLineChars="0"/>
        <w:jc w:val="left"/>
        <w:textAlignment w:val="auto"/>
        <w:outlineLvl w:val="1"/>
        <w:rPr>
          <w:rFonts w:hint="eastAsia" w:ascii="宋体" w:hAnsi="宋体" w:eastAsia="宋体" w:cs="宋体"/>
          <w:b w:val="0"/>
          <w:bCs w:val="0"/>
          <w:kern w:val="2"/>
          <w:sz w:val="24"/>
          <w:szCs w:val="24"/>
          <w:lang w:val="en-US" w:eastAsia="zh-CN" w:bidi="ar"/>
        </w:rPr>
      </w:pPr>
      <w:r>
        <w:rPr>
          <w:rFonts w:hint="eastAsia" w:ascii="宋体" w:hAnsi="宋体" w:eastAsia="宋体" w:cs="宋体"/>
          <w:b w:val="0"/>
          <w:bCs w:val="0"/>
          <w:kern w:val="2"/>
          <w:sz w:val="24"/>
          <w:szCs w:val="24"/>
          <w:lang w:val="en-US" w:eastAsia="zh-CN" w:bidi="ar"/>
        </w:rPr>
        <w:t>3. 遵守国家有关法律、法规，具有良好的商业信誉和健全的财务会计制度。</w:t>
      </w:r>
    </w:p>
    <w:p w14:paraId="12B68394">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firstLine="420" w:firstLineChars="0"/>
        <w:jc w:val="left"/>
        <w:textAlignment w:val="auto"/>
        <w:outlineLvl w:val="1"/>
        <w:rPr>
          <w:rFonts w:hint="default" w:ascii="宋体" w:hAnsi="宋体" w:eastAsia="宋体" w:cs="宋体"/>
          <w:b w:val="0"/>
          <w:bCs w:val="0"/>
          <w:kern w:val="2"/>
          <w:sz w:val="24"/>
          <w:szCs w:val="24"/>
          <w:lang w:val="en-US" w:eastAsia="zh-CN" w:bidi="ar"/>
        </w:rPr>
      </w:pPr>
      <w:r>
        <w:rPr>
          <w:rFonts w:hint="eastAsia" w:ascii="宋体" w:hAnsi="宋体" w:eastAsia="宋体" w:cs="宋体"/>
          <w:b w:val="0"/>
          <w:bCs w:val="0"/>
          <w:kern w:val="2"/>
          <w:sz w:val="24"/>
          <w:szCs w:val="24"/>
          <w:lang w:val="en-US" w:eastAsia="zh-CN" w:bidi="ar"/>
        </w:rPr>
        <w:t>4. 截至征集时间，未被“信用中国”网站（http://www.creditchina.gov.cn）列入失信被执行人、重大税收违法失信主体、政府采购严重违法失信行为记录名单（提供“信用中国”网站查询截图），未被“国家企业信用信息公示系统（</w:t>
      </w:r>
      <w:r>
        <w:rPr>
          <w:rFonts w:hint="eastAsia" w:ascii="宋体" w:hAnsi="宋体" w:eastAsia="宋体" w:cs="宋体"/>
          <w:color w:val="auto"/>
          <w:sz w:val="24"/>
          <w:szCs w:val="24"/>
          <w:highlight w:val="none"/>
          <w:u w:val="none"/>
          <w:lang w:val="en-US" w:eastAsia="zh-CN"/>
        </w:rPr>
        <w:t>https://www.gsxt.gov.cn/index.html</w:t>
      </w:r>
      <w:r>
        <w:rPr>
          <w:rFonts w:hint="eastAsia" w:ascii="宋体" w:hAnsi="宋体" w:eastAsia="宋体" w:cs="宋体"/>
          <w:b w:val="0"/>
          <w:bCs w:val="0"/>
          <w:kern w:val="2"/>
          <w:sz w:val="24"/>
          <w:szCs w:val="24"/>
          <w:lang w:val="en-US" w:eastAsia="zh-CN" w:bidi="ar"/>
        </w:rPr>
        <w:t>）”列入严重违法失信企业名单、经营异常名录（提供“国家企业信用信息公示系统”网站查询截图），不在厦门国际银行供应商黑名单中。</w:t>
      </w:r>
    </w:p>
    <w:p w14:paraId="67FC5C04">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right="0" w:firstLine="420" w:firstLineChars="0"/>
        <w:jc w:val="left"/>
        <w:textAlignment w:val="auto"/>
        <w:outlineLvl w:val="1"/>
        <w:rPr>
          <w:rFonts w:hint="eastAsia" w:ascii="宋体" w:hAnsi="宋体" w:eastAsia="宋体" w:cs="宋体"/>
          <w:b w:val="0"/>
          <w:bCs w:val="0"/>
          <w:kern w:val="2"/>
          <w:sz w:val="24"/>
          <w:szCs w:val="24"/>
          <w:lang w:val="en-US" w:eastAsia="zh-CN" w:bidi="ar"/>
        </w:rPr>
      </w:pPr>
      <w:r>
        <w:rPr>
          <w:rFonts w:hint="eastAsia" w:ascii="宋体" w:hAnsi="宋体" w:eastAsia="宋体" w:cs="宋体"/>
          <w:b w:val="0"/>
          <w:bCs w:val="0"/>
          <w:kern w:val="2"/>
          <w:sz w:val="24"/>
          <w:szCs w:val="24"/>
          <w:lang w:val="en-US" w:eastAsia="zh-CN" w:bidi="ar"/>
        </w:rPr>
        <w:t>5. 经营范围经国家行政管理部门依法批准，同时获得从事行业有效执业证明、行政许可、专业资质等证照。</w:t>
      </w:r>
    </w:p>
    <w:p w14:paraId="76A2351B">
      <w:pPr>
        <w:keepNext w:val="0"/>
        <w:keepLines w:val="0"/>
        <w:widowControl/>
        <w:suppressLineNumbers w:val="0"/>
        <w:spacing w:before="0" w:beforeAutospacing="0" w:after="0" w:afterAutospacing="0" w:line="440" w:lineRule="exact"/>
        <w:ind w:left="0" w:right="0" w:firstLine="480" w:firstLineChars="200"/>
        <w:jc w:val="left"/>
        <w:rPr>
          <w:rFonts w:hint="eastAsia" w:ascii="宋体" w:hAnsi="宋体" w:eastAsia="宋体" w:cs="宋体"/>
          <w:sz w:val="24"/>
        </w:rPr>
      </w:pPr>
      <w:r>
        <w:rPr>
          <w:rFonts w:hint="eastAsia" w:ascii="宋体" w:eastAsia="宋体" w:cs="宋体"/>
          <w:b w:val="0"/>
          <w:bCs w:val="0"/>
          <w:kern w:val="2"/>
          <w:sz w:val="24"/>
          <w:szCs w:val="24"/>
          <w:lang w:val="en-US" w:eastAsia="zh-CN" w:bidi="ar"/>
        </w:rPr>
        <w:t>6. 同一法定代表人的两个及两个以上法人、母公司、全资子公司及其控股公司不得在同一次项目中参加报名。</w:t>
      </w:r>
    </w:p>
    <w:p w14:paraId="568DFAF8">
      <w:pPr>
        <w:keepNext w:val="0"/>
        <w:keepLines w:val="0"/>
        <w:widowControl/>
        <w:numPr>
          <w:ilvl w:val="0"/>
          <w:numId w:val="0"/>
        </w:numPr>
        <w:suppressLineNumbers w:val="0"/>
        <w:spacing w:before="0" w:beforeAutospacing="0" w:after="0" w:afterAutospacing="0" w:line="440" w:lineRule="exact"/>
        <w:ind w:left="567" w:right="0" w:firstLine="53" w:firstLineChars="22"/>
        <w:jc w:val="both"/>
        <w:outlineLvl w:val="0"/>
        <w:rPr>
          <w:rFonts w:hint="eastAsia" w:ascii="宋体" w:hAnsi="宋体" w:eastAsia="宋体" w:cs="宋体"/>
          <w:b/>
          <w:bCs/>
          <w:sz w:val="24"/>
          <w:lang w:bidi="ar"/>
        </w:rPr>
      </w:pPr>
      <w:r>
        <w:rPr>
          <w:rFonts w:hint="eastAsia" w:ascii="宋体" w:hAnsi="宋体" w:eastAsia="宋体" w:cs="宋体"/>
          <w:b/>
          <w:bCs/>
          <w:kern w:val="2"/>
          <w:sz w:val="24"/>
          <w:szCs w:val="24"/>
          <w:lang w:val="en-US" w:eastAsia="zh-CN" w:bidi="ar"/>
        </w:rPr>
        <w:t>三、征集时间</w:t>
      </w:r>
    </w:p>
    <w:p w14:paraId="2F16D7ED">
      <w:pPr>
        <w:keepNext w:val="0"/>
        <w:keepLines w:val="0"/>
        <w:widowControl/>
        <w:suppressLineNumbers w:val="0"/>
        <w:spacing w:before="0" w:beforeAutospacing="0" w:after="0" w:afterAutospacing="0" w:line="440" w:lineRule="exact"/>
        <w:ind w:left="0" w:right="0" w:firstLine="600"/>
        <w:jc w:val="left"/>
        <w:rPr>
          <w:rFonts w:hint="eastAsia" w:ascii="宋体" w:hAnsi="宋体" w:eastAsia="宋体" w:cs="宋体"/>
          <w:sz w:val="24"/>
        </w:rPr>
      </w:pPr>
      <w:r>
        <w:rPr>
          <w:rFonts w:hint="eastAsia" w:ascii="宋体" w:hAnsi="宋体" w:eastAsia="宋体" w:cs="宋体"/>
          <w:kern w:val="2"/>
          <w:sz w:val="24"/>
          <w:szCs w:val="24"/>
          <w:lang w:val="en-US" w:eastAsia="zh-CN" w:bidi="ar"/>
        </w:rPr>
        <w:t>本次供应商征集自即日起至2026年1月7日23：59止。</w:t>
      </w:r>
    </w:p>
    <w:p w14:paraId="69446C0F">
      <w:pPr>
        <w:keepNext w:val="0"/>
        <w:keepLines w:val="0"/>
        <w:widowControl/>
        <w:numPr>
          <w:ilvl w:val="0"/>
          <w:numId w:val="0"/>
        </w:numPr>
        <w:suppressLineNumbers w:val="0"/>
        <w:spacing w:before="0" w:beforeAutospacing="0" w:after="0" w:afterAutospacing="0" w:line="440" w:lineRule="exact"/>
        <w:ind w:left="567" w:right="0" w:firstLine="53" w:firstLineChars="22"/>
        <w:jc w:val="both"/>
        <w:outlineLvl w:val="0"/>
        <w:rPr>
          <w:rFonts w:hint="eastAsia" w:ascii="宋体" w:hAnsi="宋体" w:eastAsia="宋体" w:cs="宋体"/>
          <w:b/>
          <w:bCs/>
          <w:sz w:val="24"/>
          <w:lang w:bidi="ar"/>
        </w:rPr>
      </w:pPr>
      <w:r>
        <w:rPr>
          <w:rFonts w:hint="eastAsia" w:ascii="宋体" w:hAnsi="宋体" w:eastAsia="宋体" w:cs="宋体"/>
          <w:b/>
          <w:bCs/>
          <w:kern w:val="2"/>
          <w:sz w:val="24"/>
          <w:szCs w:val="24"/>
          <w:lang w:val="en-US" w:eastAsia="zh-CN" w:bidi="ar"/>
        </w:rPr>
        <w:t>四、报名方式</w:t>
      </w:r>
    </w:p>
    <w:p w14:paraId="09874A66">
      <w:pPr>
        <w:keepNext w:val="0"/>
        <w:keepLines w:val="0"/>
        <w:widowControl w:val="0"/>
        <w:suppressLineNumbers w:val="0"/>
        <w:spacing w:before="0" w:beforeAutospacing="0" w:after="0" w:afterAutospacing="0" w:line="440" w:lineRule="exact"/>
        <w:ind w:left="0" w:right="0" w:firstLine="480" w:firstLineChars="200"/>
        <w:jc w:val="left"/>
        <w:rPr>
          <w:rFonts w:hint="default"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供应商征集联系人：</w:t>
      </w:r>
      <w:r>
        <w:rPr>
          <w:rFonts w:hint="eastAsia" w:ascii="宋体" w:hAnsi="宋体" w:eastAsia="宋体" w:cs="宋体"/>
          <w:kern w:val="2"/>
          <w:sz w:val="24"/>
          <w:szCs w:val="24"/>
          <w:highlight w:val="none"/>
          <w:lang w:val="en-US" w:eastAsia="zh-CN" w:bidi="ar"/>
        </w:rPr>
        <w:t>许老师，联系电话：</w:t>
      </w:r>
      <w:r>
        <w:rPr>
          <w:rFonts w:ascii="宋体" w:hAnsi="宋体" w:eastAsia="宋体"/>
          <w:sz w:val="24"/>
          <w:szCs w:val="24"/>
          <w:highlight w:val="none"/>
        </w:rPr>
        <w:t>0592</w:t>
      </w:r>
      <w:r>
        <w:rPr>
          <w:rFonts w:hint="eastAsia" w:ascii="宋体" w:hAnsi="宋体" w:eastAsia="宋体"/>
          <w:sz w:val="24"/>
          <w:szCs w:val="24"/>
          <w:highlight w:val="none"/>
        </w:rPr>
        <w:t>-</w:t>
      </w:r>
      <w:r>
        <w:rPr>
          <w:rFonts w:ascii="宋体" w:hAnsi="宋体" w:eastAsia="宋体"/>
          <w:sz w:val="24"/>
          <w:szCs w:val="24"/>
          <w:highlight w:val="none"/>
        </w:rPr>
        <w:t>2078888</w:t>
      </w:r>
      <w:r>
        <w:rPr>
          <w:rFonts w:hint="eastAsia" w:ascii="宋体" w:hAnsi="宋体" w:eastAsia="宋体"/>
          <w:sz w:val="24"/>
          <w:szCs w:val="24"/>
          <w:highlight w:val="none"/>
        </w:rPr>
        <w:t>-</w:t>
      </w:r>
      <w:r>
        <w:rPr>
          <w:rFonts w:hint="eastAsia" w:ascii="宋体" w:hAnsi="宋体" w:eastAsia="宋体"/>
          <w:sz w:val="24"/>
          <w:szCs w:val="24"/>
          <w:highlight w:val="none"/>
          <w:lang w:val="en-US" w:eastAsia="zh-CN"/>
        </w:rPr>
        <w:t>5635</w:t>
      </w:r>
      <w:r>
        <w:rPr>
          <w:rFonts w:hint="eastAsia" w:ascii="宋体" w:hAnsi="宋体" w:eastAsia="宋体" w:cs="宋体"/>
          <w:kern w:val="2"/>
          <w:sz w:val="24"/>
          <w:szCs w:val="24"/>
          <w:highlight w:val="none"/>
          <w:lang w:val="en-US" w:eastAsia="zh-CN" w:bidi="ar"/>
        </w:rPr>
        <w:t>；林老师，联系电话：0592-7010288-6621</w:t>
      </w:r>
    </w:p>
    <w:p w14:paraId="227880E5">
      <w:pPr>
        <w:keepNext w:val="0"/>
        <w:keepLines w:val="0"/>
        <w:widowControl/>
        <w:suppressLineNumbers w:val="0"/>
        <w:spacing w:before="0" w:beforeAutospacing="0" w:after="0" w:afterAutospacing="0" w:line="440" w:lineRule="exact"/>
        <w:ind w:left="0" w:right="0" w:firstLine="480" w:firstLineChars="200"/>
        <w:jc w:val="left"/>
        <w:rPr>
          <w:rFonts w:hint="eastAsia" w:ascii="宋体" w:hAnsi="宋体" w:eastAsia="宋体" w:cs="宋体"/>
          <w:sz w:val="24"/>
        </w:rPr>
      </w:pPr>
      <w:r>
        <w:rPr>
          <w:rFonts w:hint="eastAsia" w:ascii="宋体" w:hAnsi="宋体" w:eastAsia="宋体" w:cs="宋体"/>
          <w:kern w:val="2"/>
          <w:sz w:val="24"/>
          <w:szCs w:val="24"/>
          <w:lang w:val="en-US" w:eastAsia="zh-CN" w:bidi="ar"/>
        </w:rPr>
        <w:t>若有意向请将供应商资料于征集截止时间前提交至xujinliang</w:t>
      </w:r>
      <w:r>
        <w:rPr>
          <w:rFonts w:hint="eastAsia" w:ascii="宋体" w:hAnsi="宋体" w:eastAsia="宋体"/>
          <w:sz w:val="24"/>
          <w:szCs w:val="24"/>
          <w:highlight w:val="none"/>
          <w:lang w:val="en-US" w:eastAsia="zh-CN"/>
        </w:rPr>
        <w:t>@xib.com.cn及linshangq@xib.com.cn</w:t>
      </w:r>
      <w:r>
        <w:rPr>
          <w:rFonts w:hint="eastAsia" w:ascii="宋体" w:hAnsi="宋体" w:eastAsia="宋体" w:cs="宋体"/>
          <w:kern w:val="2"/>
          <w:sz w:val="24"/>
          <w:szCs w:val="24"/>
          <w:lang w:val="en-US" w:eastAsia="zh-CN" w:bidi="ar"/>
        </w:rPr>
        <w:t>邮箱。</w:t>
      </w:r>
      <w:r>
        <w:rPr>
          <w:rFonts w:ascii="宋体" w:hAnsi="宋体" w:eastAsia="宋体"/>
          <w:b/>
          <w:sz w:val="24"/>
          <w:szCs w:val="24"/>
        </w:rPr>
        <w:t>报名资料以指定邮箱收到为准</w:t>
      </w:r>
      <w:r>
        <w:rPr>
          <w:rFonts w:hint="eastAsia" w:ascii="宋体" w:hAnsi="宋体" w:eastAsia="宋体"/>
          <w:b/>
          <w:sz w:val="24"/>
          <w:szCs w:val="24"/>
        </w:rPr>
        <w:t>，逾期将视为报名不成功</w:t>
      </w:r>
      <w:r>
        <w:rPr>
          <w:rFonts w:ascii="宋体" w:hAnsi="宋体" w:eastAsia="宋体"/>
          <w:b/>
          <w:sz w:val="24"/>
          <w:szCs w:val="24"/>
        </w:rPr>
        <w:t>。</w:t>
      </w:r>
    </w:p>
    <w:p w14:paraId="2585EA13">
      <w:pPr>
        <w:keepNext w:val="0"/>
        <w:keepLines w:val="0"/>
        <w:widowControl/>
        <w:numPr>
          <w:ilvl w:val="0"/>
          <w:numId w:val="0"/>
        </w:numPr>
        <w:suppressLineNumbers w:val="0"/>
        <w:spacing w:before="0" w:beforeAutospacing="0" w:after="0" w:afterAutospacing="0" w:line="440" w:lineRule="exact"/>
        <w:ind w:left="567" w:right="0" w:firstLine="53" w:firstLineChars="22"/>
        <w:jc w:val="both"/>
        <w:outlineLvl w:val="0"/>
        <w:rPr>
          <w:rFonts w:hint="eastAsia" w:ascii="宋体" w:hAnsi="宋体" w:eastAsia="宋体" w:cs="宋体"/>
          <w:b/>
          <w:bCs/>
          <w:sz w:val="24"/>
          <w:lang w:bidi="ar"/>
        </w:rPr>
      </w:pPr>
      <w:r>
        <w:rPr>
          <w:rFonts w:hint="eastAsia" w:ascii="宋体" w:hAnsi="宋体" w:eastAsia="宋体" w:cs="宋体"/>
          <w:b/>
          <w:bCs/>
          <w:kern w:val="2"/>
          <w:sz w:val="24"/>
          <w:szCs w:val="24"/>
          <w:lang w:val="en-US" w:eastAsia="zh-CN" w:bidi="ar"/>
        </w:rPr>
        <w:t>五、报名注意事项</w:t>
      </w:r>
    </w:p>
    <w:p w14:paraId="78E2B73F">
      <w:pPr>
        <w:keepNext w:val="0"/>
        <w:keepLines w:val="0"/>
        <w:widowControl/>
        <w:suppressLineNumbers w:val="0"/>
        <w:spacing w:before="0" w:beforeAutospacing="0" w:after="0" w:afterAutospacing="0" w:line="440" w:lineRule="exact"/>
        <w:ind w:left="0" w:right="0" w:firstLine="480" w:firstLineChars="200"/>
        <w:jc w:val="left"/>
        <w:rPr>
          <w:rFonts w:hint="eastAsia" w:ascii="宋体" w:hAnsi="宋体" w:eastAsia="宋体" w:cs="宋体"/>
          <w:sz w:val="24"/>
        </w:rPr>
      </w:pPr>
      <w:r>
        <w:rPr>
          <w:rFonts w:hint="eastAsia" w:ascii="宋体" w:hAnsi="宋体" w:eastAsia="宋体" w:cs="宋体"/>
          <w:kern w:val="2"/>
          <w:sz w:val="24"/>
          <w:szCs w:val="24"/>
          <w:lang w:val="en-US" w:eastAsia="zh-CN" w:bidi="ar"/>
        </w:rPr>
        <w:t xml:space="preserve">1. 提交的供应商资料内容包括如下两项： </w:t>
      </w:r>
    </w:p>
    <w:p w14:paraId="565E9AA5">
      <w:pPr>
        <w:keepNext w:val="0"/>
        <w:keepLines w:val="0"/>
        <w:widowControl/>
        <w:suppressLineNumbers w:val="0"/>
        <w:spacing w:before="0" w:beforeAutospacing="0" w:after="0" w:afterAutospacing="0" w:line="440" w:lineRule="exact"/>
        <w:ind w:left="0" w:right="0" w:firstLine="480" w:firstLineChars="200"/>
        <w:jc w:val="left"/>
        <w:rPr>
          <w:rFonts w:hint="eastAsia" w:ascii="宋体" w:hAnsi="宋体" w:eastAsia="宋体" w:cs="宋体"/>
          <w:sz w:val="24"/>
        </w:rPr>
      </w:pPr>
      <w:r>
        <w:rPr>
          <w:rFonts w:hint="eastAsia" w:ascii="宋体" w:hAnsi="宋体" w:eastAsia="宋体" w:cs="宋体"/>
          <w:kern w:val="2"/>
          <w:sz w:val="24"/>
          <w:szCs w:val="24"/>
          <w:lang w:val="en-US" w:eastAsia="zh-CN" w:bidi="ar"/>
        </w:rPr>
        <w:t>材料1：《厦门国际银行人民币跨境支付系统建设项目》供应商征集反馈材料-公司名称（全称）</w:t>
      </w:r>
    </w:p>
    <w:p w14:paraId="766DFA29">
      <w:pPr>
        <w:keepNext w:val="0"/>
        <w:keepLines w:val="0"/>
        <w:widowControl/>
        <w:suppressLineNumbers w:val="0"/>
        <w:spacing w:before="0" w:beforeAutospacing="0" w:after="0" w:afterAutospacing="0" w:line="440" w:lineRule="exact"/>
        <w:ind w:left="0" w:right="0" w:firstLine="480" w:firstLineChars="200"/>
        <w:jc w:val="left"/>
        <w:rPr>
          <w:rFonts w:hint="eastAsia" w:ascii="宋体" w:hAnsi="宋体" w:eastAsia="宋体" w:cs="宋体"/>
          <w:kern w:val="0"/>
          <w:sz w:val="24"/>
          <w:szCs w:val="24"/>
          <w:lang w:val="en-US" w:eastAsia="zh-CN" w:bidi="ar"/>
        </w:rPr>
      </w:pPr>
      <w:r>
        <w:rPr>
          <w:rFonts w:hint="eastAsia" w:ascii="宋体" w:hAnsi="宋体" w:eastAsia="宋体" w:cs="宋体"/>
          <w:kern w:val="2"/>
          <w:sz w:val="24"/>
          <w:szCs w:val="24"/>
          <w:lang w:val="en-US" w:eastAsia="zh-CN" w:bidi="ar"/>
        </w:rPr>
        <w:t>材料2：</w:t>
      </w:r>
      <w:r>
        <w:rPr>
          <w:rFonts w:hint="eastAsia" w:ascii="宋体" w:hAnsi="宋体" w:eastAsia="宋体" w:cs="宋体"/>
          <w:kern w:val="0"/>
          <w:sz w:val="24"/>
          <w:szCs w:val="24"/>
          <w:lang w:val="en-US" w:eastAsia="zh-CN" w:bidi="ar"/>
        </w:rPr>
        <w:t>承诺函</w:t>
      </w:r>
    </w:p>
    <w:p w14:paraId="060C7D81">
      <w:pPr>
        <w:keepNext w:val="0"/>
        <w:keepLines w:val="0"/>
        <w:widowControl/>
        <w:suppressLineNumbers w:val="0"/>
        <w:spacing w:before="0" w:beforeAutospacing="0" w:after="0" w:afterAutospacing="0" w:line="440" w:lineRule="exact"/>
        <w:ind w:left="0" w:right="0" w:firstLine="480" w:firstLineChars="200"/>
        <w:jc w:val="left"/>
        <w:rPr>
          <w:rFonts w:hint="eastAsia" w:ascii="宋体" w:hAnsi="宋体" w:eastAsia="宋体" w:cs="宋体"/>
        </w:rPr>
      </w:pPr>
      <w:r>
        <w:rPr>
          <w:rFonts w:hint="eastAsia" w:ascii="宋体" w:hAnsi="宋体" w:eastAsia="宋体" w:cs="宋体"/>
          <w:kern w:val="2"/>
          <w:sz w:val="24"/>
          <w:szCs w:val="24"/>
        </w:rPr>
        <w:t>以上</w:t>
      </w:r>
      <w:r>
        <w:rPr>
          <w:rFonts w:hint="eastAsia" w:ascii="宋体" w:hAnsi="宋体" w:eastAsia="宋体" w:cs="宋体"/>
          <w:kern w:val="2"/>
          <w:sz w:val="24"/>
          <w:szCs w:val="24"/>
          <w:lang w:val="en-US" w:eastAsia="zh-CN"/>
        </w:rPr>
        <w:t>两</w:t>
      </w:r>
      <w:r>
        <w:rPr>
          <w:rFonts w:hint="eastAsia" w:ascii="宋体" w:hAnsi="宋体" w:eastAsia="宋体" w:cs="宋体"/>
          <w:kern w:val="2"/>
          <w:sz w:val="24"/>
          <w:szCs w:val="24"/>
        </w:rPr>
        <w:t>项材料填报模板详见附件</w:t>
      </w:r>
      <w:r>
        <w:rPr>
          <w:rFonts w:hint="eastAsia" w:ascii="宋体" w:hAnsi="宋体" w:eastAsia="宋体" w:cs="宋体"/>
          <w:b/>
          <w:bCs/>
          <w:color w:val="FF0000"/>
          <w:sz w:val="24"/>
          <w:szCs w:val="24"/>
          <w:u w:val="none"/>
          <w:lang w:val="en-US" w:eastAsia="zh-CN"/>
        </w:rPr>
        <w:t>模板后填写，勿改动格式，并</w:t>
      </w:r>
      <w:r>
        <w:rPr>
          <w:rFonts w:hint="eastAsia" w:ascii="宋体" w:hAnsi="宋体" w:eastAsia="宋体" w:cs="宋体"/>
          <w:sz w:val="24"/>
          <w:szCs w:val="24"/>
        </w:rPr>
        <w:t>加盖公司（单位）公章</w:t>
      </w:r>
      <w:r>
        <w:rPr>
          <w:rFonts w:hint="eastAsia" w:ascii="宋体" w:hAnsi="宋体" w:eastAsia="宋体" w:cs="宋体"/>
          <w:sz w:val="24"/>
          <w:szCs w:val="24"/>
          <w:lang w:eastAsia="zh-CN"/>
        </w:rPr>
        <w:t>（</w:t>
      </w:r>
      <w:r>
        <w:rPr>
          <w:rFonts w:hint="eastAsia" w:ascii="宋体" w:hAnsi="宋体" w:eastAsia="宋体" w:cs="宋体"/>
          <w:b/>
          <w:bCs/>
          <w:sz w:val="24"/>
          <w:szCs w:val="24"/>
          <w:lang w:val="en-US" w:eastAsia="zh-CN"/>
        </w:rPr>
        <w:t>多页的需加盖骑缝章</w:t>
      </w:r>
      <w:r>
        <w:rPr>
          <w:rFonts w:hint="eastAsia" w:ascii="宋体" w:hAnsi="宋体" w:eastAsia="宋体" w:cs="宋体"/>
          <w:sz w:val="24"/>
          <w:szCs w:val="24"/>
          <w:lang w:eastAsia="zh-CN"/>
        </w:rPr>
        <w:t>）</w:t>
      </w:r>
      <w:r>
        <w:rPr>
          <w:rFonts w:hint="eastAsia" w:ascii="宋体" w:hAnsi="宋体" w:eastAsia="宋体" w:cs="宋体"/>
          <w:sz w:val="24"/>
          <w:szCs w:val="24"/>
        </w:rPr>
        <w:t>。</w:t>
      </w:r>
    </w:p>
    <w:p w14:paraId="1096FD27">
      <w:pPr>
        <w:keepNext w:val="0"/>
        <w:keepLines w:val="0"/>
        <w:widowControl/>
        <w:numPr>
          <w:ilvl w:val="0"/>
          <w:numId w:val="4"/>
        </w:numPr>
        <w:suppressLineNumbers w:val="0"/>
        <w:spacing w:before="0" w:beforeAutospacing="0" w:after="0" w:afterAutospacing="0" w:line="440" w:lineRule="exact"/>
        <w:ind w:left="0" w:leftChars="0" w:right="0" w:firstLine="480" w:firstLineChars="200"/>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提交供应商资料应清晰且完整，大小不超过20M。（提交的邮件附件总大小超过</w:t>
      </w:r>
      <w:r>
        <w:rPr>
          <w:rFonts w:hint="eastAsia" w:ascii="宋体" w:hAnsi="宋体" w:eastAsia="宋体" w:cs="宋体"/>
          <w:b/>
          <w:bCs/>
          <w:kern w:val="2"/>
          <w:sz w:val="24"/>
          <w:szCs w:val="24"/>
          <w:lang w:val="en-US" w:eastAsia="zh-CN" w:bidi="ar"/>
        </w:rPr>
        <w:t>20M</w:t>
      </w:r>
      <w:r>
        <w:rPr>
          <w:rFonts w:hint="eastAsia" w:ascii="宋体" w:hAnsi="宋体" w:eastAsia="宋体" w:cs="宋体"/>
          <w:kern w:val="2"/>
          <w:sz w:val="24"/>
          <w:szCs w:val="24"/>
          <w:lang w:val="en-US" w:eastAsia="zh-CN" w:bidi="ar"/>
        </w:rPr>
        <w:t>自动拦截视为无效应答，附件请勿通过第三方邮箱转存附件，</w:t>
      </w:r>
      <w:r>
        <w:rPr>
          <w:rFonts w:hint="eastAsia" w:ascii="宋体" w:hAnsi="宋体" w:eastAsia="宋体" w:cs="宋体"/>
          <w:b/>
          <w:bCs/>
          <w:kern w:val="2"/>
          <w:sz w:val="24"/>
          <w:szCs w:val="24"/>
          <w:lang w:val="en-US" w:eastAsia="zh-CN" w:bidi="ar"/>
        </w:rPr>
        <w:t>材料1和材料2转为PDF格式发送</w:t>
      </w:r>
      <w:r>
        <w:rPr>
          <w:rFonts w:hint="eastAsia" w:ascii="宋体" w:hAnsi="宋体" w:eastAsia="宋体" w:cs="宋体"/>
          <w:kern w:val="2"/>
          <w:sz w:val="24"/>
          <w:szCs w:val="24"/>
          <w:lang w:val="en-US" w:eastAsia="zh-CN" w:bidi="ar"/>
        </w:rPr>
        <w:t>）</w:t>
      </w:r>
    </w:p>
    <w:p w14:paraId="2B14BBF5">
      <w:pPr>
        <w:widowControl/>
        <w:numPr>
          <w:ilvl w:val="0"/>
          <w:numId w:val="5"/>
        </w:numPr>
        <w:spacing w:line="440" w:lineRule="exact"/>
        <w:ind w:firstLine="482" w:firstLineChars="200"/>
        <w:jc w:val="left"/>
        <w:rPr>
          <w:rFonts w:hint="eastAsia" w:ascii="宋体" w:hAnsi="宋体" w:eastAsia="宋体"/>
          <w:color w:val="auto"/>
          <w:sz w:val="24"/>
          <w:szCs w:val="24"/>
        </w:rPr>
      </w:pPr>
      <w:r>
        <w:rPr>
          <w:rFonts w:hint="eastAsia" w:ascii="宋体" w:hAnsi="宋体" w:eastAsia="宋体"/>
          <w:b/>
          <w:bCs/>
          <w:sz w:val="24"/>
          <w:szCs w:val="24"/>
        </w:rPr>
        <w:t>非在库供应商请在征集时间内通过厦门国际银行采购门户网站（</w:t>
      </w:r>
      <w:r>
        <w:rPr>
          <w:rFonts w:ascii="宋体" w:hAnsi="宋体" w:eastAsia="宋体"/>
          <w:b/>
          <w:bCs/>
          <w:sz w:val="24"/>
          <w:szCs w:val="24"/>
        </w:rPr>
        <w:t>https://cpms.xib.com.cn/）完成注册，详情请登录门户网站</w:t>
      </w:r>
      <w:r>
        <w:rPr>
          <w:rFonts w:hint="eastAsia" w:ascii="宋体" w:hAnsi="宋体" w:eastAsia="宋体"/>
          <w:b/>
          <w:bCs/>
          <w:sz w:val="24"/>
          <w:szCs w:val="24"/>
        </w:rPr>
        <w:t>查阅《供应商门户操作手册》。</w:t>
      </w:r>
      <w:r>
        <w:rPr>
          <w:rFonts w:hint="eastAsia" w:ascii="宋体" w:hAnsi="宋体" w:eastAsia="宋体"/>
          <w:color w:val="auto"/>
          <w:sz w:val="24"/>
          <w:szCs w:val="24"/>
        </w:rPr>
        <w:t>如已在厦门国际银行供应商库内，无需再次注册。</w:t>
      </w:r>
    </w:p>
    <w:p w14:paraId="4E60B01B">
      <w:pPr>
        <w:widowControl/>
        <w:numPr>
          <w:ilvl w:val="0"/>
          <w:numId w:val="6"/>
        </w:numPr>
        <w:spacing w:line="440" w:lineRule="exact"/>
        <w:ind w:firstLine="480" w:firstLineChars="200"/>
        <w:jc w:val="left"/>
        <w:rPr>
          <w:rFonts w:hint="eastAsia" w:ascii="宋体" w:eastAsia="宋体"/>
          <w:color w:val="auto"/>
          <w:sz w:val="24"/>
          <w:szCs w:val="24"/>
          <w:lang w:val="en-US" w:eastAsia="zh-CN"/>
        </w:rPr>
      </w:pPr>
      <w:r>
        <w:rPr>
          <w:rFonts w:hint="eastAsia" w:ascii="宋体" w:eastAsia="宋体"/>
          <w:color w:val="auto"/>
          <w:sz w:val="24"/>
          <w:szCs w:val="24"/>
          <w:lang w:val="en-US" w:eastAsia="zh-CN"/>
        </w:rPr>
        <w:t>参与公开征集的供应商经审查通过后正式进入厦门国际银行供应商信息库，作为厦门国际银行在库供应商，进入厦门国际银行供应商库的供应商方可受邀参加厦门国际银行的采购项目。</w:t>
      </w:r>
    </w:p>
    <w:p w14:paraId="7E339F09">
      <w:pPr>
        <w:widowControl/>
        <w:numPr>
          <w:ilvl w:val="0"/>
          <w:numId w:val="6"/>
        </w:numPr>
        <w:spacing w:line="440" w:lineRule="exact"/>
        <w:ind w:firstLine="480" w:firstLineChars="200"/>
        <w:jc w:val="left"/>
        <w:rPr>
          <w:rFonts w:hint="default" w:ascii="宋体" w:hAnsi="宋体" w:eastAsia="宋体"/>
          <w:sz w:val="24"/>
          <w:szCs w:val="24"/>
          <w:lang w:val="en-US" w:eastAsia="zh-CN"/>
        </w:rPr>
      </w:pPr>
      <w:r>
        <w:rPr>
          <w:rFonts w:hint="eastAsia" w:ascii="宋体" w:hAnsi="宋体" w:eastAsia="宋体"/>
          <w:sz w:val="24"/>
          <w:szCs w:val="24"/>
        </w:rPr>
        <w:t>请按上述要求提供报名材料，报名资料须提供加盖公章的原件扫描件，对于递交资料不全的、资料内容缺失的，或未按要求加盖公章及法人签</w:t>
      </w:r>
      <w:r>
        <w:rPr>
          <w:rFonts w:hint="eastAsia" w:ascii="宋体" w:hAnsi="宋体" w:eastAsia="宋体"/>
          <w:sz w:val="24"/>
          <w:szCs w:val="24"/>
          <w:lang w:val="en-US" w:eastAsia="zh-CN"/>
        </w:rPr>
        <w:t>章</w:t>
      </w:r>
      <w:r>
        <w:rPr>
          <w:rFonts w:hint="eastAsia" w:ascii="宋体" w:hAnsi="宋体" w:eastAsia="宋体"/>
          <w:sz w:val="24"/>
          <w:szCs w:val="24"/>
        </w:rPr>
        <w:t>的原件电子扫描件视为报名资料缺漏，</w:t>
      </w:r>
      <w:r>
        <w:rPr>
          <w:rFonts w:hint="eastAsia" w:ascii="宋体" w:hAnsi="宋体" w:eastAsia="宋体"/>
          <w:sz w:val="24"/>
          <w:szCs w:val="24"/>
          <w:lang w:val="en-US" w:eastAsia="zh-CN"/>
        </w:rPr>
        <w:t>征集</w:t>
      </w:r>
      <w:r>
        <w:rPr>
          <w:rFonts w:hint="eastAsia" w:ascii="宋体" w:hAnsi="宋体" w:eastAsia="宋体"/>
          <w:sz w:val="24"/>
          <w:szCs w:val="24"/>
        </w:rPr>
        <w:t>人将拒绝接受其报名。</w:t>
      </w:r>
    </w:p>
    <w:p w14:paraId="42A2B6EA">
      <w:pPr>
        <w:keepNext w:val="0"/>
        <w:keepLines w:val="0"/>
        <w:widowControl w:val="0"/>
        <w:suppressLineNumbers w:val="0"/>
        <w:spacing w:before="0" w:beforeAutospacing="0" w:after="0" w:afterAutospacing="0" w:line="440" w:lineRule="exact"/>
        <w:ind w:right="0"/>
        <w:jc w:val="left"/>
        <w:rPr>
          <w:rFonts w:hint="eastAsia" w:ascii="宋体" w:hAnsi="宋体" w:eastAsia="宋体" w:cs="宋体"/>
          <w:kern w:val="2"/>
          <w:sz w:val="24"/>
          <w:szCs w:val="24"/>
          <w:lang w:val="en-US" w:eastAsia="zh-CN" w:bidi="ar"/>
        </w:rPr>
      </w:pPr>
    </w:p>
    <w:p w14:paraId="2BA15A39">
      <w:pPr>
        <w:keepNext w:val="0"/>
        <w:keepLines w:val="0"/>
        <w:widowControl w:val="0"/>
        <w:suppressLineNumbers w:val="0"/>
        <w:spacing w:before="0" w:beforeAutospacing="0" w:after="0" w:afterAutospacing="0" w:line="440" w:lineRule="exact"/>
        <w:ind w:left="0" w:leftChars="0" w:right="0" w:firstLine="0" w:firstLineChars="0"/>
        <w:jc w:val="left"/>
        <w:rPr>
          <w:rFonts w:hint="eastAsia" w:ascii="宋体" w:hAnsi="宋体" w:eastAsia="宋体" w:cs="宋体"/>
          <w:kern w:val="2"/>
          <w:sz w:val="24"/>
          <w:szCs w:val="24"/>
          <w:lang w:val="en-US" w:eastAsia="zh-CN" w:bidi="ar"/>
        </w:rPr>
      </w:pPr>
      <w:r>
        <w:rPr>
          <w:rFonts w:hint="eastAsia" w:ascii="宋体" w:hAnsi="宋体" w:eastAsia="宋体" w:cs="宋体"/>
          <w:b/>
          <w:bCs/>
          <w:sz w:val="24"/>
          <w:szCs w:val="24"/>
        </w:rPr>
        <w:t>★上述材料</w:t>
      </w:r>
      <w:r>
        <w:rPr>
          <w:rFonts w:hint="eastAsia" w:ascii="宋体" w:hAnsi="宋体" w:eastAsia="宋体" w:cs="宋体"/>
          <w:b/>
          <w:bCs/>
          <w:sz w:val="24"/>
          <w:szCs w:val="24"/>
          <w:lang w:val="en-US" w:eastAsia="zh-CN"/>
        </w:rPr>
        <w:t>内容</w:t>
      </w:r>
      <w:r>
        <w:rPr>
          <w:rFonts w:hint="eastAsia" w:ascii="宋体" w:hAnsi="宋体" w:eastAsia="宋体" w:cs="宋体"/>
          <w:b/>
          <w:bCs/>
          <w:sz w:val="24"/>
          <w:szCs w:val="24"/>
        </w:rPr>
        <w:t>均需</w:t>
      </w:r>
      <w:r>
        <w:rPr>
          <w:rFonts w:hint="eastAsia" w:ascii="宋体" w:hAnsi="宋体" w:eastAsia="宋体" w:cs="宋体"/>
          <w:b/>
          <w:bCs/>
          <w:sz w:val="24"/>
          <w:szCs w:val="24"/>
          <w:highlight w:val="yellow"/>
          <w:lang w:val="en-US" w:eastAsia="zh-CN"/>
        </w:rPr>
        <w:t>清晰显示</w:t>
      </w:r>
      <w:r>
        <w:rPr>
          <w:rFonts w:hint="eastAsia" w:ascii="宋体" w:hAnsi="宋体" w:eastAsia="宋体" w:cs="宋体"/>
          <w:b/>
          <w:bCs/>
          <w:sz w:val="24"/>
          <w:szCs w:val="24"/>
          <w:lang w:val="en-US" w:eastAsia="zh-CN"/>
        </w:rPr>
        <w:t>、</w:t>
      </w:r>
      <w:r>
        <w:rPr>
          <w:rFonts w:hint="eastAsia" w:ascii="宋体" w:hAnsi="宋体" w:eastAsia="宋体" w:cs="宋体"/>
          <w:b/>
          <w:bCs/>
          <w:sz w:val="24"/>
          <w:szCs w:val="24"/>
        </w:rPr>
        <w:t>加盖供应商单位公章且为PDF格式。</w:t>
      </w:r>
      <w:r>
        <w:rPr>
          <w:rFonts w:hint="eastAsia" w:ascii="宋体" w:hAnsi="宋体" w:eastAsia="宋体" w:cs="宋体"/>
          <w:b/>
          <w:bCs/>
          <w:sz w:val="24"/>
          <w:szCs w:val="24"/>
          <w:lang w:val="en-US" w:eastAsia="zh-CN"/>
        </w:rPr>
        <w:t>多页的需加盖骑缝章或每页盖章</w:t>
      </w:r>
      <w:r>
        <w:rPr>
          <w:rFonts w:hint="eastAsia" w:ascii="宋体" w:hAnsi="宋体" w:eastAsia="宋体" w:cs="宋体"/>
          <w:b/>
          <w:bCs/>
          <w:color w:val="FF0000"/>
          <w:sz w:val="24"/>
          <w:szCs w:val="24"/>
          <w:lang w:val="en-US" w:eastAsia="zh-CN"/>
        </w:rPr>
        <w:t>（请使用实体公章后扫描或电子签章规范用印，勿使用抠图、图片合成等方式“用印”）</w:t>
      </w:r>
      <w:r>
        <w:rPr>
          <w:rFonts w:hint="eastAsia" w:ascii="宋体" w:hAnsi="宋体" w:eastAsia="宋体" w:cs="宋体"/>
          <w:b/>
          <w:bCs/>
          <w:sz w:val="24"/>
          <w:szCs w:val="24"/>
          <w:lang w:val="en-US" w:eastAsia="zh-CN"/>
        </w:rPr>
        <w:t>。</w:t>
      </w:r>
    </w:p>
    <w:p w14:paraId="248597E2">
      <w:pPr>
        <w:keepNext w:val="0"/>
        <w:keepLines w:val="0"/>
        <w:widowControl/>
        <w:numPr>
          <w:ilvl w:val="0"/>
          <w:numId w:val="0"/>
        </w:numPr>
        <w:suppressLineNumbers w:val="0"/>
        <w:spacing w:before="0" w:beforeAutospacing="0" w:after="0" w:afterAutospacing="0" w:line="440" w:lineRule="exact"/>
        <w:ind w:left="567" w:right="0" w:firstLine="53" w:firstLineChars="22"/>
        <w:jc w:val="both"/>
        <w:outlineLvl w:val="0"/>
        <w:rPr>
          <w:rFonts w:hint="eastAsia" w:ascii="宋体" w:hAnsi="宋体" w:eastAsia="宋体" w:cs="宋体"/>
          <w:b/>
          <w:bCs/>
          <w:sz w:val="24"/>
          <w:lang w:bidi="ar"/>
        </w:rPr>
      </w:pPr>
      <w:r>
        <w:rPr>
          <w:rFonts w:hint="eastAsia" w:ascii="宋体" w:hAnsi="宋体" w:eastAsia="宋体" w:cs="宋体"/>
          <w:b/>
          <w:bCs/>
          <w:kern w:val="2"/>
          <w:sz w:val="24"/>
          <w:szCs w:val="24"/>
          <w:lang w:val="en-US" w:eastAsia="zh-CN" w:bidi="ar"/>
        </w:rPr>
        <w:t>六、其他注意事项</w:t>
      </w:r>
    </w:p>
    <w:p w14:paraId="4C60AB97">
      <w:pPr>
        <w:keepNext w:val="0"/>
        <w:keepLines w:val="0"/>
        <w:widowControl w:val="0"/>
        <w:suppressLineNumbers w:val="0"/>
        <w:spacing w:before="0" w:beforeAutospacing="0" w:after="0" w:afterAutospacing="0" w:line="440" w:lineRule="exact"/>
        <w:ind w:left="0" w:leftChars="0" w:right="0" w:firstLine="480" w:firstLineChars="200"/>
        <w:jc w:val="left"/>
        <w:rPr>
          <w:rFonts w:hint="eastAsia" w:ascii="宋体" w:hAnsi="宋体" w:eastAsia="宋体" w:cs="宋体"/>
          <w:sz w:val="24"/>
        </w:rPr>
      </w:pPr>
      <w:r>
        <w:rPr>
          <w:rFonts w:hint="eastAsia" w:ascii="宋体" w:hAnsi="宋体" w:eastAsia="宋体" w:cs="宋体"/>
          <w:kern w:val="2"/>
          <w:sz w:val="24"/>
          <w:szCs w:val="24"/>
          <w:lang w:val="en-US" w:eastAsia="zh-CN" w:bidi="ar"/>
        </w:rPr>
        <w:t>1. 能够完全满足我行采购需求、有合作意向、符合资格要求、报名要求的供应商均可报名。</w:t>
      </w:r>
    </w:p>
    <w:p w14:paraId="5ABD1056">
      <w:pPr>
        <w:pStyle w:val="2"/>
        <w:spacing w:line="440" w:lineRule="exact"/>
        <w:rPr>
          <w:rFonts w:hint="eastAsia" w:ascii="宋体" w:hAnsi="宋体" w:eastAsia="宋体" w:cs="宋体"/>
          <w:b/>
          <w:bCs/>
          <w:color w:val="FF0000"/>
          <w:kern w:val="2"/>
          <w:sz w:val="24"/>
          <w:szCs w:val="24"/>
          <w:lang w:val="en-US" w:eastAsia="zh-CN" w:bidi="ar"/>
        </w:rPr>
      </w:pPr>
      <w:r>
        <w:rPr>
          <w:rFonts w:hint="eastAsia" w:ascii="宋体" w:hAnsi="宋体" w:eastAsia="宋体" w:cs="宋体"/>
          <w:kern w:val="2"/>
          <w:sz w:val="24"/>
          <w:szCs w:val="24"/>
          <w:lang w:val="en-US" w:eastAsia="zh-CN" w:bidi="ar"/>
        </w:rPr>
        <w:t>2.</w:t>
      </w:r>
      <w:r>
        <w:rPr>
          <w:rFonts w:hint="eastAsia" w:ascii="宋体" w:eastAsia="宋体" w:cs="宋体"/>
          <w:kern w:val="2"/>
          <w:sz w:val="24"/>
          <w:szCs w:val="24"/>
          <w:lang w:val="en-US" w:eastAsia="zh-CN" w:bidi="ar"/>
        </w:rPr>
        <w:t xml:space="preserve"> </w:t>
      </w:r>
      <w:r>
        <w:rPr>
          <w:rFonts w:hint="eastAsia" w:ascii="宋体" w:hAnsi="宋体" w:eastAsia="宋体" w:cs="宋体"/>
          <w:b/>
          <w:bCs/>
          <w:color w:val="FF0000"/>
          <w:kern w:val="2"/>
          <w:sz w:val="24"/>
          <w:szCs w:val="24"/>
          <w:lang w:val="en-US" w:eastAsia="zh-CN" w:bidi="ar"/>
        </w:rPr>
        <w:t>征集人接收供应商的报名资料并不表示接受报名供应商参与本项目，征集人有权选定并邀请全部或部分合格供应商参与本项目集中采购活动。</w:t>
      </w:r>
    </w:p>
    <w:p w14:paraId="1C6B8EED">
      <w:pPr>
        <w:keepNext w:val="0"/>
        <w:keepLines w:val="0"/>
        <w:widowControl w:val="0"/>
        <w:numPr>
          <w:ilvl w:val="-1"/>
          <w:numId w:val="0"/>
        </w:numPr>
        <w:suppressLineNumbers w:val="0"/>
        <w:spacing w:before="0" w:beforeAutospacing="0" w:after="0" w:afterAutospacing="0" w:line="440" w:lineRule="exact"/>
        <w:ind w:left="0" w:leftChars="0" w:right="0" w:firstLine="480" w:firstLineChars="200"/>
        <w:jc w:val="left"/>
        <w:rPr>
          <w:rFonts w:hint="eastAsia" w:ascii="宋体" w:hAnsi="宋体" w:eastAsia="宋体" w:cs="宋体"/>
          <w:kern w:val="2"/>
          <w:sz w:val="24"/>
          <w:szCs w:val="24"/>
          <w:lang w:val="en-US" w:eastAsia="zh-CN" w:bidi="ar"/>
        </w:rPr>
      </w:pPr>
      <w:r>
        <w:rPr>
          <w:rFonts w:hint="eastAsia"/>
          <w:sz w:val="24"/>
          <w:szCs w:val="32"/>
        </w:rPr>
        <w:t>进入邀请名单的供应商将以邮件形式进行通知，非请勿扰。</w:t>
      </w:r>
    </w:p>
    <w:p w14:paraId="0D660BF2">
      <w:pPr>
        <w:keepNext w:val="0"/>
        <w:keepLines w:val="0"/>
        <w:widowControl w:val="0"/>
        <w:numPr>
          <w:ilvl w:val="-1"/>
          <w:numId w:val="0"/>
        </w:numPr>
        <w:suppressLineNumbers w:val="0"/>
        <w:spacing w:before="0" w:beforeAutospacing="0" w:after="0" w:afterAutospacing="0" w:line="440" w:lineRule="exact"/>
        <w:ind w:left="0" w:leftChars="0" w:right="0" w:firstLine="480" w:firstLineChars="200"/>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 xml:space="preserve">3. </w:t>
      </w:r>
      <w:r>
        <w:rPr>
          <w:rFonts w:hint="eastAsia" w:ascii="宋体" w:eastAsia="宋体" w:cs="宋体"/>
          <w:kern w:val="2"/>
          <w:sz w:val="24"/>
          <w:szCs w:val="24"/>
          <w:lang w:val="en-US" w:eastAsia="zh-CN" w:bidi="ar"/>
        </w:rPr>
        <w:t>征集人视收到的上述资料不涉及商业秘密，所有供应商报名资料恕不退还。</w:t>
      </w:r>
    </w:p>
    <w:p w14:paraId="44274560">
      <w:pPr>
        <w:keepNext w:val="0"/>
        <w:keepLines w:val="0"/>
        <w:widowControl w:val="0"/>
        <w:suppressLineNumbers w:val="0"/>
        <w:spacing w:before="0" w:beforeAutospacing="0" w:after="0" w:afterAutospacing="0" w:line="440" w:lineRule="exact"/>
        <w:ind w:left="0" w:leftChars="0" w:right="0" w:firstLine="480" w:firstLineChars="200"/>
        <w:jc w:val="left"/>
        <w:rPr>
          <w:rFonts w:hint="eastAsia" w:ascii="宋体" w:hAnsi="宋体" w:eastAsia="宋体" w:cs="宋体"/>
          <w:sz w:val="24"/>
        </w:rPr>
      </w:pPr>
      <w:r>
        <w:rPr>
          <w:rFonts w:hint="eastAsia" w:ascii="宋体" w:hAnsi="宋体" w:eastAsia="宋体" w:cs="宋体"/>
          <w:kern w:val="2"/>
          <w:sz w:val="24"/>
          <w:szCs w:val="24"/>
          <w:lang w:val="en-US" w:eastAsia="zh-CN" w:bidi="ar"/>
        </w:rPr>
        <w:t>4. 本次公开征集不收取供应商的任何费用。</w:t>
      </w:r>
    </w:p>
    <w:p w14:paraId="64B84272">
      <w:pPr>
        <w:keepNext w:val="0"/>
        <w:keepLines w:val="0"/>
        <w:widowControl w:val="0"/>
        <w:suppressLineNumbers w:val="0"/>
        <w:spacing w:before="0" w:beforeAutospacing="0" w:after="0" w:afterAutospacing="0" w:line="440" w:lineRule="exact"/>
        <w:ind w:left="0" w:leftChars="0" w:right="0" w:firstLine="480" w:firstLineChars="200"/>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5. 供应商须对报名信息和资料的真实性负责。如提供虚假材料，将取消报名资格并列入我行供应商黑名单。</w:t>
      </w:r>
    </w:p>
    <w:p w14:paraId="247E66F0">
      <w:pPr>
        <w:widowControl w:val="0"/>
        <w:spacing w:line="440" w:lineRule="exact"/>
        <w:ind w:firstLine="480" w:firstLineChars="200"/>
        <w:rPr>
          <w:rFonts w:hint="eastAsia" w:ascii="宋体" w:hAnsi="宋体" w:eastAsia="宋体" w:cs="宋体"/>
        </w:rPr>
      </w:pPr>
      <w:r>
        <w:rPr>
          <w:rFonts w:hint="eastAsia" w:ascii="宋体" w:hAnsi="宋体" w:cs="宋体"/>
          <w:kern w:val="2"/>
          <w:sz w:val="24"/>
          <w:szCs w:val="24"/>
          <w:lang w:val="en-US" w:eastAsia="zh-CN" w:bidi="ar"/>
        </w:rPr>
        <w:t xml:space="preserve">6. </w:t>
      </w:r>
      <w:r>
        <w:rPr>
          <w:rFonts w:hint="eastAsia" w:ascii="宋体" w:hAnsi="宋体" w:eastAsia="宋体" w:cs="宋体"/>
          <w:kern w:val="0"/>
          <w:sz w:val="24"/>
          <w:szCs w:val="24"/>
        </w:rPr>
        <w:t>对于上述事项存在疑问的，请及时与我行联系。</w:t>
      </w:r>
    </w:p>
    <w:p w14:paraId="06E9242B">
      <w:pPr>
        <w:spacing w:line="440" w:lineRule="exact"/>
        <w:ind w:firstLine="480" w:firstLineChars="200"/>
        <w:rPr>
          <w:rFonts w:ascii="宋体" w:hAnsi="宋体" w:eastAsia="宋体"/>
          <w:sz w:val="24"/>
          <w:szCs w:val="24"/>
        </w:rPr>
      </w:pPr>
      <w:r>
        <w:rPr>
          <w:rFonts w:hint="eastAsia" w:ascii="宋体" w:hAnsi="宋体" w:eastAsia="宋体"/>
          <w:sz w:val="24"/>
          <w:szCs w:val="24"/>
        </w:rPr>
        <w:t>特此公告。</w:t>
      </w:r>
    </w:p>
    <w:p w14:paraId="64D3B5BF">
      <w:pPr>
        <w:spacing w:line="440" w:lineRule="exact"/>
        <w:ind w:firstLine="480" w:firstLineChars="200"/>
        <w:jc w:val="right"/>
        <w:rPr>
          <w:rFonts w:hint="eastAsia" w:ascii="宋体" w:hAnsi="宋体" w:eastAsia="宋体"/>
          <w:sz w:val="24"/>
          <w:szCs w:val="24"/>
        </w:rPr>
      </w:pPr>
    </w:p>
    <w:p w14:paraId="3D748E28">
      <w:pPr>
        <w:spacing w:line="440" w:lineRule="exact"/>
        <w:ind w:firstLine="480" w:firstLineChars="200"/>
        <w:jc w:val="right"/>
        <w:rPr>
          <w:rFonts w:hint="eastAsia" w:ascii="宋体" w:hAnsi="宋体" w:eastAsia="宋体"/>
          <w:sz w:val="24"/>
          <w:szCs w:val="24"/>
          <w:lang w:val="en-US" w:eastAsia="zh-CN"/>
        </w:rPr>
      </w:pPr>
      <w:r>
        <w:rPr>
          <w:rFonts w:hint="eastAsia" w:ascii="宋体" w:hAnsi="宋体" w:eastAsia="宋体"/>
          <w:sz w:val="24"/>
          <w:szCs w:val="24"/>
        </w:rPr>
        <w:t>厦门国际银行股份有限公</w:t>
      </w:r>
      <w:r>
        <w:rPr>
          <w:rFonts w:hint="eastAsia" w:ascii="宋体" w:hAnsi="宋体" w:eastAsia="宋体"/>
          <w:sz w:val="24"/>
          <w:szCs w:val="24"/>
          <w:lang w:val="en-US" w:eastAsia="zh-CN"/>
        </w:rPr>
        <w:t>司</w:t>
      </w:r>
    </w:p>
    <w:p w14:paraId="39A2482C">
      <w:pPr>
        <w:spacing w:line="440" w:lineRule="exact"/>
        <w:ind w:firstLine="480" w:firstLineChars="200"/>
        <w:jc w:val="right"/>
        <w:rPr>
          <w:rFonts w:hint="eastAsia" w:ascii="宋体" w:hAnsi="宋体" w:eastAsia="宋体" w:cs="宋体"/>
          <w:sz w:val="24"/>
        </w:rPr>
      </w:pPr>
      <w:r>
        <w:rPr>
          <w:rFonts w:ascii="宋体" w:hAnsi="宋体" w:eastAsia="宋体"/>
          <w:sz w:val="24"/>
          <w:szCs w:val="24"/>
        </w:rPr>
        <w:t>202</w:t>
      </w:r>
      <w:r>
        <w:rPr>
          <w:rFonts w:hint="eastAsia" w:ascii="宋体" w:hAnsi="宋体" w:eastAsia="宋体"/>
          <w:sz w:val="24"/>
          <w:szCs w:val="24"/>
          <w:lang w:val="en-US" w:eastAsia="zh-CN"/>
        </w:rPr>
        <w:t>5</w:t>
      </w:r>
      <w:r>
        <w:rPr>
          <w:rFonts w:ascii="宋体" w:hAnsi="宋体" w:eastAsia="宋体"/>
          <w:sz w:val="24"/>
          <w:szCs w:val="24"/>
        </w:rPr>
        <w:t>年</w:t>
      </w:r>
      <w:r>
        <w:rPr>
          <w:rFonts w:hint="eastAsia" w:ascii="宋体" w:hAnsi="宋体" w:eastAsia="宋体"/>
          <w:sz w:val="24"/>
          <w:szCs w:val="24"/>
          <w:lang w:val="en-US" w:eastAsia="zh-CN"/>
        </w:rPr>
        <w:t>12</w:t>
      </w:r>
      <w:r>
        <w:rPr>
          <w:rFonts w:ascii="宋体" w:hAnsi="宋体" w:eastAsia="宋体"/>
          <w:sz w:val="24"/>
          <w:szCs w:val="24"/>
        </w:rPr>
        <w:t>月</w:t>
      </w:r>
      <w:r>
        <w:rPr>
          <w:rFonts w:hint="eastAsia" w:ascii="宋体" w:hAnsi="宋体" w:eastAsia="宋体"/>
          <w:sz w:val="24"/>
          <w:szCs w:val="24"/>
          <w:lang w:val="en-US" w:eastAsia="zh-CN"/>
        </w:rPr>
        <w:t>31</w:t>
      </w:r>
      <w:r>
        <w:rPr>
          <w:rFonts w:ascii="宋体" w:hAnsi="宋体" w:eastAsia="宋体"/>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7083D0"/>
    <w:multiLevelType w:val="singleLevel"/>
    <w:tmpl w:val="907083D0"/>
    <w:lvl w:ilvl="0" w:tentative="0">
      <w:start w:val="2"/>
      <w:numFmt w:val="decimal"/>
      <w:lvlText w:val="%1."/>
      <w:lvlJc w:val="left"/>
      <w:pPr>
        <w:tabs>
          <w:tab w:val="left" w:pos="312"/>
        </w:tabs>
      </w:pPr>
    </w:lvl>
  </w:abstractNum>
  <w:abstractNum w:abstractNumId="1">
    <w:nsid w:val="C04CBC6E"/>
    <w:multiLevelType w:val="singleLevel"/>
    <w:tmpl w:val="C04CBC6E"/>
    <w:lvl w:ilvl="0" w:tentative="0">
      <w:start w:val="3"/>
      <w:numFmt w:val="decimal"/>
      <w:lvlText w:val="%1."/>
      <w:lvlJc w:val="left"/>
      <w:pPr>
        <w:tabs>
          <w:tab w:val="left" w:pos="312"/>
        </w:tabs>
      </w:pPr>
    </w:lvl>
  </w:abstractNum>
  <w:abstractNum w:abstractNumId="2">
    <w:nsid w:val="CC5AFA3C"/>
    <w:multiLevelType w:val="singleLevel"/>
    <w:tmpl w:val="CC5AFA3C"/>
    <w:lvl w:ilvl="0" w:tentative="0">
      <w:start w:val="1"/>
      <w:numFmt w:val="chineseCounting"/>
      <w:suff w:val="nothing"/>
      <w:lvlText w:val="（%1）"/>
      <w:lvlJc w:val="left"/>
      <w:pPr>
        <w:ind w:left="0" w:firstLine="420"/>
      </w:pPr>
      <w:rPr>
        <w:rFonts w:hint="eastAsia"/>
      </w:rPr>
    </w:lvl>
  </w:abstractNum>
  <w:abstractNum w:abstractNumId="3">
    <w:nsid w:val="00000019"/>
    <w:multiLevelType w:val="multilevel"/>
    <w:tmpl w:val="00000019"/>
    <w:lvl w:ilvl="0" w:tentative="0">
      <w:start w:val="1"/>
      <w:numFmt w:val="decimal"/>
      <w:lvlText w:val="%1"/>
      <w:lvlJc w:val="left"/>
      <w:pPr>
        <w:tabs>
          <w:tab w:val="left" w:pos="432"/>
        </w:tabs>
        <w:ind w:left="432" w:hanging="432"/>
      </w:pPr>
      <w:rPr>
        <w:rFonts w:hint="default" w:ascii="Times New Roman" w:hAnsi="Times New Roman" w:eastAsia="宋体"/>
      </w:rPr>
    </w:lvl>
    <w:lvl w:ilvl="1" w:tentative="0">
      <w:start w:val="1"/>
      <w:numFmt w:val="decimal"/>
      <w:lvlText w:val="%1.%2"/>
      <w:lvlJc w:val="left"/>
      <w:pPr>
        <w:tabs>
          <w:tab w:val="left" w:pos="576"/>
        </w:tabs>
        <w:ind w:left="576" w:hanging="576"/>
      </w:pPr>
      <w:rPr>
        <w:rFonts w:hint="default" w:ascii="Times New Roman" w:hAnsi="Times New Roman" w:eastAsia="宋体"/>
      </w:rPr>
    </w:lvl>
    <w:lvl w:ilvl="2" w:tentative="0">
      <w:start w:val="1"/>
      <w:numFmt w:val="decimal"/>
      <w:lvlText w:val="%1.%2.%3"/>
      <w:lvlJc w:val="left"/>
      <w:pPr>
        <w:tabs>
          <w:tab w:val="left" w:pos="720"/>
        </w:tabs>
        <w:ind w:left="720" w:hanging="720"/>
      </w:pPr>
      <w:rPr>
        <w:rFonts w:hint="default" w:ascii="Times New Roman" w:hAnsi="Times New Roman" w:eastAsia="宋体"/>
      </w:rPr>
    </w:lvl>
    <w:lvl w:ilvl="3" w:tentative="0">
      <w:start w:val="1"/>
      <w:numFmt w:val="decimal"/>
      <w:pStyle w:val="21"/>
      <w:lvlText w:val="%1.%2.%3.%4"/>
      <w:lvlJc w:val="left"/>
      <w:pPr>
        <w:tabs>
          <w:tab w:val="left" w:pos="864"/>
        </w:tabs>
        <w:ind w:left="864" w:hanging="864"/>
      </w:pPr>
      <w:rPr>
        <w:rFonts w:hint="default" w:ascii="Times New Roman" w:hAnsi="Times New Roman" w:eastAsia="宋体"/>
      </w:rPr>
    </w:lvl>
    <w:lvl w:ilvl="4" w:tentative="0">
      <w:start w:val="1"/>
      <w:numFmt w:val="decimal"/>
      <w:lvlText w:val="%1.%2.%3.%4.%5"/>
      <w:lvlJc w:val="left"/>
      <w:pPr>
        <w:tabs>
          <w:tab w:val="left" w:pos="1008"/>
        </w:tabs>
        <w:ind w:left="1008" w:hanging="1008"/>
      </w:pPr>
      <w:rPr>
        <w:rFonts w:hint="default" w:ascii="Times New Roman" w:hAnsi="Times New Roman" w:eastAsia="宋体"/>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4">
    <w:nsid w:val="36C42D9A"/>
    <w:multiLevelType w:val="multilevel"/>
    <w:tmpl w:val="36C42D9A"/>
    <w:lvl w:ilvl="0" w:tentative="0">
      <w:start w:val="1"/>
      <w:numFmt w:val="decimal"/>
      <w:lvlText w:val="%1."/>
      <w:lvlJc w:val="left"/>
      <w:pPr>
        <w:tabs>
          <w:tab w:val="left" w:pos="425"/>
        </w:tabs>
        <w:ind w:left="425" w:hanging="425"/>
      </w:pPr>
      <w:rPr>
        <w:rFonts w:hint="default" w:ascii="Times New Roman" w:hAnsi="Times New Roman" w:eastAsia="黑体"/>
        <w:b/>
        <w:i w:val="0"/>
        <w:sz w:val="36"/>
      </w:rPr>
    </w:lvl>
    <w:lvl w:ilvl="1" w:tentative="0">
      <w:start w:val="1"/>
      <w:numFmt w:val="decimal"/>
      <w:lvlText w:val="%1.%2."/>
      <w:lvlJc w:val="left"/>
      <w:pPr>
        <w:tabs>
          <w:tab w:val="left" w:pos="567"/>
        </w:tabs>
        <w:ind w:left="567" w:hanging="567"/>
      </w:pPr>
      <w:rPr>
        <w:rFonts w:hint="default" w:ascii="Times New Roman" w:hAnsi="Times New Roman" w:eastAsia="黑体"/>
        <w:b/>
        <w:i w:val="0"/>
        <w:sz w:val="30"/>
      </w:rPr>
    </w:lvl>
    <w:lvl w:ilvl="2" w:tentative="0">
      <w:start w:val="1"/>
      <w:numFmt w:val="decimal"/>
      <w:lvlText w:val="%1.%2.%3."/>
      <w:lvlJc w:val="left"/>
      <w:pPr>
        <w:tabs>
          <w:tab w:val="left" w:pos="1135"/>
        </w:tabs>
        <w:ind w:left="1135" w:hanging="709"/>
      </w:pPr>
      <w:rPr>
        <w:rFonts w:hint="eastAsia"/>
      </w:rPr>
    </w:lvl>
    <w:lvl w:ilvl="3" w:tentative="0">
      <w:start w:val="1"/>
      <w:numFmt w:val="decimal"/>
      <w:pStyle w:val="5"/>
      <w:isLgl/>
      <w:lvlText w:val="%1.%2.%3.%4."/>
      <w:lvlJc w:val="left"/>
      <w:pPr>
        <w:tabs>
          <w:tab w:val="left" w:pos="851"/>
        </w:tabs>
        <w:ind w:left="851" w:hanging="851"/>
      </w:pPr>
      <w:rPr>
        <w:rFonts w:hint="default" w:ascii="Times New Roman" w:hAnsi="Times New Roman" w:eastAsia="宋体"/>
        <w:b/>
        <w:i w:val="0"/>
        <w:sz w:val="28"/>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5">
    <w:nsid w:val="5B777C0F"/>
    <w:multiLevelType w:val="singleLevel"/>
    <w:tmpl w:val="5B777C0F"/>
    <w:lvl w:ilvl="0" w:tentative="0">
      <w:start w:val="4"/>
      <w:numFmt w:val="decimal"/>
      <w:lvlText w:val="%1."/>
      <w:lvlJc w:val="left"/>
      <w:pPr>
        <w:tabs>
          <w:tab w:val="left" w:pos="312"/>
        </w:tabs>
      </w:pPr>
    </w:lvl>
  </w:abstractNum>
  <w:num w:numId="1">
    <w:abstractNumId w:val="4"/>
  </w:num>
  <w:num w:numId="2">
    <w:abstractNumId w:val="3"/>
  </w:num>
  <w:num w:numId="3">
    <w:abstractNumId w:val="2"/>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002AAE"/>
    <w:rsid w:val="00047D12"/>
    <w:rsid w:val="01297C48"/>
    <w:rsid w:val="02AF65DD"/>
    <w:rsid w:val="02E466E7"/>
    <w:rsid w:val="03180AE8"/>
    <w:rsid w:val="03846C33"/>
    <w:rsid w:val="03A235C4"/>
    <w:rsid w:val="0432479B"/>
    <w:rsid w:val="048605CC"/>
    <w:rsid w:val="058A1BA0"/>
    <w:rsid w:val="067B56FE"/>
    <w:rsid w:val="06F26603"/>
    <w:rsid w:val="07590D47"/>
    <w:rsid w:val="0779032C"/>
    <w:rsid w:val="080D77A6"/>
    <w:rsid w:val="08ED64C0"/>
    <w:rsid w:val="0B5D6361"/>
    <w:rsid w:val="0BB36D0B"/>
    <w:rsid w:val="0BCF281B"/>
    <w:rsid w:val="0CDE56C6"/>
    <w:rsid w:val="0D0C0593"/>
    <w:rsid w:val="0DBC6F3F"/>
    <w:rsid w:val="0ECA7307"/>
    <w:rsid w:val="0EF12B0D"/>
    <w:rsid w:val="0FA16699"/>
    <w:rsid w:val="0FE764A2"/>
    <w:rsid w:val="10BE435D"/>
    <w:rsid w:val="10D05B8E"/>
    <w:rsid w:val="10D32584"/>
    <w:rsid w:val="10EA5802"/>
    <w:rsid w:val="11090DFF"/>
    <w:rsid w:val="110E3A1C"/>
    <w:rsid w:val="12234E8C"/>
    <w:rsid w:val="12421A01"/>
    <w:rsid w:val="12CC55D4"/>
    <w:rsid w:val="12D41BF4"/>
    <w:rsid w:val="12F9372E"/>
    <w:rsid w:val="1374308A"/>
    <w:rsid w:val="1442284A"/>
    <w:rsid w:val="14682012"/>
    <w:rsid w:val="1538455A"/>
    <w:rsid w:val="15763AC2"/>
    <w:rsid w:val="16310531"/>
    <w:rsid w:val="165F3FDF"/>
    <w:rsid w:val="171A6EB7"/>
    <w:rsid w:val="1737248C"/>
    <w:rsid w:val="17C5460C"/>
    <w:rsid w:val="18075128"/>
    <w:rsid w:val="18242AEB"/>
    <w:rsid w:val="184B2928"/>
    <w:rsid w:val="195A23FF"/>
    <w:rsid w:val="1AF5110C"/>
    <w:rsid w:val="1B515E62"/>
    <w:rsid w:val="1B9E761C"/>
    <w:rsid w:val="1DE04E79"/>
    <w:rsid w:val="1DF26975"/>
    <w:rsid w:val="1EFF4E81"/>
    <w:rsid w:val="1FCE72A6"/>
    <w:rsid w:val="20300E69"/>
    <w:rsid w:val="211D0069"/>
    <w:rsid w:val="215141D2"/>
    <w:rsid w:val="215D5AE0"/>
    <w:rsid w:val="23965F9D"/>
    <w:rsid w:val="244F54A0"/>
    <w:rsid w:val="25145AFC"/>
    <w:rsid w:val="26C35609"/>
    <w:rsid w:val="26D9726A"/>
    <w:rsid w:val="285809A1"/>
    <w:rsid w:val="28C52760"/>
    <w:rsid w:val="2A1745A7"/>
    <w:rsid w:val="2A6C7E82"/>
    <w:rsid w:val="2B312BCE"/>
    <w:rsid w:val="2BBE65D0"/>
    <w:rsid w:val="2C002AAE"/>
    <w:rsid w:val="2C1E3C6A"/>
    <w:rsid w:val="2EBF1D48"/>
    <w:rsid w:val="2F11151E"/>
    <w:rsid w:val="2F2518F3"/>
    <w:rsid w:val="2F605FDE"/>
    <w:rsid w:val="2F863A64"/>
    <w:rsid w:val="32733D4F"/>
    <w:rsid w:val="329F3E18"/>
    <w:rsid w:val="33AD49B0"/>
    <w:rsid w:val="33BE6305"/>
    <w:rsid w:val="33CD5DE8"/>
    <w:rsid w:val="354A3CFC"/>
    <w:rsid w:val="36081483"/>
    <w:rsid w:val="360B0315"/>
    <w:rsid w:val="366E4CB7"/>
    <w:rsid w:val="36AB673F"/>
    <w:rsid w:val="37955BBF"/>
    <w:rsid w:val="37D800AA"/>
    <w:rsid w:val="38424796"/>
    <w:rsid w:val="3A811726"/>
    <w:rsid w:val="3AF175F7"/>
    <w:rsid w:val="3B4F4141"/>
    <w:rsid w:val="3D712FFF"/>
    <w:rsid w:val="3D87287F"/>
    <w:rsid w:val="3DB755CD"/>
    <w:rsid w:val="3E6C429E"/>
    <w:rsid w:val="400F6634"/>
    <w:rsid w:val="41FE1AD4"/>
    <w:rsid w:val="421B011A"/>
    <w:rsid w:val="43B63963"/>
    <w:rsid w:val="45100B3C"/>
    <w:rsid w:val="45685CED"/>
    <w:rsid w:val="46746E94"/>
    <w:rsid w:val="46CC4364"/>
    <w:rsid w:val="46F8175E"/>
    <w:rsid w:val="472E186C"/>
    <w:rsid w:val="47670B87"/>
    <w:rsid w:val="48FC108B"/>
    <w:rsid w:val="49616F35"/>
    <w:rsid w:val="49DD6ED9"/>
    <w:rsid w:val="4A200424"/>
    <w:rsid w:val="4A343869"/>
    <w:rsid w:val="4A3B76F9"/>
    <w:rsid w:val="4C2D3DDC"/>
    <w:rsid w:val="4CBC14E5"/>
    <w:rsid w:val="4CEF5AE7"/>
    <w:rsid w:val="4D5A6F19"/>
    <w:rsid w:val="4DA64574"/>
    <w:rsid w:val="4E201A58"/>
    <w:rsid w:val="4E563093"/>
    <w:rsid w:val="4EDE01D4"/>
    <w:rsid w:val="4F14452D"/>
    <w:rsid w:val="4F402D9D"/>
    <w:rsid w:val="500E0226"/>
    <w:rsid w:val="50E65D56"/>
    <w:rsid w:val="51EA736F"/>
    <w:rsid w:val="52114133"/>
    <w:rsid w:val="538916F6"/>
    <w:rsid w:val="53AE3814"/>
    <w:rsid w:val="5407085B"/>
    <w:rsid w:val="54373AB8"/>
    <w:rsid w:val="54B80B8E"/>
    <w:rsid w:val="55304CBF"/>
    <w:rsid w:val="55764176"/>
    <w:rsid w:val="55F8151B"/>
    <w:rsid w:val="56D35AAE"/>
    <w:rsid w:val="57AF466A"/>
    <w:rsid w:val="57D961AD"/>
    <w:rsid w:val="58AF1910"/>
    <w:rsid w:val="58F333FF"/>
    <w:rsid w:val="59512903"/>
    <w:rsid w:val="59EA210A"/>
    <w:rsid w:val="5B0E1573"/>
    <w:rsid w:val="5D6F6B2F"/>
    <w:rsid w:val="5E054B47"/>
    <w:rsid w:val="5E7C004B"/>
    <w:rsid w:val="5ED327B2"/>
    <w:rsid w:val="5F4408D8"/>
    <w:rsid w:val="5F4C5CE4"/>
    <w:rsid w:val="5F840017"/>
    <w:rsid w:val="5FB6328B"/>
    <w:rsid w:val="62762D19"/>
    <w:rsid w:val="63782BF7"/>
    <w:rsid w:val="6381393F"/>
    <w:rsid w:val="64086C96"/>
    <w:rsid w:val="64546A26"/>
    <w:rsid w:val="66665D3B"/>
    <w:rsid w:val="66A524D9"/>
    <w:rsid w:val="672F63D1"/>
    <w:rsid w:val="674F166D"/>
    <w:rsid w:val="6828423E"/>
    <w:rsid w:val="682A4C70"/>
    <w:rsid w:val="69057612"/>
    <w:rsid w:val="690D335D"/>
    <w:rsid w:val="693E4216"/>
    <w:rsid w:val="6969450E"/>
    <w:rsid w:val="6BE77685"/>
    <w:rsid w:val="6CF42C79"/>
    <w:rsid w:val="6D9738D3"/>
    <w:rsid w:val="6F2F4B24"/>
    <w:rsid w:val="6FCC1A4E"/>
    <w:rsid w:val="70D204E3"/>
    <w:rsid w:val="710D4B86"/>
    <w:rsid w:val="71814EAA"/>
    <w:rsid w:val="71C3777D"/>
    <w:rsid w:val="71E11515"/>
    <w:rsid w:val="72A058EB"/>
    <w:rsid w:val="72B269CD"/>
    <w:rsid w:val="7305217D"/>
    <w:rsid w:val="731F10EE"/>
    <w:rsid w:val="759D1CBC"/>
    <w:rsid w:val="76811018"/>
    <w:rsid w:val="76D13D4E"/>
    <w:rsid w:val="771547EB"/>
    <w:rsid w:val="77BE25A5"/>
    <w:rsid w:val="79127830"/>
    <w:rsid w:val="79482721"/>
    <w:rsid w:val="7A2C7000"/>
    <w:rsid w:val="7A646F29"/>
    <w:rsid w:val="7A7E7F2D"/>
    <w:rsid w:val="7AE243C5"/>
    <w:rsid w:val="7B383F08"/>
    <w:rsid w:val="7BF12F4B"/>
    <w:rsid w:val="7D6C0B8F"/>
    <w:rsid w:val="7F981D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kern w:val="44"/>
      <w:sz w:val="24"/>
      <w:szCs w:val="24"/>
      <w:lang w:val="en-US" w:eastAsia="zh-CN" w:bidi="ar"/>
    </w:rPr>
  </w:style>
  <w:style w:type="paragraph" w:styleId="5">
    <w:name w:val="heading 4"/>
    <w:basedOn w:val="1"/>
    <w:next w:val="1"/>
    <w:qFormat/>
    <w:uiPriority w:val="0"/>
    <w:pPr>
      <w:keepNext/>
      <w:keepLines/>
      <w:numPr>
        <w:ilvl w:val="3"/>
        <w:numId w:val="1"/>
      </w:numPr>
      <w:spacing w:after="156" w:afterLines="50" w:line="360" w:lineRule="auto"/>
      <w:outlineLvl w:val="3"/>
    </w:pPr>
    <w:rPr>
      <w:rFonts w:ascii="Times New Roman" w:hAnsi="Times New Roman"/>
      <w:b/>
      <w:bCs/>
      <w:sz w:val="28"/>
      <w:szCs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Normal Indent"/>
    <w:basedOn w:val="1"/>
    <w:next w:val="3"/>
    <w:qFormat/>
    <w:uiPriority w:val="0"/>
    <w:pPr>
      <w:spacing w:line="360" w:lineRule="auto"/>
      <w:ind w:firstLine="480" w:firstLineChars="200"/>
    </w:pPr>
    <w:rPr>
      <w:rFonts w:ascii="Times New Roman" w:hAnsi="宋体"/>
      <w:sz w:val="24"/>
      <w:szCs w:val="24"/>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6">
    <w:name w:val="annotation text"/>
    <w:basedOn w:val="1"/>
    <w:qFormat/>
    <w:uiPriority w:val="0"/>
    <w:pPr>
      <w:jc w:val="left"/>
    </w:pPr>
  </w:style>
  <w:style w:type="paragraph" w:styleId="7">
    <w:name w:val="footer"/>
    <w:basedOn w:val="1"/>
    <w:next w:val="1"/>
    <w:unhideWhenUsed/>
    <w:qFormat/>
    <w:uiPriority w:val="99"/>
    <w:pPr>
      <w:tabs>
        <w:tab w:val="center" w:pos="4153"/>
        <w:tab w:val="right" w:pos="8306"/>
      </w:tabs>
      <w:snapToGrid w:val="0"/>
      <w:jc w:val="left"/>
    </w:pPr>
    <w:rPr>
      <w:kern w:val="0"/>
      <w:sz w:val="18"/>
      <w:szCs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 w:type="character" w:styleId="13">
    <w:name w:val="FollowedHyperlink"/>
    <w:basedOn w:val="11"/>
    <w:qFormat/>
    <w:uiPriority w:val="0"/>
    <w:rPr>
      <w:color w:val="277EFF"/>
      <w:u w:val="none"/>
    </w:rPr>
  </w:style>
  <w:style w:type="character" w:styleId="14">
    <w:name w:val="Emphasis"/>
    <w:basedOn w:val="11"/>
    <w:qFormat/>
    <w:uiPriority w:val="0"/>
  </w:style>
  <w:style w:type="character" w:styleId="15">
    <w:name w:val="HTML Definition"/>
    <w:basedOn w:val="11"/>
    <w:qFormat/>
    <w:uiPriority w:val="0"/>
  </w:style>
  <w:style w:type="character" w:styleId="16">
    <w:name w:val="HTML Acronym"/>
    <w:basedOn w:val="11"/>
    <w:qFormat/>
    <w:uiPriority w:val="0"/>
  </w:style>
  <w:style w:type="character" w:styleId="17">
    <w:name w:val="HTML Variable"/>
    <w:basedOn w:val="11"/>
    <w:qFormat/>
    <w:uiPriority w:val="0"/>
  </w:style>
  <w:style w:type="character" w:styleId="18">
    <w:name w:val="Hyperlink"/>
    <w:basedOn w:val="11"/>
    <w:qFormat/>
    <w:uiPriority w:val="0"/>
    <w:rPr>
      <w:color w:val="277EFF"/>
      <w:u w:val="none"/>
    </w:rPr>
  </w:style>
  <w:style w:type="character" w:styleId="19">
    <w:name w:val="HTML Code"/>
    <w:basedOn w:val="11"/>
    <w:qFormat/>
    <w:uiPriority w:val="0"/>
    <w:rPr>
      <w:rFonts w:ascii="Courier New" w:hAnsi="Courier New"/>
      <w:sz w:val="20"/>
    </w:rPr>
  </w:style>
  <w:style w:type="character" w:styleId="20">
    <w:name w:val="HTML Cite"/>
    <w:basedOn w:val="11"/>
    <w:qFormat/>
    <w:uiPriority w:val="0"/>
  </w:style>
  <w:style w:type="paragraph" w:customStyle="1" w:styleId="21">
    <w:name w:val="标题_自定义_4"/>
    <w:basedOn w:val="5"/>
    <w:qFormat/>
    <w:uiPriority w:val="0"/>
    <w:pPr>
      <w:numPr>
        <w:ilvl w:val="3"/>
        <w:numId w:val="2"/>
      </w:numPr>
      <w:spacing w:line="372" w:lineRule="auto"/>
    </w:pPr>
    <w:rPr>
      <w:rFonts w:ascii="Times New Roman" w:hAnsi="Cambria" w:eastAsia="宋体" w:cs="Times New Roman"/>
      <w:sz w:val="24"/>
      <w:szCs w:val="24"/>
    </w:rPr>
  </w:style>
  <w:style w:type="character" w:customStyle="1" w:styleId="22">
    <w:name w:val="concat-text"/>
    <w:basedOn w:val="11"/>
    <w:qFormat/>
    <w:uiPriority w:val="0"/>
  </w:style>
  <w:style w:type="character" w:customStyle="1" w:styleId="23">
    <w:name w:val="hover7"/>
    <w:basedOn w:val="11"/>
    <w:qFormat/>
    <w:uiPriority w:val="0"/>
    <w:rPr>
      <w:color w:val="004098"/>
      <w:bdr w:val="single" w:color="004098" w:sz="4" w:space="0"/>
    </w:rPr>
  </w:style>
  <w:style w:type="character" w:customStyle="1" w:styleId="24">
    <w:name w:val="hover8"/>
    <w:basedOn w:val="11"/>
    <w:qFormat/>
    <w:uiPriority w:val="0"/>
    <w:rPr>
      <w:color w:val="FFFFFF"/>
      <w:shd w:val="clear" w:fill="004098"/>
    </w:rPr>
  </w:style>
  <w:style w:type="character" w:customStyle="1" w:styleId="25">
    <w:name w:val="hover9"/>
    <w:basedOn w:val="11"/>
    <w:qFormat/>
    <w:uiPriority w:val="0"/>
    <w:rPr>
      <w:color w:val="FFFFFF"/>
    </w:rPr>
  </w:style>
  <w:style w:type="character" w:customStyle="1" w:styleId="26">
    <w:name w:val="hover10"/>
    <w:basedOn w:val="11"/>
    <w:qFormat/>
    <w:uiPriority w:val="0"/>
    <w:rPr>
      <w:color w:val="FFFFFF"/>
      <w:shd w:val="clear" w:fill="6495ED"/>
    </w:rPr>
  </w:style>
  <w:style w:type="character" w:customStyle="1" w:styleId="27">
    <w:name w:val="advice"/>
    <w:basedOn w:val="11"/>
    <w:qFormat/>
    <w:uiPriority w:val="0"/>
    <w:rPr>
      <w:color w:val="004098"/>
      <w:bdr w:val="single" w:color="004098" w:sz="4" w:space="0"/>
    </w:rPr>
  </w:style>
  <w:style w:type="character" w:customStyle="1" w:styleId="28">
    <w:name w:val="last-child"/>
    <w:basedOn w:val="11"/>
    <w:qFormat/>
    <w:uiPriority w:val="0"/>
  </w:style>
  <w:style w:type="character" w:customStyle="1" w:styleId="29">
    <w:name w:val="on1"/>
    <w:basedOn w:val="11"/>
    <w:qFormat/>
    <w:uiPriority w:val="0"/>
    <w:rPr>
      <w:color w:val="FFFFFF"/>
      <w:shd w:val="clear" w:fill="004098"/>
    </w:rPr>
  </w:style>
  <w:style w:type="character" w:customStyle="1" w:styleId="30">
    <w:name w:val="on2"/>
    <w:basedOn w:val="11"/>
    <w:qFormat/>
    <w:uiPriority w:val="0"/>
    <w:rPr>
      <w:color w:val="004098"/>
      <w:bdr w:val="single" w:color="004098" w:sz="4" w:space="0"/>
    </w:rPr>
  </w:style>
  <w:style w:type="character" w:customStyle="1" w:styleId="31">
    <w:name w:val="active"/>
    <w:basedOn w:val="11"/>
    <w:qFormat/>
    <w:uiPriority w:val="0"/>
    <w:rPr>
      <w:color w:val="FFFFFF"/>
      <w:shd w:val="clear" w:fill="004098"/>
    </w:rPr>
  </w:style>
  <w:style w:type="character" w:customStyle="1" w:styleId="32">
    <w:name w:val="statuspurchase"/>
    <w:basedOn w:val="11"/>
    <w:qFormat/>
    <w:uiPriority w:val="0"/>
    <w:rPr>
      <w:vanish/>
      <w:color w:val="004098"/>
      <w:sz w:val="14"/>
      <w:szCs w:val="14"/>
      <w:bdr w:val="single" w:color="004098" w:sz="4" w:space="0"/>
    </w:rPr>
  </w:style>
  <w:style w:type="character" w:customStyle="1" w:styleId="33">
    <w:name w:val="concat-title"/>
    <w:basedOn w:val="11"/>
    <w:qFormat/>
    <w:uiPriority w:val="0"/>
    <w:rPr>
      <w:color w:val="666666"/>
      <w:sz w:val="16"/>
      <w:szCs w:val="16"/>
    </w:rPr>
  </w:style>
  <w:style w:type="character" w:customStyle="1" w:styleId="34">
    <w:name w:val="nth-child(1)"/>
    <w:basedOn w:val="11"/>
    <w:qFormat/>
    <w:uiPriority w:val="0"/>
  </w:style>
  <w:style w:type="character" w:customStyle="1" w:styleId="35">
    <w:name w:val="nth-child(2)"/>
    <w:basedOn w:val="11"/>
    <w:qFormat/>
    <w:uiPriority w:val="0"/>
  </w:style>
  <w:style w:type="character" w:customStyle="1" w:styleId="36">
    <w:name w:val="nth-child(2)1"/>
    <w:basedOn w:val="11"/>
    <w:qFormat/>
    <w:uiPriority w:val="0"/>
  </w:style>
  <w:style w:type="character" w:customStyle="1" w:styleId="37">
    <w:name w:val="hover"/>
    <w:basedOn w:val="11"/>
    <w:qFormat/>
    <w:uiPriority w:val="0"/>
    <w:rPr>
      <w:color w:val="004098"/>
      <w:bdr w:val="single" w:color="004098" w:sz="4" w:space="0"/>
    </w:rPr>
  </w:style>
  <w:style w:type="character" w:customStyle="1" w:styleId="38">
    <w:name w:val="hover1"/>
    <w:basedOn w:val="11"/>
    <w:qFormat/>
    <w:uiPriority w:val="0"/>
    <w:rPr>
      <w:color w:val="FFFFFF"/>
      <w:shd w:val="clear" w:fill="004098"/>
    </w:rPr>
  </w:style>
  <w:style w:type="character" w:customStyle="1" w:styleId="39">
    <w:name w:val="hover2"/>
    <w:basedOn w:val="11"/>
    <w:qFormat/>
    <w:uiPriority w:val="0"/>
    <w:rPr>
      <w:color w:val="FFFFFF"/>
    </w:rPr>
  </w:style>
  <w:style w:type="character" w:customStyle="1" w:styleId="40">
    <w:name w:val="hover3"/>
    <w:basedOn w:val="11"/>
    <w:qFormat/>
    <w:uiPriority w:val="0"/>
    <w:rPr>
      <w:color w:val="FFFFFF"/>
      <w:shd w:val="clear" w:fill="6495ED"/>
    </w:rPr>
  </w:style>
  <w:style w:type="character" w:customStyle="1" w:styleId="41">
    <w:name w:val="on"/>
    <w:basedOn w:val="11"/>
    <w:qFormat/>
    <w:uiPriority w:val="0"/>
    <w:rPr>
      <w:color w:val="FFFFFF"/>
      <w:shd w:val="clear" w:fill="004098"/>
    </w:rPr>
  </w:style>
  <w:style w:type="paragraph" w:customStyle="1" w:styleId="42">
    <w:name w:val="正文样式my + 首行缩进:  0.74 厘米"/>
    <w:basedOn w:val="43"/>
    <w:qFormat/>
    <w:uiPriority w:val="0"/>
    <w:pPr>
      <w:ind w:firstLine="420"/>
    </w:pPr>
    <w:rPr>
      <w:rFonts w:cs="宋体"/>
      <w:szCs w:val="20"/>
    </w:rPr>
  </w:style>
  <w:style w:type="paragraph" w:customStyle="1" w:styleId="43">
    <w:name w:val="正文样式1"/>
    <w:basedOn w:val="1"/>
    <w:qFormat/>
    <w:uiPriority w:val="0"/>
    <w:pPr>
      <w:spacing w:line="360" w:lineRule="auto"/>
      <w:ind w:firstLine="480"/>
    </w:pPr>
    <w:rPr>
      <w:rFonts w:ascii="宋体" w:hAnsi="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98</TotalTime>
  <ScaleCrop>false</ScaleCrop>
  <LinksUpToDate>false</LinksUpToDate>
  <CharactersWithSpaces>0</CharactersWithSpaces>
  <Application>WPS Office_12.8.2.19309_F1E327BC-269C-435d-A152-05C5408002CA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2025-09-18T07:40:00Z</dcterms:created>
  <dc:creator>WPS_1739925737</dc:creator>
  <cp:lastModifiedBy>许金良</cp:lastModifiedBy>
  <dcterms:modified xsi:type="dcterms:W3CDTF">2025-12-31T03:05:38Z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2052-12.8.2.19309</vt:lpwstr>
  </property>
  <property fmtid="{D5CDD505-2E9C-101B-9397-08002B2CF9AE}" pid="3" name="ICV">
    <vt:lpwstr>0C730F4F9E3F4650AEEFF70652D2C5D6</vt:lpwstr>
  </property>
  <property fmtid="{D5CDD505-2E9C-101B-9397-08002B2CF9AE}" pid="4" name="KSOTemplateDocerSaveRecord">
    <vt:lpwstr>eyJoZGlkIjoiYWU2MTdkZDRiMDcyMTJhOGIyMzA3MjY5NTA1ZWYzMjIiLCJ1c2VySWQiOiIxNjgxMzEzMDc0In0=</vt:lpwstr>
  </property>
</Properties>
</file>