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E7C7B8" w14:textId="77777777" w:rsidR="00E624E4" w:rsidRDefault="00F13E51">
      <w:pPr>
        <w:jc w:val="center"/>
        <w:rPr>
          <w:rFonts w:ascii="黑体" w:eastAsia="黑体" w:hAnsi="黑体"/>
          <w:sz w:val="44"/>
          <w:szCs w:val="44"/>
        </w:rPr>
      </w:pPr>
      <w:bookmarkStart w:id="0" w:name="_GoBack"/>
      <w:bookmarkEnd w:id="0"/>
      <w:r>
        <w:rPr>
          <w:rFonts w:ascii="黑体" w:eastAsia="黑体" w:hAnsi="黑体" w:hint="eastAsia"/>
          <w:sz w:val="44"/>
          <w:szCs w:val="44"/>
        </w:rPr>
        <w:t>采购需求（常用服务类）</w:t>
      </w:r>
    </w:p>
    <w:p w14:paraId="52B18998" w14:textId="77777777" w:rsidR="00E624E4" w:rsidRDefault="00E624E4">
      <w:pPr>
        <w:jc w:val="center"/>
        <w:rPr>
          <w:rFonts w:asciiTheme="minorEastAsia" w:hAnsiTheme="minorEastAsia"/>
          <w:sz w:val="44"/>
          <w:szCs w:val="44"/>
        </w:rPr>
      </w:pPr>
    </w:p>
    <w:p w14:paraId="13CD4CF7"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一、服务供应商要求，包括公司行业地位、财务状况、专业人员数量和资质等。</w:t>
      </w:r>
    </w:p>
    <w:p w14:paraId="42617571" w14:textId="77777777" w:rsidR="00E624E4" w:rsidRDefault="00F13E51">
      <w:pPr>
        <w:spacing w:line="360" w:lineRule="auto"/>
        <w:ind w:firstLineChars="150" w:firstLine="48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在全国范围内经营保险业务，信誉良好、未发生重大违约事件；具备在西藏自治区经营疾病身故团体保险资格；指定理赔人员负责我行疾病身故保险理赔、咨询等业务，并保证理赔人员稳定，保证服务质量，理赔人员必须具备相应保险行业从业资格证书。</w:t>
      </w:r>
    </w:p>
    <w:p w14:paraId="1BAE1E06"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二、服务品类，即本次采购服务的所属的商品品类。</w:t>
      </w:r>
    </w:p>
    <w:p w14:paraId="26014A75"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本次西藏分行采购的202</w:t>
      </w:r>
      <w:r>
        <w:rPr>
          <w:rFonts w:asciiTheme="minorEastAsia" w:hAnsiTheme="minorEastAsia" w:cs="Times New Roman"/>
          <w:snapToGrid w:val="0"/>
          <w:kern w:val="0"/>
          <w:sz w:val="32"/>
          <w:szCs w:val="32"/>
        </w:rPr>
        <w:t>5</w:t>
      </w:r>
      <w:r>
        <w:rPr>
          <w:rFonts w:asciiTheme="minorEastAsia" w:hAnsiTheme="minorEastAsia" w:cs="Times New Roman" w:hint="eastAsia"/>
          <w:snapToGrid w:val="0"/>
          <w:kern w:val="0"/>
          <w:sz w:val="32"/>
          <w:szCs w:val="32"/>
        </w:rPr>
        <w:t>年员工疾病身故保险属于其他职工福利商品品类，系统中不存在该品类故选择医疗保险服务类。</w:t>
      </w:r>
    </w:p>
    <w:p w14:paraId="38B02DE1"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三、服务内容，包括每项服务的具体内容。</w:t>
      </w:r>
    </w:p>
    <w:p w14:paraId="5EEF6A16"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入选供应商应需采取包括但不限于上门收件、邮寄收件、APP线上理赔等多种方式收取理赔资料，保险公司收到员工理赔材料后，无特殊情形下，疾病身故应在30日内完成保险理赔，确保员工医疗得到保障。</w:t>
      </w:r>
    </w:p>
    <w:p w14:paraId="67E1DA34"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入选供应商每年组织一次疾病身故理赔知识培训，范围涵盖分行本部、拉萨城区支行、各二级分行员工及离退休员工，确保员工知晓保险责任和义务，掌握保险理赔流程和所需资料等。</w:t>
      </w:r>
    </w:p>
    <w:p w14:paraId="0F40E617"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lastRenderedPageBreak/>
        <w:t>四、服务团队，包括项目负责人资质经验、项目团队成员数量结构和资质经验等</w:t>
      </w:r>
    </w:p>
    <w:p w14:paraId="09F74717"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理赔售后服务团队至少2人以上组成，及时解决员工在理赔过程中的问题，提升员工理赔体验感。</w:t>
      </w:r>
    </w:p>
    <w:p w14:paraId="6AAC02AC"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五、款项支付要求，包括分期付款要求、付款方式。</w:t>
      </w:r>
    </w:p>
    <w:p w14:paraId="356C5208"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供应商需为我行员工成功参保后并经过验收合格后提供增值税发票报销，款项支付将分两次实施，第一次在6月为全行在职员工、退休员工参保后支付，第二次在7月新员工入职参保后支付。</w:t>
      </w:r>
    </w:p>
    <w:p w14:paraId="0201812B"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六、报价要求。</w:t>
      </w:r>
    </w:p>
    <w:p w14:paraId="77A98DDE"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供应商需在对疾病身故保险单独进行报价，以团购渠道、团购价格提供医疗健康产品与服务，费用总价不能超过计划数。</w:t>
      </w:r>
    </w:p>
    <w:p w14:paraId="6558516D" w14:textId="77777777" w:rsidR="00E624E4" w:rsidRDefault="00E624E4">
      <w:pPr>
        <w:spacing w:line="360" w:lineRule="auto"/>
        <w:ind w:firstLineChars="200" w:firstLine="640"/>
        <w:rPr>
          <w:rFonts w:asciiTheme="minorEastAsia" w:hAnsiTheme="minorEastAsia" w:cs="Times New Roman"/>
          <w:snapToGrid w:val="0"/>
          <w:kern w:val="0"/>
          <w:sz w:val="32"/>
          <w:szCs w:val="32"/>
        </w:rPr>
      </w:pPr>
    </w:p>
    <w:p w14:paraId="095EBBC4" w14:textId="77777777" w:rsidR="00E624E4" w:rsidRDefault="00F13E51">
      <w:pPr>
        <w:spacing w:line="360" w:lineRule="auto"/>
        <w:ind w:firstLineChars="200" w:firstLine="640"/>
        <w:rPr>
          <w:rFonts w:asciiTheme="minorEastAsia" w:hAnsiTheme="minorEastAsia" w:cs="Times New Roman"/>
          <w:snapToGrid w:val="0"/>
          <w:kern w:val="0"/>
          <w:sz w:val="32"/>
          <w:szCs w:val="32"/>
        </w:rPr>
      </w:pPr>
      <w:r>
        <w:rPr>
          <w:rFonts w:asciiTheme="minorEastAsia" w:hAnsiTheme="minorEastAsia" w:cs="Times New Roman" w:hint="eastAsia"/>
          <w:snapToGrid w:val="0"/>
          <w:kern w:val="0"/>
          <w:sz w:val="32"/>
          <w:szCs w:val="32"/>
        </w:rPr>
        <w:t>附件：2025年员工疾病身故保险方案</w:t>
      </w:r>
    </w:p>
    <w:tbl>
      <w:tblPr>
        <w:tblW w:w="835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1"/>
        <w:gridCol w:w="1507"/>
        <w:gridCol w:w="1686"/>
        <w:gridCol w:w="3878"/>
      </w:tblGrid>
      <w:tr w:rsidR="00E624E4" w14:paraId="19DDD2A0" w14:textId="77777777">
        <w:trPr>
          <w:trHeight w:val="624"/>
        </w:trPr>
        <w:tc>
          <w:tcPr>
            <w:tcW w:w="1281" w:type="dxa"/>
            <w:vMerge w:val="restart"/>
            <w:shd w:val="clear" w:color="auto" w:fill="auto"/>
            <w:noWrap/>
            <w:vAlign w:val="center"/>
          </w:tcPr>
          <w:p w14:paraId="16D7AD37"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保险险种</w:t>
            </w:r>
          </w:p>
        </w:tc>
        <w:tc>
          <w:tcPr>
            <w:tcW w:w="1507" w:type="dxa"/>
            <w:vMerge w:val="restart"/>
            <w:shd w:val="clear" w:color="auto" w:fill="auto"/>
            <w:vAlign w:val="center"/>
          </w:tcPr>
          <w:p w14:paraId="5E5BD596"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在职员工保障额度</w:t>
            </w:r>
          </w:p>
        </w:tc>
        <w:tc>
          <w:tcPr>
            <w:tcW w:w="1686" w:type="dxa"/>
            <w:vMerge w:val="restart"/>
            <w:shd w:val="clear" w:color="auto" w:fill="auto"/>
            <w:vAlign w:val="center"/>
          </w:tcPr>
          <w:p w14:paraId="76C2E4A0"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退休员工保障额度</w:t>
            </w:r>
          </w:p>
        </w:tc>
        <w:tc>
          <w:tcPr>
            <w:tcW w:w="3878" w:type="dxa"/>
            <w:vMerge w:val="restart"/>
            <w:shd w:val="clear" w:color="auto" w:fill="auto"/>
            <w:vAlign w:val="center"/>
          </w:tcPr>
          <w:p w14:paraId="2439FAB9"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赔付要求</w:t>
            </w:r>
          </w:p>
        </w:tc>
      </w:tr>
      <w:tr w:rsidR="00E624E4" w14:paraId="27E7C8A7" w14:textId="77777777">
        <w:trPr>
          <w:trHeight w:val="624"/>
        </w:trPr>
        <w:tc>
          <w:tcPr>
            <w:tcW w:w="1281" w:type="dxa"/>
            <w:vMerge/>
            <w:vAlign w:val="center"/>
          </w:tcPr>
          <w:p w14:paraId="067FC41F" w14:textId="77777777" w:rsidR="00E624E4" w:rsidRDefault="00E624E4">
            <w:pPr>
              <w:widowControl/>
              <w:jc w:val="center"/>
              <w:rPr>
                <w:rFonts w:ascii="彩虹粗仿宋" w:eastAsia="彩虹粗仿宋" w:hAnsi="宋体" w:cs="宋体"/>
                <w:kern w:val="0"/>
                <w:sz w:val="20"/>
                <w:szCs w:val="20"/>
              </w:rPr>
            </w:pPr>
          </w:p>
        </w:tc>
        <w:tc>
          <w:tcPr>
            <w:tcW w:w="1507" w:type="dxa"/>
            <w:vMerge/>
            <w:vAlign w:val="center"/>
          </w:tcPr>
          <w:p w14:paraId="0427C8B0" w14:textId="77777777" w:rsidR="00E624E4" w:rsidRDefault="00E624E4">
            <w:pPr>
              <w:widowControl/>
              <w:jc w:val="center"/>
              <w:rPr>
                <w:rFonts w:ascii="彩虹粗仿宋" w:eastAsia="彩虹粗仿宋" w:hAnsi="宋体" w:cs="宋体"/>
                <w:kern w:val="0"/>
                <w:sz w:val="20"/>
                <w:szCs w:val="20"/>
              </w:rPr>
            </w:pPr>
          </w:p>
        </w:tc>
        <w:tc>
          <w:tcPr>
            <w:tcW w:w="1686" w:type="dxa"/>
            <w:vMerge/>
            <w:vAlign w:val="center"/>
          </w:tcPr>
          <w:p w14:paraId="4D541FCC" w14:textId="77777777" w:rsidR="00E624E4" w:rsidRDefault="00E624E4">
            <w:pPr>
              <w:widowControl/>
              <w:jc w:val="center"/>
              <w:rPr>
                <w:rFonts w:ascii="彩虹粗仿宋" w:eastAsia="彩虹粗仿宋" w:hAnsi="宋体" w:cs="宋体"/>
                <w:kern w:val="0"/>
                <w:sz w:val="20"/>
                <w:szCs w:val="20"/>
              </w:rPr>
            </w:pPr>
          </w:p>
        </w:tc>
        <w:tc>
          <w:tcPr>
            <w:tcW w:w="3878" w:type="dxa"/>
            <w:vMerge/>
            <w:vAlign w:val="center"/>
          </w:tcPr>
          <w:p w14:paraId="517C5F16" w14:textId="77777777" w:rsidR="00E624E4" w:rsidRDefault="00E624E4">
            <w:pPr>
              <w:widowControl/>
              <w:jc w:val="center"/>
              <w:rPr>
                <w:rFonts w:ascii="彩虹粗仿宋" w:eastAsia="彩虹粗仿宋" w:hAnsi="宋体" w:cs="宋体"/>
                <w:kern w:val="0"/>
                <w:sz w:val="20"/>
                <w:szCs w:val="20"/>
              </w:rPr>
            </w:pPr>
          </w:p>
        </w:tc>
      </w:tr>
      <w:tr w:rsidR="00E624E4" w14:paraId="2AEE6EB7" w14:textId="77777777">
        <w:trPr>
          <w:trHeight w:val="1262"/>
        </w:trPr>
        <w:tc>
          <w:tcPr>
            <w:tcW w:w="1281" w:type="dxa"/>
            <w:shd w:val="clear" w:color="auto" w:fill="auto"/>
            <w:noWrap/>
            <w:vAlign w:val="center"/>
          </w:tcPr>
          <w:p w14:paraId="7ECA49C7"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疾病身故</w:t>
            </w:r>
          </w:p>
        </w:tc>
        <w:tc>
          <w:tcPr>
            <w:tcW w:w="1507" w:type="dxa"/>
            <w:shd w:val="clear" w:color="auto" w:fill="auto"/>
            <w:vAlign w:val="center"/>
          </w:tcPr>
          <w:p w14:paraId="6CED1251"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70万</w:t>
            </w:r>
          </w:p>
        </w:tc>
        <w:tc>
          <w:tcPr>
            <w:tcW w:w="1686" w:type="dxa"/>
            <w:shd w:val="clear" w:color="auto" w:fill="auto"/>
            <w:vAlign w:val="center"/>
          </w:tcPr>
          <w:p w14:paraId="41B9D40A"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2万</w:t>
            </w:r>
          </w:p>
        </w:tc>
        <w:tc>
          <w:tcPr>
            <w:tcW w:w="3878" w:type="dxa"/>
            <w:shd w:val="clear" w:color="auto" w:fill="auto"/>
            <w:vAlign w:val="center"/>
          </w:tcPr>
          <w:p w14:paraId="69F828C0" w14:textId="77777777" w:rsidR="00E624E4" w:rsidRDefault="00F13E51">
            <w:pPr>
              <w:widowControl/>
              <w:jc w:val="center"/>
              <w:rPr>
                <w:rFonts w:ascii="彩虹粗仿宋" w:eastAsia="彩虹粗仿宋" w:hAnsi="宋体" w:cs="宋体"/>
                <w:kern w:val="0"/>
                <w:sz w:val="20"/>
                <w:szCs w:val="20"/>
              </w:rPr>
            </w:pPr>
            <w:r>
              <w:rPr>
                <w:rFonts w:ascii="彩虹粗仿宋" w:eastAsia="彩虹粗仿宋" w:hAnsi="宋体" w:cs="宋体" w:hint="eastAsia"/>
                <w:kern w:val="0"/>
                <w:sz w:val="20"/>
                <w:szCs w:val="20"/>
              </w:rPr>
              <w:t>被保险人疾病身故，给付保额；100%一次性给付，无等待期。</w:t>
            </w:r>
          </w:p>
        </w:tc>
      </w:tr>
    </w:tbl>
    <w:p w14:paraId="5CEB29C3" w14:textId="77777777" w:rsidR="00E624E4" w:rsidRDefault="00E624E4"/>
    <w:sectPr w:rsidR="00E624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粗仿宋">
    <w:altName w:val="Arial Unicode MS"/>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4E4"/>
    <w:rsid w:val="00AE124D"/>
    <w:rsid w:val="00E624E4"/>
    <w:rsid w:val="00F13E51"/>
    <w:rsid w:val="33035B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670</Characters>
  <Application>Microsoft Office Word</Application>
  <DocSecurity>0</DocSecurity>
  <Lines>5</Lines>
  <Paragraphs>1</Paragraphs>
  <ScaleCrop>false</ScaleCrop>
  <Company/>
  <LinksUpToDate>false</LinksUpToDate>
  <CharactersWithSpaces>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dc:creator>
  <cp:lastModifiedBy>陈龙</cp:lastModifiedBy>
  <cp:revision>2</cp:revision>
  <dcterms:created xsi:type="dcterms:W3CDTF">2025-04-25T08:52:00Z</dcterms:created>
  <dcterms:modified xsi:type="dcterms:W3CDTF">2025-04-25T08:52:00Z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2924D235AB904D3BA054B8568378E4F0_12</vt:lpwstr>
  </property>
</Properties>
</file>