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ABE74">
      <w:pPr>
        <w:adjustRightInd w:val="0"/>
        <w:snapToGrid w:val="0"/>
        <w:spacing w:line="360" w:lineRule="auto"/>
        <w:jc w:val="center"/>
        <w:rPr>
          <w:rFonts w:ascii="宋体" w:hAnsi="宋体" w:eastAsia="宋体" w:cs="宋体"/>
          <w:snapToGrid w:val="0"/>
          <w:kern w:val="0"/>
          <w:sz w:val="36"/>
          <w:szCs w:val="36"/>
        </w:rPr>
      </w:pPr>
      <w:r>
        <w:rPr>
          <w:rFonts w:hint="eastAsia" w:ascii="宋体" w:hAnsi="宋体" w:eastAsia="宋体" w:cs="宋体"/>
          <w:snapToGrid w:val="0"/>
          <w:kern w:val="0"/>
          <w:sz w:val="36"/>
          <w:szCs w:val="36"/>
        </w:rPr>
        <w:t>中国矿业大学实验室开放预约付费管理系统</w:t>
      </w:r>
    </w:p>
    <w:p w14:paraId="21B3C3BD">
      <w:pPr>
        <w:adjustRightInd w:val="0"/>
        <w:snapToGrid w:val="0"/>
        <w:spacing w:line="360" w:lineRule="auto"/>
        <w:jc w:val="center"/>
        <w:rPr>
          <w:rFonts w:ascii="宋体" w:hAnsi="宋体" w:eastAsia="宋体" w:cs="宋体"/>
          <w:snapToGrid w:val="0"/>
          <w:kern w:val="0"/>
          <w:sz w:val="36"/>
          <w:szCs w:val="36"/>
        </w:rPr>
      </w:pPr>
      <w:r>
        <w:rPr>
          <w:rFonts w:hint="eastAsia" w:ascii="宋体" w:hAnsi="宋体" w:eastAsia="宋体" w:cs="宋体"/>
          <w:snapToGrid w:val="0"/>
          <w:kern w:val="0"/>
          <w:sz w:val="36"/>
          <w:szCs w:val="36"/>
        </w:rPr>
        <w:t>采购需求</w:t>
      </w:r>
    </w:p>
    <w:p w14:paraId="0CB1AA62">
      <w:pPr>
        <w:spacing w:line="440" w:lineRule="exact"/>
        <w:rPr>
          <w:rFonts w:ascii="宋体" w:hAnsi="宋体" w:eastAsia="宋体" w:cs="宋体"/>
        </w:rPr>
      </w:pPr>
    </w:p>
    <w:p w14:paraId="16E225C1">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snapToGrid w:val="0"/>
          <w:kern w:val="0"/>
          <w:sz w:val="28"/>
          <w:szCs w:val="28"/>
        </w:rPr>
        <w:t>一</w:t>
      </w:r>
      <w:r>
        <w:rPr>
          <w:rFonts w:hint="eastAsia" w:ascii="宋体" w:hAnsi="宋体" w:eastAsia="宋体" w:cs="宋体"/>
          <w:b/>
          <w:bCs/>
          <w:snapToGrid w:val="0"/>
          <w:kern w:val="0"/>
          <w:sz w:val="28"/>
          <w:szCs w:val="28"/>
        </w:rPr>
        <w:t>、对于供应商的资格要求</w:t>
      </w:r>
    </w:p>
    <w:p w14:paraId="73876E24">
      <w:pPr>
        <w:spacing w:line="440" w:lineRule="exact"/>
        <w:rPr>
          <w:rFonts w:eastAsia="宋体"/>
        </w:rPr>
      </w:pPr>
      <w:r>
        <w:rPr>
          <w:rFonts w:hint="eastAsia" w:eastAsia="宋体"/>
        </w:rPr>
        <w:t>详见市场调研公告。</w:t>
      </w:r>
    </w:p>
    <w:p w14:paraId="3B11DFD4">
      <w:pPr>
        <w:pStyle w:val="2"/>
      </w:pPr>
    </w:p>
    <w:p w14:paraId="750800FC">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二、采购产品品类：延伸类固定资产</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2575"/>
        <w:gridCol w:w="2693"/>
        <w:gridCol w:w="2744"/>
      </w:tblGrid>
      <w:tr w14:paraId="5D451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99" w:type="pct"/>
            <w:vAlign w:val="center"/>
          </w:tcPr>
          <w:p w14:paraId="79973F56">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序号</w:t>
            </w:r>
          </w:p>
        </w:tc>
        <w:tc>
          <w:tcPr>
            <w:tcW w:w="1511" w:type="pct"/>
            <w:vAlign w:val="center"/>
          </w:tcPr>
          <w:p w14:paraId="3989E4D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采购产品</w:t>
            </w:r>
          </w:p>
        </w:tc>
        <w:tc>
          <w:tcPr>
            <w:tcW w:w="1580" w:type="pct"/>
            <w:vAlign w:val="center"/>
          </w:tcPr>
          <w:p w14:paraId="6F1BA25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包含明细</w:t>
            </w:r>
          </w:p>
        </w:tc>
        <w:tc>
          <w:tcPr>
            <w:tcW w:w="1610" w:type="pct"/>
            <w:vAlign w:val="center"/>
          </w:tcPr>
          <w:p w14:paraId="0E0B8EA7">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最高限价（人民币）</w:t>
            </w:r>
          </w:p>
        </w:tc>
      </w:tr>
      <w:tr w14:paraId="6661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299" w:type="pct"/>
            <w:vAlign w:val="center"/>
          </w:tcPr>
          <w:p w14:paraId="3F93802E">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511" w:type="pct"/>
            <w:vAlign w:val="center"/>
          </w:tcPr>
          <w:p w14:paraId="18A94359">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实验室开放预约付费管理系统</w:t>
            </w:r>
          </w:p>
        </w:tc>
        <w:tc>
          <w:tcPr>
            <w:tcW w:w="1580" w:type="pct"/>
            <w:vAlign w:val="center"/>
          </w:tcPr>
          <w:p w14:paraId="3089709E">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融合服务器*2、室内LED显示屏*2、智能一体机</w:t>
            </w:r>
          </w:p>
        </w:tc>
        <w:tc>
          <w:tcPr>
            <w:tcW w:w="1610" w:type="pct"/>
            <w:vAlign w:val="center"/>
          </w:tcPr>
          <w:p w14:paraId="146AB4AC">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146万元</w:t>
            </w:r>
          </w:p>
        </w:tc>
      </w:tr>
    </w:tbl>
    <w:p w14:paraId="6177B133">
      <w:pPr>
        <w:pStyle w:val="2"/>
      </w:pPr>
    </w:p>
    <w:p w14:paraId="465CC906">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三、产品规格技术要求</w:t>
      </w:r>
    </w:p>
    <w:tbl>
      <w:tblPr>
        <w:tblStyle w:val="9"/>
        <w:tblW w:w="0" w:type="auto"/>
        <w:tblInd w:w="113" w:type="dxa"/>
        <w:tblLayout w:type="autofit"/>
        <w:tblCellMar>
          <w:top w:w="0" w:type="dxa"/>
          <w:left w:w="108" w:type="dxa"/>
          <w:bottom w:w="0" w:type="dxa"/>
          <w:right w:w="108" w:type="dxa"/>
        </w:tblCellMar>
      </w:tblPr>
      <w:tblGrid>
        <w:gridCol w:w="468"/>
        <w:gridCol w:w="807"/>
        <w:gridCol w:w="715"/>
        <w:gridCol w:w="6419"/>
      </w:tblGrid>
      <w:tr w14:paraId="708E12EE">
        <w:tblPrEx>
          <w:tblCellMar>
            <w:top w:w="0" w:type="dxa"/>
            <w:left w:w="108" w:type="dxa"/>
            <w:bottom w:w="0" w:type="dxa"/>
            <w:right w:w="108" w:type="dxa"/>
          </w:tblCellMar>
        </w:tblPrEx>
        <w:trPr>
          <w:trHeight w:val="260" w:hRule="atLeast"/>
        </w:trPr>
        <w:tc>
          <w:tcPr>
            <w:tcW w:w="0" w:type="auto"/>
            <w:tcBorders>
              <w:top w:val="single" w:color="auto" w:sz="4" w:space="0"/>
              <w:left w:val="single" w:color="auto" w:sz="4" w:space="0"/>
              <w:bottom w:val="single" w:color="auto" w:sz="4" w:space="0"/>
              <w:right w:val="single" w:color="auto" w:sz="4" w:space="0"/>
            </w:tcBorders>
            <w:vAlign w:val="center"/>
          </w:tcPr>
          <w:p w14:paraId="6435E045">
            <w:pPr>
              <w:widowControl/>
              <w:jc w:val="center"/>
              <w:rPr>
                <w:rFonts w:ascii="宋体" w:hAnsi="宋体" w:eastAsia="宋体" w:cs="宋体"/>
                <w:b/>
                <w:bCs/>
                <w:color w:val="000000"/>
                <w:kern w:val="0"/>
                <w:sz w:val="22"/>
                <w:highlight w:val="none"/>
              </w:rPr>
            </w:pPr>
            <w:r>
              <w:rPr>
                <w:rFonts w:hint="eastAsia" w:ascii="宋体" w:hAnsi="宋体" w:eastAsia="宋体" w:cs="宋体"/>
                <w:b/>
                <w:bCs/>
                <w:color w:val="000000"/>
                <w:kern w:val="0"/>
                <w:sz w:val="22"/>
                <w:highlight w:val="none"/>
              </w:rPr>
              <w:t>序号</w:t>
            </w:r>
          </w:p>
        </w:tc>
        <w:tc>
          <w:tcPr>
            <w:tcW w:w="0" w:type="auto"/>
            <w:tcBorders>
              <w:top w:val="single" w:color="auto" w:sz="4" w:space="0"/>
              <w:left w:val="nil"/>
              <w:bottom w:val="single" w:color="auto" w:sz="4" w:space="0"/>
              <w:right w:val="single" w:color="auto" w:sz="4" w:space="0"/>
            </w:tcBorders>
            <w:vAlign w:val="center"/>
          </w:tcPr>
          <w:p w14:paraId="01E9A118">
            <w:pPr>
              <w:widowControl/>
              <w:jc w:val="center"/>
              <w:rPr>
                <w:rFonts w:ascii="宋体" w:hAnsi="宋体" w:eastAsia="宋体" w:cs="宋体"/>
                <w:b/>
                <w:bCs/>
                <w:color w:val="000000"/>
                <w:kern w:val="0"/>
                <w:sz w:val="22"/>
                <w:highlight w:val="none"/>
              </w:rPr>
            </w:pPr>
            <w:r>
              <w:rPr>
                <w:rFonts w:hint="eastAsia" w:ascii="宋体" w:hAnsi="宋体" w:eastAsia="宋体" w:cs="宋体"/>
                <w:b/>
                <w:bCs/>
                <w:color w:val="000000"/>
                <w:kern w:val="0"/>
                <w:sz w:val="22"/>
                <w:highlight w:val="none"/>
              </w:rPr>
              <w:t>采购产品</w:t>
            </w:r>
          </w:p>
        </w:tc>
        <w:tc>
          <w:tcPr>
            <w:tcW w:w="0" w:type="auto"/>
            <w:tcBorders>
              <w:top w:val="single" w:color="auto" w:sz="4" w:space="0"/>
              <w:left w:val="nil"/>
              <w:bottom w:val="single" w:color="auto" w:sz="4" w:space="0"/>
              <w:right w:val="single" w:color="auto" w:sz="4" w:space="0"/>
            </w:tcBorders>
            <w:vAlign w:val="center"/>
          </w:tcPr>
          <w:p w14:paraId="7AD5CA04">
            <w:pPr>
              <w:widowControl/>
              <w:jc w:val="center"/>
              <w:rPr>
                <w:rFonts w:ascii="宋体" w:hAnsi="宋体" w:eastAsia="宋体" w:cs="宋体"/>
                <w:b/>
                <w:bCs/>
                <w:color w:val="000000"/>
                <w:kern w:val="0"/>
                <w:sz w:val="22"/>
                <w:highlight w:val="none"/>
              </w:rPr>
            </w:pPr>
            <w:r>
              <w:rPr>
                <w:rFonts w:hint="eastAsia" w:ascii="宋体" w:hAnsi="宋体" w:eastAsia="宋体" w:cs="宋体"/>
                <w:b/>
                <w:bCs/>
                <w:color w:val="000000"/>
                <w:kern w:val="0"/>
                <w:sz w:val="22"/>
                <w:highlight w:val="none"/>
              </w:rPr>
              <w:t>产品明细</w:t>
            </w:r>
          </w:p>
        </w:tc>
        <w:tc>
          <w:tcPr>
            <w:tcW w:w="0" w:type="auto"/>
            <w:tcBorders>
              <w:top w:val="single" w:color="auto" w:sz="4" w:space="0"/>
              <w:left w:val="nil"/>
              <w:bottom w:val="single" w:color="auto" w:sz="4" w:space="0"/>
              <w:right w:val="single" w:color="auto" w:sz="4" w:space="0"/>
            </w:tcBorders>
            <w:vAlign w:val="center"/>
          </w:tcPr>
          <w:p w14:paraId="76B3F36A">
            <w:pPr>
              <w:widowControl/>
              <w:jc w:val="center"/>
              <w:rPr>
                <w:rFonts w:ascii="宋体" w:hAnsi="宋体" w:eastAsia="宋体" w:cs="宋体"/>
                <w:b/>
                <w:bCs/>
                <w:color w:val="000000"/>
                <w:kern w:val="0"/>
                <w:sz w:val="22"/>
                <w:highlight w:val="none"/>
              </w:rPr>
            </w:pPr>
            <w:r>
              <w:rPr>
                <w:rFonts w:hint="eastAsia" w:ascii="宋体" w:hAnsi="宋体" w:eastAsia="宋体" w:cs="宋体"/>
                <w:b/>
                <w:bCs/>
                <w:color w:val="000000"/>
                <w:kern w:val="0"/>
                <w:sz w:val="22"/>
                <w:highlight w:val="none"/>
              </w:rPr>
              <w:t>产品规格技术要求</w:t>
            </w:r>
          </w:p>
        </w:tc>
      </w:tr>
      <w:tr w14:paraId="17CBEE83">
        <w:tblPrEx>
          <w:tblCellMar>
            <w:top w:w="0" w:type="dxa"/>
            <w:left w:w="108" w:type="dxa"/>
            <w:bottom w:w="0" w:type="dxa"/>
            <w:right w:w="108" w:type="dxa"/>
          </w:tblCellMar>
        </w:tblPrEx>
        <w:trPr>
          <w:trHeight w:val="1170" w:hRule="atLeast"/>
        </w:trPr>
        <w:tc>
          <w:tcPr>
            <w:tcW w:w="0" w:type="auto"/>
            <w:tcBorders>
              <w:top w:val="nil"/>
              <w:left w:val="single" w:color="auto" w:sz="4" w:space="0"/>
              <w:bottom w:val="single" w:color="auto" w:sz="4" w:space="0"/>
              <w:right w:val="single" w:color="auto" w:sz="4" w:space="0"/>
            </w:tcBorders>
            <w:vAlign w:val="center"/>
          </w:tcPr>
          <w:p w14:paraId="1579242F">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w:t>
            </w:r>
          </w:p>
        </w:tc>
        <w:tc>
          <w:tcPr>
            <w:tcW w:w="0" w:type="auto"/>
            <w:vMerge w:val="restart"/>
            <w:tcBorders>
              <w:top w:val="nil"/>
              <w:left w:val="single" w:color="auto" w:sz="4" w:space="0"/>
              <w:bottom w:val="single" w:color="auto" w:sz="4" w:space="0"/>
              <w:right w:val="single" w:color="auto" w:sz="4" w:space="0"/>
            </w:tcBorders>
            <w:vAlign w:val="center"/>
          </w:tcPr>
          <w:p w14:paraId="636DCBF4">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实验室开放预约付费管理系统</w:t>
            </w:r>
          </w:p>
        </w:tc>
        <w:tc>
          <w:tcPr>
            <w:tcW w:w="0" w:type="auto"/>
            <w:tcBorders>
              <w:top w:val="nil"/>
              <w:left w:val="nil"/>
              <w:bottom w:val="single" w:color="auto" w:sz="4" w:space="0"/>
              <w:right w:val="single" w:color="auto" w:sz="4" w:space="0"/>
            </w:tcBorders>
            <w:vAlign w:val="center"/>
          </w:tcPr>
          <w:p w14:paraId="06364847">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融合服务器</w:t>
            </w:r>
          </w:p>
        </w:tc>
        <w:tc>
          <w:tcPr>
            <w:tcW w:w="0" w:type="auto"/>
            <w:tcBorders>
              <w:top w:val="nil"/>
              <w:left w:val="nil"/>
              <w:bottom w:val="single" w:color="auto" w:sz="4" w:space="0"/>
              <w:right w:val="single" w:color="auto" w:sz="4" w:space="0"/>
            </w:tcBorders>
            <w:vAlign w:val="center"/>
          </w:tcPr>
          <w:p w14:paraId="6B7F9033">
            <w:pPr>
              <w:widowControl/>
              <w:jc w:val="left"/>
              <w:rPr>
                <w:rFonts w:ascii="宋体" w:hAnsi="宋体" w:eastAsia="宋体" w:cs="宋体"/>
                <w:kern w:val="0"/>
                <w:sz w:val="22"/>
                <w:highlight w:val="none"/>
              </w:rPr>
            </w:pPr>
            <w:r>
              <w:rPr>
                <w:rFonts w:hint="eastAsia" w:ascii="宋体" w:hAnsi="宋体" w:eastAsia="宋体" w:cs="宋体"/>
                <w:b/>
                <w:bCs/>
                <w:kern w:val="0"/>
                <w:sz w:val="22"/>
                <w:highlight w:val="none"/>
              </w:rPr>
              <w:t>一、融合服务器*2台</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1.主机规格：≥2U机架式，支持标准机柜，国产品牌，自主研发，非OEM产品。</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★2.处理器：本次单台机器配置2颗高性能处理器，单颗处理器核心数≥48核，主频≥2.7GHz，缓存≥250MB，线程数≥96，UPI≥3，UPI速率≥20 GT/s，TDP≥340W，要求支持AMX、SSE4.2、AVX、AVX2、AVX-512指令集；并给出CPU型号可查询链接及截图（要求型号在官网可查询并给出可查询链接及截图证明材料）。</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3.内存：单台机器支持≥32个DDR5 5600MT/s内存，支持高级内存纠错、内存镜像、内存热备高级功能；本次单台机器总容量配置≥512G DDR5 5600MHz内存。</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4.RAID：主板集成控制器，配置≥2GB缓存独立硬件RAID卡，支持RAID0/1/5/6/10等。</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5.存储：最大支持≥45块2.5英寸或20块3.5英寸硬盘扩展；本次配置≥2块960GB M.2 SSD，配置≥2块3.84T SSD企业级硬盘，配置≥5块10T HDD企业级硬盘。</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6.I/0扩展：支持≥16个PCIe扩展槽位，包括1个Raid mezz及2个热插拔OCP 3.0；支持≥13个GPU扩展槽位，支持部署≥8张PCIe x16全高全长单宽GPU加速卡或≥4张PCIe x16全高全长双宽GPU加速卡；支持3张TF卡，可存放BMC日志。</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7.网络控制器：配置≥4个千兆网口，支持OCP网络模块，配置≥2个万兆光纤网口（含2只万兆多模光模块）。</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8.电源及散热：配置≥2块800W冗余电源。具有冗余热插拔风扇（双转子），由风扇控制器、风扇，独立风扇控制；采用双转子大尺寸风扇，支持免工具热插拔维护，风扇转速自动调节，对节点透明，风流向前进后出。</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9.管理特性：支持统一管理软件，支持Redfish、IPMI、SNMP等标准，支持NFV场景应用；支持服务器、存储、交换机和防火墙等设备的统一管理；支持硬件设备的自动发现、配置信息自动录入和动态更新；全网设备统一拓扑、可视化展示。</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★10.配置管理终端，终端配置不低于Ultra7-258V/DDR5 32G/SSD 1T/14英寸2.8K 120Hz。</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★11.具备虚拟化软件融合服务统一管理，包含2颗CPU永久授权，不限使用期限；</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12.管理功能：支持物理机的全部功能，如具有自己的资源（CPU，内存，网卡，存储、软驱、光驱、显卡等），可以指定单独的IP地址、MAC地址等。</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13.兼容性：产品需满足一云多芯场景需求，支持一套管理平台纳管不同CPU架构的主机集群，单一集群支持不同品牌的CPU平台，支持同集群内的虚拟机跨CPU平台间的在线迁移功能。（需提供虚拟化产品与主机厂商间的联合测试报告，报告需包含对应功能测试项，主机CPU品牌包括但不限于Intel、AMD、海光、鲲鹏、飞腾等）。</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14.跨云迁移功能：支持在管理界面内将源站点的虚拟机不中断的迁移到目标站点平台内，跨云迁移的站点包括但不限于vSphere、投标品牌平台软件等，迁移过程无需手动关机和重启操作。（需提供具有CNAS或CMA的第三方测试机构的证明材料，至少包含报告首页，对应功能测试页和报告尾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15.登录认证：平台支持多种登录认证策略以提升平台安全级别，包括但不限于身份认证、双因子认证、OTP身份认证，开启OTP认证后，用户登录系统时除需要用户密码外，还需要输入验证码，支持将验证码发送到用户邮箱。（需提供具有CNAS或CMA的第三方测试机构的证明材料，至少包含报告首页，对应功能测试页和报告尾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▲16.芯片兼容性：软件需兼容海光、鲲鹏、飞腾、兆芯、龙芯等主流国产芯片。（提供计算虚拟化组件与芯片产品的兼容性互认证证书）。</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17.AI虚拟机：支持使用快照、磁盘镜像等创建，支持使用开机状态下的虚拟机快照创建新虚拟机，创建过程中不影响原虚拟机运行，支持VMware、Hyper-V、XenSever等主流虚拟化平台磁盘格式创建虚拟机，包括但不限于VMDK\VHD\VHDX等。（需提供具有CNAS和CMA的第三方测试机构的证明材料，至少包含报告首页，对应功能测试页和报告尾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▲18.平台的兼容性：要求产品支持导入第三方品牌云平台的虚拟机镜像文件，导入后可正常运行虚拟机，数据不丢失。（需提供所投产品与第三方云平台（阿里、华为、云宏等）镜像的迁移验证报告）。</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19.可靠性：支持虚拟机故障HA功能，可配置HA接入控制策略，HA最大尝试次数、HA资源预留，且支持HA故障切换主机设置，达到故障隔离的效果，并支持配置虚拟机自启动策略和启动优先级。</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20.虚拟机内存快照：支持带快照虚拟机的跨存储热迁移功能，支持快照的瞬时创建及批量快照删除功能，批量删除虚拟机快照，虚拟机读写性能无损耗。支持在30秒内完成≥100台云主机快照(快照大小≥2T)批量删除，支持标后验证（需提供具有CNAS和CMA的第三方测试机构的证明材料，至少包含报告首页，对应功能测试页和报告尾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21.虚拟机克隆：支持包括普通克隆和快速全量克隆，可设置虚拟机克隆速度及初始化虚拟机SID操作，快速全量克隆支持在100秒内完成≥100台的虚拟机(磁盘规格:厚置备≥2T)的全量克隆，删除云主机模板后不影响新克隆虚拟机正常运行，支持标后验证（需提供具有CNAS和CMA的第三方测试机构的证明材料，至少包含报告首页，对应功能测试页和报告尾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22.支持日益增长的安全可靠需求，支持国产化OS，如：中标麒麟、银河麒麟、中科方德、麒麟信安等，支持国产化数据库、中间件。</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★23.原厂质保八年，提供原厂售后服务承诺函（或投标人书面承诺在中标后、合同签署签提供原厂售后服务承诺函，原厂质保八年）。</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★24.含安装调试，提供重新挂载存储服务，要求不影响现有服务器系统功能正常运行并接入统一管理，恢复原有平台程序，安装过程无其他费用，投标人提供承诺函。</w:t>
            </w:r>
            <w:r>
              <w:rPr>
                <w:rFonts w:hint="eastAsia" w:ascii="宋体" w:hAnsi="宋体" w:eastAsia="宋体" w:cs="宋体"/>
                <w:kern w:val="0"/>
                <w:sz w:val="22"/>
                <w:highlight w:val="none"/>
              </w:rPr>
              <w:br w:type="textWrapping"/>
            </w:r>
            <w:r>
              <w:rPr>
                <w:rFonts w:hint="eastAsia" w:ascii="宋体" w:hAnsi="宋体" w:eastAsia="宋体" w:cs="宋体"/>
                <w:b/>
                <w:bCs/>
                <w:kern w:val="0"/>
                <w:sz w:val="22"/>
                <w:highlight w:val="none"/>
              </w:rPr>
              <w:t>二、实验室预约管理系统</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（1）实验室信息维护：</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1、支持根据实验中心、实验室、开放状态、预约审核方式、预约方式查询实验室信息；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2、支持查看实验室信息，包括实验室编号、实验室名称、实验室类型、容纳人数、所属中心、所属位置、开放状态、预约审核方式、预约方式；</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3、支持修改实验室信息；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（2）预约时间段配置</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1、支持根据实验室名称/编号、开放日期、项目名称、生效状态查询实验室预约时间段配置信息；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2、支持新增预约时间段，新增时支持按实验室配置和按项目配置两种方式；</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3、按实验室配置时支持设置开放时期、开放频率、开放时间、时间间隔，支持通过勾选的方式选择适用的实验室；</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按项目配置时，支持选择实验中心、实验室以及添加实验项目，可添加多个项目，添加项目时需填写项目容量，所有项目容量之和不大于该实验室的容量；支持设置开放时期、开放频率、开放时间、时间间隔；</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5、对于未生效的预约时间段，支持设置立即生效；</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6、支持以列表形式展示预约时间段配置信息；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7、支持删除已配置的预约时间段；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（3）实验室项目配置</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1、支持根据实验中心、实验室、课程名称、实验项目查询实验室项目配置信息；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2、支持新增实验室项目，新增时支持选择实验中心、实验室、实验项目，支持选择是否关联课程，若选择关联课程，需填写课程名称；</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3、支持修改和删除实验室项目配置信息；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（4）实验位配置</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1、支持根据实验位、所属实验室查询实验位配置信息；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2、支持Excel批量导入实验位配置信息；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3、支持删除实验位配置信息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（5）实验室预约</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1、支持学生根据时间、状态、申请编号、实验项目、实验室搜索实验室预约信息；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▲2、支持新增预约，预约时支持同时选择多个项目；（提供封面同时具备CMA、CNAS盖章的第三方检测机构出具的检测报告。</w:t>
            </w:r>
            <w:bookmarkStart w:id="0" w:name="OLE_LINK3"/>
            <w:r>
              <w:rPr>
                <w:rFonts w:hint="eastAsia" w:ascii="宋体" w:hAnsi="宋体" w:eastAsia="宋体" w:cs="宋体"/>
                <w:kern w:val="0"/>
                <w:sz w:val="22"/>
                <w:highlight w:val="none"/>
              </w:rPr>
              <w:t>且投标人须书面承诺在中标后、合同签署前提供CMA、CNAS盖章的第三方检测机构出具的检测报告扫描件并加盖原厂公章）</w:t>
            </w:r>
            <w:bookmarkEnd w:id="0"/>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按实验室预约，预约时选择预约日期、可预约的实验室、预约时间段；支持查看当前实验室各个时间段的剩余容量；（提供封面同时具备CMA、CNAS盖章的第三方检测机构出具的检测报告，且投标人须书面承诺在中标后、合同签署前提供CMA、CNAS盖章的第三方检测机构出具的检测报告扫描件并加盖原厂公章）</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4、支持按实验位预约，预约时选择预约日期、可预约的实验室、预约时间段，勾选要预约的实验位；支持查看实验位剩余容量；</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5、支持选择多个预约时间段，预约时间段不可跨天选择；</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6、支持选择多个实验成员参与实验，选择成员时，可根据课程名称、班级名称查询要添加的学生；</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7、支持修改联系电话；</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8、支持查看实验室预约详情，支持取消未审核的实验室预约；</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（6）实验室预约审核</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1、支持按所属学期、实验中心、预约日期、预约状态、申请人、实验室编号查询学生预约记录；</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2、支持查看学生预约记录，包括申请编号、申请人、预约日期、预约时间、实验课程、实验项目、实验室编号、管理老师、预约人数、预约状态、操作人；</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3、支持对学生预约记录进行审核，审核不通过需要添加备注理由；</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4、支持将实验室预约记录导出Excel表格；</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5、支持预约和门禁联动，审核通过后的预约信息自动下发到门禁，到时间可进入实验室；</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（7）预约黑名单管理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1、支持根据学生学号/姓名、黑名单来源、黑名单时间、黑名单状态查询进入黑名单的学生信息；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2、支持新增黑名单，新增黑名单时需输入学生学号和加入黑名单原因；可一次添加多个学生到黑名单；支持删除学生信息；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3、支持取消已添加到黑名单中的学生信息；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4、支持设置黑名单规则，包括黑名单统计规则、是否自动加入黑名单、限制预约天数；规则调整后，仅影响后续产生的黑名单；</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5、支持查看预警名单，可根据未使用的次数查询预警名单中的学生信息，可手动将预警名单中的学生信息移入黑名单，支持批量移入黑名单；</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★（8）提供与教务系统的对接服务、云录播平台系统的对接服务，投标人提供承诺函。</w:t>
            </w:r>
            <w:r>
              <w:rPr>
                <w:rFonts w:hint="eastAsia" w:ascii="宋体" w:hAnsi="宋体" w:eastAsia="宋体" w:cs="宋体"/>
                <w:kern w:val="0"/>
                <w:sz w:val="22"/>
                <w:highlight w:val="none"/>
              </w:rPr>
              <w:br w:type="textWrapping"/>
            </w:r>
            <w:r>
              <w:rPr>
                <w:rFonts w:hint="eastAsia" w:ascii="宋体" w:hAnsi="宋体" w:eastAsia="宋体" w:cs="宋体"/>
                <w:b/>
                <w:bCs/>
                <w:kern w:val="0"/>
                <w:sz w:val="22"/>
                <w:highlight w:val="none"/>
              </w:rPr>
              <w:t>三、实验项目管理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（1）项目套件维护</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1、支持根据套件类型、套件名称查询项目套件信息；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2、支持新增项目套件，新增时支持需要填写套件名称、选择套件类型、添加套件信息；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3、支持修改、删除项目套件信息；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（2）项目卡管理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1、支持根据所属课程、项目名称查询项目卡信息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2、支持新增项目卡，新增时支持填写所属课程、选择实验项目、添加项目套件，可添加多个套件；</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3、支持删除项目卡信息；</w:t>
            </w:r>
            <w:r>
              <w:rPr>
                <w:rFonts w:hint="eastAsia" w:ascii="宋体" w:hAnsi="宋体" w:eastAsia="宋体" w:cs="宋体"/>
                <w:kern w:val="0"/>
                <w:sz w:val="22"/>
                <w:highlight w:val="none"/>
              </w:rPr>
              <w:br w:type="textWrapping"/>
            </w:r>
            <w:r>
              <w:rPr>
                <w:rFonts w:hint="eastAsia" w:ascii="宋体" w:hAnsi="宋体" w:eastAsia="宋体" w:cs="宋体"/>
                <w:b/>
                <w:bCs/>
                <w:kern w:val="0"/>
                <w:sz w:val="22"/>
                <w:highlight w:val="none"/>
              </w:rPr>
              <w:t>四、实验物资管理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（1）实验仪器管理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1、支持新增仪器信息，包括仪器编号、仪器名称、型号、规格、数量、单位、单价、保管人、购置时间、存放地；</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2、支持下载模板，批量化导入仪器信息；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3、支持对添加的仪器信息进行修改；</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4、支持根据仪器名称查询仪器信息；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（2）低值易耗品管理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新增低值易耗品信息，包括物品编号、物品名称、物品分类、规格、单位、库存、单价；（提供封面同时具备CMA、CNAS盖章的第三方检测机构出具的检测报告，且投标人须书面承诺在中标后、合同签署前提供CMA、CNAS盖章的第三方检测机构出具的检测报告扫描件并加盖原厂公章）</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根据物品名称查询低值易耗品信息；（提供封面同时具备CMA、CNAS盖章的第三方检测机构出具的检测报告，且投标人须书面承诺在中标后、合同签署前提供CMA、CNAS盖章的第三方检测机构出具的检测报告扫描件并加盖原厂公章）</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（3）易耗品分类管理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1、支持新增易耗品分类，新增时支持填写分类编号、分类名称；</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2、支持修改、删除易耗品分类；</w:t>
            </w:r>
            <w:r>
              <w:rPr>
                <w:rFonts w:hint="eastAsia" w:ascii="宋体" w:hAnsi="宋体" w:eastAsia="宋体" w:cs="宋体"/>
                <w:kern w:val="0"/>
                <w:sz w:val="22"/>
                <w:highlight w:val="none"/>
              </w:rPr>
              <w:br w:type="textWrapping"/>
            </w:r>
            <w:r>
              <w:rPr>
                <w:rFonts w:hint="eastAsia" w:ascii="宋体" w:hAnsi="宋体" w:eastAsia="宋体" w:cs="宋体"/>
                <w:b/>
                <w:bCs/>
                <w:kern w:val="0"/>
                <w:sz w:val="22"/>
                <w:highlight w:val="none"/>
              </w:rPr>
              <w:t>五、实验授权管理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（1）临时授权管理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1、支持按用户、授权教室、授权日期、授权状态和门禁名称查询授权记录；</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2、支持人员授权、临时卡授权两种方式进行临时授权；</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3、支持查看已经授权的列表信息；支持勾选记录进行取消授权；</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4、人员授权支持选择授权人员、授权教室、授权门禁、授权日期，其中人员和教室支持同时添加多个；支持选择重复周期，每周一到每周日支持多选；支持选择授权时间段，可以全天授权，也可以按固定时间段划分授权；</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5、临时卡授权支持输入授权卡号、姓名、教室，其中授权教室支持多选；支持选择授权门禁、授权日期、重复周期及授权时间段；</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（2）设备组授权管理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1、支持根据授权人员、设备组查询设备组授权信息；</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新增设备组授权，选择实验中心、设备组、结束日期及授权人员；添加授权人员时支持按学号/工号/一卡通账号/姓名搜索；（提供封面同时具备CMA、CNAS盖章的第三方检测机构出具的检测报告，且投标人须书面承诺在中标后、合同签署前提供CMA、CNAS盖章的第三方检测机构出具的检测报告扫描件并加盖原厂公章</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3、支持对已授权的记录进行修改和删除；</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（3）综合授权管理</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1、支持根据授权人员的姓名、学号、工号查询授权信息；支持查看授权详情；支持对已授权的房间进行取消授权；支持对单个时间段取消授权；</w:t>
            </w:r>
            <w:r>
              <w:rPr>
                <w:rFonts w:hint="eastAsia" w:ascii="宋体" w:hAnsi="宋体" w:eastAsia="宋体" w:cs="宋体"/>
                <w:kern w:val="0"/>
                <w:sz w:val="22"/>
                <w:highlight w:val="none"/>
              </w:rPr>
              <w:br w:type="textWrapping"/>
            </w:r>
            <w:r>
              <w:rPr>
                <w:rFonts w:hint="eastAsia" w:ascii="宋体" w:hAnsi="宋体" w:eastAsia="宋体" w:cs="宋体"/>
                <w:kern w:val="0"/>
                <w:sz w:val="22"/>
                <w:highlight w:val="none"/>
              </w:rPr>
              <w:t>2、支持根据房间名称、编号查询该房间下授权人员的信息；支持查看授权详情；支持对该房间进行取消授权；</w:t>
            </w:r>
          </w:p>
        </w:tc>
      </w:tr>
      <w:tr w14:paraId="05D928E5">
        <w:tblPrEx>
          <w:tblCellMar>
            <w:top w:w="0" w:type="dxa"/>
            <w:left w:w="108" w:type="dxa"/>
            <w:bottom w:w="0" w:type="dxa"/>
            <w:right w:w="108" w:type="dxa"/>
          </w:tblCellMar>
        </w:tblPrEx>
        <w:trPr>
          <w:trHeight w:val="1170" w:hRule="atLeast"/>
        </w:trPr>
        <w:tc>
          <w:tcPr>
            <w:tcW w:w="0" w:type="auto"/>
            <w:tcBorders>
              <w:top w:val="nil"/>
              <w:left w:val="single" w:color="auto" w:sz="4" w:space="0"/>
              <w:bottom w:val="single" w:color="auto" w:sz="4" w:space="0"/>
              <w:right w:val="single" w:color="auto" w:sz="4" w:space="0"/>
            </w:tcBorders>
            <w:vAlign w:val="center"/>
          </w:tcPr>
          <w:p w14:paraId="0589E658">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w:t>
            </w:r>
          </w:p>
        </w:tc>
        <w:tc>
          <w:tcPr>
            <w:tcW w:w="0" w:type="auto"/>
            <w:vMerge w:val="continue"/>
            <w:tcBorders>
              <w:top w:val="nil"/>
              <w:left w:val="single" w:color="auto" w:sz="4" w:space="0"/>
              <w:bottom w:val="single" w:color="auto" w:sz="4" w:space="0"/>
              <w:right w:val="single" w:color="auto" w:sz="4" w:space="0"/>
            </w:tcBorders>
            <w:vAlign w:val="center"/>
          </w:tcPr>
          <w:p w14:paraId="16566DC7">
            <w:pPr>
              <w:widowControl/>
              <w:jc w:val="left"/>
              <w:rPr>
                <w:rFonts w:ascii="宋体" w:hAnsi="宋体" w:eastAsia="宋体" w:cs="宋体"/>
                <w:color w:val="000000"/>
                <w:kern w:val="0"/>
                <w:sz w:val="22"/>
                <w:highlight w:val="none"/>
              </w:rPr>
            </w:pPr>
          </w:p>
        </w:tc>
        <w:tc>
          <w:tcPr>
            <w:tcW w:w="0" w:type="auto"/>
            <w:tcBorders>
              <w:top w:val="nil"/>
              <w:left w:val="nil"/>
              <w:bottom w:val="single" w:color="auto" w:sz="4" w:space="0"/>
              <w:right w:val="single" w:color="auto" w:sz="4" w:space="0"/>
            </w:tcBorders>
            <w:vAlign w:val="center"/>
          </w:tcPr>
          <w:p w14:paraId="0CBE1A6D">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室内LED显示屏</w:t>
            </w:r>
          </w:p>
        </w:tc>
        <w:tc>
          <w:tcPr>
            <w:tcW w:w="0" w:type="auto"/>
            <w:tcBorders>
              <w:top w:val="nil"/>
              <w:left w:val="nil"/>
              <w:bottom w:val="single" w:color="auto" w:sz="4" w:space="0"/>
              <w:right w:val="single" w:color="auto" w:sz="4" w:space="0"/>
            </w:tcBorders>
            <w:vAlign w:val="center"/>
          </w:tcPr>
          <w:p w14:paraId="740884BC">
            <w:pPr>
              <w:widowControl/>
              <w:jc w:val="left"/>
              <w:rPr>
                <w:rFonts w:ascii="宋体" w:hAnsi="宋体" w:eastAsia="宋体" w:cs="宋体"/>
                <w:color w:val="000000"/>
                <w:kern w:val="0"/>
                <w:sz w:val="22"/>
                <w:highlight w:val="none"/>
              </w:rPr>
            </w:pPr>
            <w:r>
              <w:rPr>
                <w:rFonts w:hint="eastAsia" w:ascii="宋体" w:hAnsi="宋体" w:eastAsia="宋体" w:cs="宋体"/>
                <w:b/>
                <w:bCs/>
                <w:color w:val="000000"/>
                <w:kern w:val="0"/>
                <w:sz w:val="22"/>
                <w:highlight w:val="none"/>
              </w:rPr>
              <w:t>一、室内LED显示屏*2块，单块配置要求不低于：</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xml:space="preserve">1.屏体尺寸：宽度≥7.68米，高度≥5.76米，分辨率3840（宽）*2880（高），净显示面积不低于44.2368平方米；点间距≤2mm； </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★2.压铸铝箱体尺寸：640mm×480mm、640mm×640mm，具有拼缝微调技术，平整度/间隙：≤0.1mm，箱体间、模组间相对错位值≤1%；</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3.采用SMD三合一封装，主动式发光原理，发光点中心距≤0.8%；</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4.表面硬度≥4H,具有划痕性能技术；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▲5.亮度：≥500cd/㎡支持软件0-100%调节，亮度均匀性≥99%，黑屏非均匀性≤5%，亮度误差值在5%以内；</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6.色准：△E≤0.9，色温2500K-12000K可调；</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7.水平/垂直视角：≥170°/170°；</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8.峰值功耗：≤340W/㎡，平均功耗≤105W/㎡；</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9.刷新率：≥3840Hz;</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10.显示屏依据GB 4943.1-2022信息技术设备安全标准对设备进行电气间隙试验，属于I类产品；</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11.电流增益调节范围：1%～199%，颜色处理位数≥16bit，灰度等级8-16bit任意设置；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12.对地漏电流≤3.5mA/㎡，绝缘电阻≥5000兆欧；</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13.依据SJ/T 11590-2016 LED显示屏图像质量主观评价方法检测主观评价为优；</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14.显示画面无几何畸变、扭曲、比例失调情况，无亮度、色温非线性失真；</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15.单元模组材质，支持高强度塑胶套件，搭配塑胶后盖，模组防护能力强；</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16.依据GB/T 17626.4-2008标准进行电快速瞬变脉冲群、依据GB/T 17626.5-2008标准进行浪涌试验、依据GB/T 17618-2015标准进行静电放电试验，测试过程中样品均无异常；</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17.稳定性试验在试验温度：（25±2）℃、相对湿度：（50±3）%条件下，连读工作7*24H（168H），不应出现电、机械或操作系统的故障；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18.通过光生物安全及蓝光危害评估无危害类检测；</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19.除湿设计：对显示屏灯珠进行预热，蒸发LED灯珠内部湿气，屏体长时间没有使用，屏体自动进入除湿模式，使屏体从10%到100%亮度逐步显示，达到保护LED灯；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▲20.抗震等级：依据GB/T 17742-2020《中国地震烈度表》，其抗震等级 &gt;9级；</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21.逐点校正功能：支持单点亮度色度校正功能，校正后亮度损失＜10%；</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22.显示屏支持抑制摩尔纹功能，减轻摩尔纹视觉主观效果80%；</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23.采用黑色防眩光设计，防止眩光影响，提升视觉观感；</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24.具备0级防霉特性,在放大镜下，没有发现明显长霉，符合《GB/T 2423.16-2008 电工电子产品环境试验 第二部分∶试验方法 试验J及导则∶长霉》的测试要求；（需提供封面具有CNAS、CMA标识的第三方检测报告，</w:t>
            </w:r>
            <w:r>
              <w:rPr>
                <w:rFonts w:hint="eastAsia" w:ascii="宋体" w:hAnsi="宋体" w:eastAsia="宋体" w:cs="宋体"/>
                <w:kern w:val="0"/>
                <w:sz w:val="22"/>
                <w:highlight w:val="none"/>
              </w:rPr>
              <w:t>且投标人须书面承诺在中标后、合同签署前提供CMA、CNAS盖章的第三方检测机构出具的检测报告扫描件并加盖原厂公章）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25.具有过流、短路、过压、欠压保护功能，具有防潮、防尘、防腐蚀功能，在10%RH-95%RH范围内可正常工作和储存，具备电磁屏蔽功能；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▲26.支持模组级的LED灯防撞灯保护装置，箱体底部精准压力缓冲设计；</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以上2-26条参数需提供封面具有CNAS、CMA标识的第三方检测报告</w:t>
            </w:r>
            <w:r>
              <w:rPr>
                <w:rFonts w:hint="eastAsia" w:ascii="宋体" w:hAnsi="宋体" w:eastAsia="宋体" w:cs="宋体"/>
                <w:kern w:val="0"/>
                <w:sz w:val="22"/>
                <w:highlight w:val="none"/>
              </w:rPr>
              <w:t>且投标人须书面承诺在中标后、合同签署前提供CMA、CNAS盖章的第三方检测机构出具的检测报告扫描件并加盖原厂公章）</w:t>
            </w:r>
            <w:r>
              <w:rPr>
                <w:rFonts w:hint="eastAsia" w:ascii="宋体" w:hAnsi="宋体" w:eastAsia="宋体" w:cs="宋体"/>
                <w:color w:val="000000"/>
                <w:kern w:val="0"/>
                <w:sz w:val="22"/>
                <w:highlight w:val="none"/>
              </w:rPr>
              <w:t>。</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二、屏体结构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1.根据现场定制显示屏固定安装支撑结构采用优质冷轧钢板框架结构组合形式。</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2.零件采用壁厚2mm Q235板材制作，采用机加工冲孔、折弯工艺，表面酸洗、磷化、烤漆，烤漆颜色为哑光黑色，整体美观大方，具有足够的静态与动态机械强度和刚度；确保支架受力均匀，长期使用支架变形容许值≤3mm。</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3.显示屏采用落地式支架，前维护方式，含包边处理。</w:t>
            </w:r>
            <w:r>
              <w:rPr>
                <w:rFonts w:hint="eastAsia" w:ascii="宋体" w:hAnsi="宋体" w:eastAsia="宋体" w:cs="宋体"/>
                <w:b/>
                <w:bCs/>
                <w:color w:val="000000"/>
                <w:kern w:val="0"/>
                <w:sz w:val="22"/>
                <w:highlight w:val="none"/>
              </w:rPr>
              <w:t>输、安装</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1、综合布线要求包含：电源线（5芯*16mm²铜芯电缆、3芯*2.5mm²铜芯电缆）、信号线（单模6芯光纤），铺设至大屏安装位置(冗余一定长度)等。</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2、显示屏安装保护装箱出货后运输到安装地点，安装完成后的设备运行调试。</w:t>
            </w:r>
          </w:p>
        </w:tc>
      </w:tr>
      <w:tr w14:paraId="6227FC2D">
        <w:tblPrEx>
          <w:tblCellMar>
            <w:top w:w="0" w:type="dxa"/>
            <w:left w:w="108" w:type="dxa"/>
            <w:bottom w:w="0" w:type="dxa"/>
            <w:right w:w="108" w:type="dxa"/>
          </w:tblCellMar>
        </w:tblPrEx>
        <w:trPr>
          <w:trHeight w:val="1170" w:hRule="atLeast"/>
        </w:trPr>
        <w:tc>
          <w:tcPr>
            <w:tcW w:w="0" w:type="auto"/>
            <w:tcBorders>
              <w:top w:val="nil"/>
              <w:left w:val="single" w:color="auto" w:sz="4" w:space="0"/>
              <w:bottom w:val="single" w:color="auto" w:sz="4" w:space="0"/>
              <w:right w:val="single" w:color="auto" w:sz="4" w:space="0"/>
            </w:tcBorders>
            <w:vAlign w:val="center"/>
          </w:tcPr>
          <w:p w14:paraId="770291C2">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w:t>
            </w:r>
          </w:p>
        </w:tc>
        <w:tc>
          <w:tcPr>
            <w:tcW w:w="0" w:type="auto"/>
            <w:vMerge w:val="continue"/>
            <w:tcBorders>
              <w:top w:val="nil"/>
              <w:left w:val="single" w:color="auto" w:sz="4" w:space="0"/>
              <w:bottom w:val="single" w:color="auto" w:sz="4" w:space="0"/>
              <w:right w:val="single" w:color="auto" w:sz="4" w:space="0"/>
            </w:tcBorders>
            <w:vAlign w:val="center"/>
          </w:tcPr>
          <w:p w14:paraId="389EC500">
            <w:pPr>
              <w:widowControl/>
              <w:jc w:val="left"/>
              <w:rPr>
                <w:rFonts w:ascii="宋体" w:hAnsi="宋体" w:eastAsia="宋体" w:cs="宋体"/>
                <w:color w:val="000000"/>
                <w:kern w:val="0"/>
                <w:sz w:val="22"/>
                <w:highlight w:val="none"/>
              </w:rPr>
            </w:pPr>
          </w:p>
        </w:tc>
        <w:tc>
          <w:tcPr>
            <w:tcW w:w="0" w:type="auto"/>
            <w:tcBorders>
              <w:top w:val="nil"/>
              <w:left w:val="nil"/>
              <w:bottom w:val="single" w:color="auto" w:sz="4" w:space="0"/>
              <w:right w:val="single" w:color="auto" w:sz="4" w:space="0"/>
            </w:tcBorders>
            <w:vAlign w:val="center"/>
          </w:tcPr>
          <w:p w14:paraId="3DF85EDA">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智能一体机</w:t>
            </w:r>
          </w:p>
        </w:tc>
        <w:tc>
          <w:tcPr>
            <w:tcW w:w="0" w:type="auto"/>
            <w:tcBorders>
              <w:top w:val="nil"/>
              <w:left w:val="nil"/>
              <w:bottom w:val="single" w:color="auto" w:sz="4" w:space="0"/>
              <w:right w:val="single" w:color="auto" w:sz="4" w:space="0"/>
            </w:tcBorders>
            <w:vAlign w:val="center"/>
          </w:tcPr>
          <w:p w14:paraId="7C5BA077">
            <w:pPr>
              <w:widowControl/>
              <w:jc w:val="left"/>
              <w:rPr>
                <w:rFonts w:ascii="宋体" w:hAnsi="宋体" w:eastAsia="宋体" w:cs="宋体"/>
                <w:color w:val="000000"/>
                <w:kern w:val="0"/>
                <w:sz w:val="22"/>
                <w:highlight w:val="none"/>
              </w:rPr>
            </w:pPr>
            <w:r>
              <w:rPr>
                <w:rFonts w:hint="eastAsia" w:ascii="宋体" w:hAnsi="宋体" w:eastAsia="宋体" w:cs="宋体"/>
                <w:b/>
                <w:bCs/>
                <w:color w:val="000000"/>
                <w:kern w:val="0"/>
                <w:sz w:val="22"/>
                <w:highlight w:val="none"/>
              </w:rPr>
              <w:t>一、智能一体机*1台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1、设备采用 2U 金属结构机箱，外壳防护等级符合GB1T4280-2017中IP20 的要求，正常工作时，设备噪声不大于 45dB(A)(距离设备 1m处），设备出厂配置不低于：第 12 代处理器、16G 内存、500G固态硬盘；</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单设备不少于独立的1路DP与2路HDMI输出，接口分辨率可设置为4096*2160@60Hz，单接口极限宽度可设置为8192，单接口极限高度可设置8192，单设备的两路接口支持拼接同步显示，拼接带载分辨率可设置为8192*2160@60Hz；出厂配置的显卡可满足至少1个8K/2K或2个4K/2K 硬件解码播放，且播放流畅不卡顿；(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 3D 视频源解码播放输出，可实现单接口独立3D播放输出或两路接口拼接3D同步输出，分辨率可设置为 3840x1080@120Hz；</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▲4、一键硬件开关机控制和一键软件远程开关机控制，整机自带 6路 USB 接口。不少于1路 3.5mm 麦克风音频输入接口、1路 3.5mm 外置音频输入接口、1路 3.5mm 音频输出接口。支持不少于 2路 PCIEX1 插槽，支持千兆网口通讯，可支持第三方通过 TCP、 UDP 进行集成控制；(投标人提供CMA或CNAS认可的检测机构出具的测试报告，且投标人须书面承诺在中标后、合同签署前提供投标人提供CMA或CNAS认可的检测机构出具的测试报告扫描件并加盖原厂公章）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3个输出接口的任意拆分重组以及任意角度旋转，实现对不规则显示屏的拼接带载，支持预编辑输出，播放画面编辑和输出分离，可在预览编辑完成后再进行媒体素材的一键输出播放；(投标人提供CMA或CNAS认可的检测机构出具的测试报告并加盖，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6、支持从本地媒体画面或输入源画面中拾取颜色，然后按照拾取的颜色进行抠像处理。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节目支持播放、暂停、停止、调节音量；节目支持时间码控制播放；节目支持紧急插播，紧急插播结束后可延续播放插播前的节目；媒体支持播放中快进快退及调节音量；支持跨节目延续播放，切换节目后返回上一个节目延续播放不从头开始；多画面同时播放时，可按照主计时媒体执行跳转；支持主 KV 节目位置信息复制，拓展屏支持右键解锁；软件支持异常自恢复机制。</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8、可通过可视化控制平台软件或者中控设备对播放画面进行远程编辑和控制，支持丰富的多媒体素材类型，本地素材库可添加视频文件、图片文件、音频文件、PPT、Word、EXCEL、PDF、可执行程序文件、NDI媒体、字幕功能、采集设备、网页、流媒体、播放合集支持云素材管理，可从云端下载视频文件、图片文件、音频文件，PPT、Word、EXCEL、PDF；(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9、支持将媒体库的媒体添加到节目中，同时支持对节目中任意一个媒体按区域进行画质调节、裁剪、遮罩；支持将软件编辑的素材、节目、输出、媒体属性的内容手动或自动保存到本地文件；支持打开保存的本地文件，能正常恢复软件编辑的素材、节目、输出、媒体属性的内容；软件支持将多个同规格素材同步播放；(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10、软件自带转码工具，支持对视频的编码，码率，帧率，分辨率等参数进行转码；支持对jpg 图片的分辨率进行修改，可转换为需要的规格；支持对视频文件按照独有的格式进行加密，在特定电脑密码校验通过后且在有效时间内才能正常播放，超出有效时间会自动黑屏，实现对数字资产的保护；(投标人提供CMA或CNAS认可的检测机构出具的测试报告且投标人须书面承诺在中标后、合同签署前提供投标人提供CMA或CNAS认可的检测机构出具的测试报告扫描件并加盖原厂公章）</w:t>
            </w:r>
            <w:r>
              <w:rPr>
                <w:rFonts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11、支持1台设备同时控制4台以上的设备，进行节目编排和素材同步管理，通过多机级联帧同步实现超大分辨率的显示控制及素材播控管理；支持自动将局域网内其他电脑的素材共享到设备进行素材管理和播放；支持通过 UV 模型实现画面的自动校正，解决多面屏衔接处画面不连续的痛点，完成沉浸式CAVE 空间的效果展示；(投标人提供CMA或CNAS认可的检测机构出具的测试报告且投标人须书面承诺在中标后、合同签署前提供投标人提供CMA或CNAS认可的检测机构出具的测试报告扫描件并加盖原厂公章）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支持素材可视化编辑，拖拽，复制、黏贴，多选、锁定、替换，属性调节和属性继承。支持节目的编辑、复制、黏贴；支持素材播控进度的自由控制、正计时、倒计时、进度查看，支持输出画面解锁功能；(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二、控制器*1台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1、采用标准 19 英寸金属结构机箱，机箱为后挂耳结构，上盖无螺钉安装:外壳防护等级符合GBIT 4280-2017中IP20的要求;采用纯硬件 FPGA 架构设计、运行稳定、可靠、高效。</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▲2、输入接口至少包含2路 HDMI2.0，1路 DP1.2+HDMI 2.0二选一，4路 HDMI13,1路USB3.0，最大支持不少于3路4096*2160@60HZ信号同时输入；(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视频输出支持可达40路千兆网口输出，4路10G-OPT光口，最大带载可达2600万像素，最宽支持16384,最高8192；(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4、音频输入支持视频口伴随音频输入及独立输入两种模式，音频输出支持随网口扩展输出及3.5mm独立音频口输出；</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5、支持输入源备份功能，主源丢失下，无需人为操作可自动切换至备源显示，切换过程无黑屏；</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可支持144HZ高帧率输入输出，输出支持插帧、抽帧、倍频（2倍频、3倍频、4倍频）功能，可将30HZ信号，倍频至120HZ输出；(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图层能力：支持不少于12个2K图层或6个4K*1K图层或3个4K*2K图层，全部图层大小和位置可单独调节。4K接口输入2K信号，按2K图层计算图层资源；(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支持通过上位机软件实现对显示屏的连接，控制，包括：输入源切换，窗口位置及大小调节，分辨率自定义等；软件端支持可视化呈现设备各接口实时状态，包括视频输入状态及分辨率、网口带载利用率、监控界面支持接收卡温度、电压、误码率、通讯状态等的检测；(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支持U盘即插即播功能，最大支持4K级（3840*2160@60fps）图片和视频的流畅播放，播放列表计切换效果支持自定义编排，最多支持20余种图片切换特效，如：水波涟漪、镜头拉近、直接推出、立体翻转、百叶窗、左右擦除、上下擦除、立方体旋转、溶解转场、网格转场、扇扫转场、画卷转场、淡入淡出、旋转扭曲、心形转场、拉帘推出、透视三角、圆形消失、矩形弹跳、星形旋转等；(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设备标配全彩液晶，搭配实体按键，方便对设备整体状态的监控及设备功能的控制:设备功能按键及丝印信息采用全中文提示；(投标人提供CMA或CNAS认可的检测机构出具的测试报告且投标人须书面承诺在中标后、合同签署前提供投标人提供CMA或CNAS认可的检测机构出具的测试报告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11、支持不少于2种用户模式设置，满足不同角色对显示屏的分权管理，使用更加放心；</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12、支持微信小程序快捷控制，包括但不限于亮度调节、输出画质调节、待机模式、画面冻结、场景切换、U盘播放等功能；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13、支持平板对控制器进行快捷控制，包括但不限于亮度调节、图层布局调节、画面冻结、黑屏、场景切换、音量大小、OSD开关等功能；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14、支持创建设备还原点，将当前设备的相关参数存储为还原点，当系统工作异常时，可根据还原点一键快速还原；(投标人提供CMA或CNAS认可的检测机构出具的测试报告且投标人须书面承诺在中标后、合同签署前提供投标人提供CMA或CNAS认可的检测机构出具的测试报告扫描件并加盖原厂公章）</w:t>
            </w:r>
            <w:r>
              <w:rPr>
                <w:rFonts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15、支持控制设备白名单，可通过MAC地址限制控制设备，非白名单内设备无法控制设备，不允许对设备进行操作；(投标人提供CMA或CNAS认可的检测机构出具的测试报告且投标人须书面承诺在中标后、合同签署前提供投标人提供CMA或CNAS认可的检测机构出具的测试报告扫描件并加盖原厂公章）</w:t>
            </w:r>
            <w:r>
              <w:rPr>
                <w:rFonts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▲16、MTBF≥150000小时，MTTR平均修复小于10分钟 可用度大于 99%，整机寿命不小于150000小时。产品稳定性高、性能卓越、纯硬件结构，上电即可正常工作，无需做任何其它设置。(投标人提供CMA或CNAS认可的检测机构出具的测试报告且投标人须书面承诺在中标后、合同签署前提供投标人提供CMA或CNAS认可的检测机构出具的测试报告</w:t>
            </w:r>
            <w:bookmarkStart w:id="1" w:name="_GoBack"/>
            <w:bookmarkEnd w:id="1"/>
            <w:r>
              <w:rPr>
                <w:rFonts w:hint="eastAsia" w:ascii="宋体" w:hAnsi="宋体" w:eastAsia="宋体" w:cs="宋体"/>
                <w:color w:val="000000"/>
                <w:kern w:val="0"/>
                <w:sz w:val="22"/>
                <w:highlight w:val="none"/>
              </w:rPr>
              <w:t>扫描件并加盖原厂公章）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17、设备控制支持BS架构，可兼容多种操作系统包括但不限于：Windows、MAC OS、深度 Linux、银河麒麟、统信 UOS中标麒麟(NeoKylin)、优麒麟(UbuntuKylin)、凝思磐石、红旗 Linux 等;</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▲18、与LED屏体为同一厂家，通过CCC强制认证，并提供证书扫描件加盖原厂公章。</w:t>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三、智能配电柜*2台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1.不低于40kw配电系统，具备PLC远程控制功能；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2.三相配电系统，功率根据屏体峰值功耗并预留一定冗余；</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3.具有过载、过流、过载保护；</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4.通过定制软件控制电源系统的开关,具有温湿度采集；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5.通过PLC可设定任意时间开启和关闭LED显示屏电源；</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6.通过PLC可设定任意时间关闭计算机；</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▲7.所投智能配电柜控制器软件与LED屏体为同一厂家，提供软件著作权证书扫描件加盖公章。</w:t>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四、转换器*4台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配置不低于：网口*10、传输10km、2×LC单模双芯光纤接口(10Gbps)(1主1备)、USB控制口、标配光模块、标配外置盒。</w:t>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五、能力评价绩效管理系统*1套</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（1）基础平台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1、支持评价活动流程的新建、查询；支持评价活动未开始的修改；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2、指标管理：针对学校的评价导向，可自定义多层次、多维度的评价指标；支持对评价指标的新增、修改、删除；支持对评价指标分类管理；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3、支持对评价专家的管理，支持专家新增、修改、密码重置、禁用；</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4、专家通过分配的账号登录可查看评价活动，并根据活动流程进行评价；评价支持打分、文字点评；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5、专家支持对评价过的课程再次评价，可查看其它专家的评价；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（2）专家评价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1、支持对评价专家的管理，支持专家新增、修改、密码重置；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2、专家通过分配的账号登录可查看评价活动，并根据活动流程进行评价；评价支持打分、文字点评；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3、专家支持对评价过的课程再次评价；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（3）金牌教师评价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1、可显示上传时间、分配时间、评教时间、总结时间。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2、具有配置评分比例，听课评价分值、同行访谈分值、教学档案分值。</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3、指标分类：支持、教学内容、教学仪态。</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4、指标内容：支持自定义听课评价指标内容。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5、支持自定义听课评价分值范围。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6、支持听课评价、同行访谈、教学档案查询结果。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7、支持对金牌教师评价活动的修改、删除、添加申请教师、活动状态、查询及操作。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（4）教学服务诊断</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通过需要诊断的内容进行上传资料，可显示申请时间、上传时间、分配时间、评教时间。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1、指标分类：支持教学内容、教学仪态。</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2、指标内容：支持自定义诊断指标内容。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3、支持自定义诊断分值范围。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4、支持查看所属学校、院系、课程名称、诊断的教师姓名以及相关诊断结果。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（5）晋升高级职称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通过上传的晋升职称内容进行活动评定。可显示申请时间、上传时间、分配时间、评教时间。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1、指标分类：支持教学内容、教学仪态。</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2、指标内容：支持自定义评定指标内容。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3、支持自定义评定分值范围。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4、支持查看所属学校、院系、课程名称、教师姓名以及相关结果。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（6）新进教师认定</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通过上传的新进教师认定内容进行活动评定。可显示申请时间、上传时间、分配时间、评教时间。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1、指标分类：支持演讲内容、教学内容、教学态度。</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2、指标内容：支持自定义评定指标内容。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3、支持自定义评定分值范围。</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4、支持查看所属学校、院系、课程名称、教师姓名以及相关结果。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5、支持新进教师认定评价详情查询。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（7）被评教师统计</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1、支持查看被评教师统计，以列表形式展示被评教师名称、工号、所属单位、联系方式、新进/晋升次数；支持按被评教师和所属单位进行查询；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2、支持被评教师统计导出，支持按活动名称、所属单位、拟晋升职称、被评教师、成绩区间、评价时间进行查询；支持导出列表信息；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（8）评教活动管理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1、支持发起评教活动，选择操作人、评教起止时间、设置评教条件、设置评教建议、量表选择，选择量表后支持量表预览，查看量表指标项、选项、权重、分数；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2、支持查看已发起的所有评教活动，支持显示评教学期、评教开始时间、评教结束时间、评教课程类型、可操作人、活动状态、操作；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3、支持设置未开始的活动立即开始，支持设置进行中的活动立即结束；</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4、支持设置评教对象，支持通过一卡通号、老师姓名、开课通知单号、参评状态、课程编号、课程名称进行组合查询教师授课信息，支持单独设置和批量设置教师课程的参评与不参评；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5、支持查看评教活动具体信息：包括操作人、评教起止时间、开始评教条件、评教建议设置、所选量表；</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设置评教数据统计规则，支持以下规则自定义选择以及填写：将所有已评但未提交的全部提交、评定分数最高分中超过设置百分比的学生评分置为无效、评定分数最低分中超过设置百分比的学生评分置为无效、班级参评率低于设置百分比，该门次课程评分置为无效、班级参评学生人数低于设置的人数，该门次课程评分置为无效；</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7、支持设置教师查看评教分数与建议意见的时间段；</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（9）评教进度看板</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1、支持显示最近一学期活动的评教进度；</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2、支持展示评教整体概况：评教学生总数、参评率、完成率、今日新增评教学生；</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3、支持展示学生评教终端占比：电脑端与小程序端的评教次数及占比；</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4、支持展示最近14天的学生评教的参评率和完成率、显示上学期参评率和完成率基线；</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5、支持展示各学院评教进度参评率与完成率，支持导出未完成学生名单；</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（10）评教数据详情</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1、支持通过评教学期、所属学院、所属专业、所在行政班、学生姓名/学号、完成率小于等于设置的百分比进行组合查询学生评教信息；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2、支持按学生查看学生评教情况，支持按所属学院、所属专业、所在行政班、学生、总门次、可评门次、已评门次、未评门次、评教完成率展示信息；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3、支持导出学生评教完成情况excel表格，支持导出所属学院、所属专业、所在行政班、学生学号、学生姓名、总门次、可评门次、已评门次、未评门次、评教完成率信息；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4、支持查看学生评教课程、授课教师、评教分数、评教状态、学生建议，支持通过课程名称和评教状态进行组合查询，支持批量设置学生重评；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5、支持查看学生评教明细，显示课程编号、课程名称、授课教师，评价指标、指标满分、评价选项、评价得分；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6、支持通过评教学期、课程类型、课程编号/名称、教师所属学院、有效状态、教师姓名/卡号、参评率进行组合查询教师被评信息；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7、支持按课程类型、课程编号、授课教师、教师所属学院、学生人数、已评人数、参评率、有效状态、有效样本数、学生评教分数、学生建议数展示教师被评信息；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8、支持导出教师被评情况excel表格，支持导出课程类别、课程编号、课程名称、教师姓名、一卡通号、教师所属学院、学生人数、已评人数、参评率、有效状态、有效率、评价分数、学生建议数信息；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9、支持查看教师被学生评教明细，展示课程编号、课程名称、授课教师、学生、所属院系、所属专业、所在行政班、评价分数、有效状态、建议内容信息；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10、支持导出教师被学生评教明细excel表格，支持导出学生姓名、学生学号、所属院系、所属专业、所在行政班、评价分数、有效状态、建议内容信息；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11、支持通过学期、教师所属学院、所属专业、所在行政班、学生姓名/学号、课程编号/名称进行组合查询学生建议；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12、支持按学生、所属学院、所属专业、所在行政班、课程名称、授课教师、评价分数、建议内容、课程类别、课程编号展示学生建议信息；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13、支持导出学生建议明细，支持导出学生姓名、学生学号、所属学院、所属专业、所在行政班、课程名称、授课教师、一卡通号、评价分数、建议内容信息；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（11）评教数据管理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1、支持按学期统计学生评教参评率和完成率，支持切换学期范围统计学生评教情况、支持展示最新一学期学生参评率以及相较上学期的增幅或降幅；</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2、支持按学期和课程类别统计评教分数段对应课程门次和占比；</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3、支持导出各学院统计数据，支持导出学院、课程类别、分数段、课程门次、占比信息；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4、支持通过评教学期、课程类别、所属学院、课程编号/名称、教师姓名/卡号、教师姓名/卡号、平均分范围进行组合查询；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5、支持按授课教师、所属学院、课程编号、课程名称、课程类型、平均分、学院排名、有效样本数、参评率展示信息；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6、支持导出教师评教排名，支持导出授课教师、所属学院、课程编号、课程名称、课程类别、平均分、学院排名、样本数、参评率信息；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7、支持查看学生建议，展示课程编号、课程名称、授课教师及学生建议信息；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（12）我的评教成绩与建议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1、支持被评教师查看被评情况，支持通过评教学期、课程编号、课程名称组合查询；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2、支持被评教师按课程编号、课程名称、课程类别、评教是否有效、评教分数、学院分数、学院排行查看信息；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3、支持查看学生建议，查看显示课程编号、课程名称，学生建议；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4、支持查看学生评价明细，查看显示课程编号、课程名称、评价指标、评教分数、教师所属学院均分、全校均分；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（13）学生评教</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1、支持学生在网页端按课程编号、课程名称、授课教师、评教状态查看信息；</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2、支持学生在网页端对未评教课程可以进行评教，评教显示授课教师、课程编号、课程名称、评价指标、评价选项，可以进行取消、暂存、提交；</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3、支持学生在网页端对暂存课程可以进行修改评教和提交评教；</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4、支持学生在网页端对已提交课程可以查看评教详情；</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5、支持学生在小程序端通过点击首页我的提醒板块中未评课程快速进行评教；</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6、支持学生在小程序端进入期末评教功能进行评教，支持显示评教截止时间，待评课程及已评课程查看；</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（14）评教助手</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1、支持通过评教学期、身份、一卡通号或姓名进入对应教师或学生网页端页面，支持提前查看教师或学生界面；</w:t>
            </w:r>
            <w:r>
              <w:rPr>
                <w:rFonts w:hint="eastAsia" w:ascii="宋体" w:hAnsi="宋体" w:eastAsia="宋体" w:cs="宋体"/>
                <w:color w:val="000000"/>
                <w:kern w:val="0"/>
                <w:sz w:val="22"/>
                <w:highlight w:val="none"/>
              </w:rPr>
              <w:br w:type="textWrapping"/>
            </w:r>
            <w:r>
              <w:rPr>
                <w:rFonts w:hint="eastAsia" w:ascii="宋体" w:hAnsi="宋体" w:eastAsia="宋体" w:cs="宋体"/>
                <w:b/>
                <w:bCs/>
                <w:color w:val="000000"/>
                <w:kern w:val="0"/>
                <w:sz w:val="22"/>
                <w:highlight w:val="none"/>
              </w:rPr>
              <w:t>六、事务管理系统*1套</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（1）用户权限包含用户管理和权限配置。</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（2）入会申请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1、入会申请流程(支持PC)申请人填写入会申请单。</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部门工会管理人员审核:部门工会管理员审核申请人教职工身份，并做出回复提交结果。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校工会管理人员审核:校工会管理员根据部门工会的审核结果来决定最终的审核结果申请人得到系统消息通知，查看申请结果。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申请通过过后，系统将生成一张入会汇总表。财务处、人事处代扣会费。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2、退会申请流程(支持PC)</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填写退会申请表(可线下)</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校工会管理人员审核:</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校工会管理人员直接审核，填写备注或上传附件，做出回复提交结果。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申请人得到系统消息通知，查看申请结果。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申请通过过后，申请人次月无需再缴纳会费。</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（3）补助申请</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1、补助申请流程(支持PC)</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申请人填写医疗互助基金申请单:申请人提供申请材料(包括相关院系证明及医院证明)，填写基金补助申请单提交部门工会。</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部门工会管理人员审核:部门工会管理员审核申请人教职工身份并做出回复提交结果。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校工会管理人员初步审核:校工会管理员受理后，初步检查住院凭证和完整有效的单据信息，提交至校医院审核。</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校医院管理人员审核:校医院管理人员审核医疗费用并且给出申请人相应的费用数据再次返回到校工会。</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校工会管理人员审核:校工会管理人员根据校医院的费用数据，按照《办法》规定进行计算，生成补助表格。</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申请人得到系统消息通知，查看申请结果。</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申请通过过后，系统将自动生成一张补助表。</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（4）补助办法，包含:补助范围、补助人群、补助标准。</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采购方有权要求供应商在签订合同前提供采购人要求的部分正式产品进行试用（试用期为一个星期），产生的相关费用由中标人承担。若发现任一功能、性能与实际投标不符、产品有缺陷不足以满足采购人要求，采购人将以中标单位虚假应标上报相关管理部门，并追究法律责任，投标人提供承诺函。</w:t>
            </w:r>
          </w:p>
        </w:tc>
      </w:tr>
    </w:tbl>
    <w:p w14:paraId="0ECAAF2B">
      <w:pPr>
        <w:pStyle w:val="2"/>
      </w:pPr>
    </w:p>
    <w:p w14:paraId="3C2C6D3C">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四、投标人及产品质量要求</w:t>
      </w:r>
    </w:p>
    <w:p w14:paraId="2F2D822C">
      <w:pPr>
        <w:spacing w:line="360" w:lineRule="auto"/>
        <w:rPr>
          <w:rFonts w:ascii="宋体" w:hAnsi="宋体" w:eastAsia="宋体" w:cs="宋体"/>
          <w:b/>
          <w:bCs/>
          <w:kern w:val="0"/>
          <w:sz w:val="24"/>
          <w:szCs w:val="24"/>
        </w:rPr>
      </w:pPr>
      <w:r>
        <w:rPr>
          <w:rFonts w:hint="eastAsia" w:ascii="宋体" w:hAnsi="宋体" w:eastAsia="宋体" w:cs="宋体"/>
          <w:b/>
          <w:bCs/>
          <w:sz w:val="24"/>
          <w:szCs w:val="24"/>
        </w:rPr>
        <w:t>1、</w:t>
      </w:r>
      <w:r>
        <w:rPr>
          <w:rFonts w:hint="eastAsia" w:ascii="宋体" w:hAnsi="宋体" w:eastAsia="宋体" w:cs="宋体"/>
          <w:b/>
          <w:bCs/>
          <w:kern w:val="0"/>
          <w:sz w:val="24"/>
          <w:szCs w:val="24"/>
        </w:rPr>
        <w:t>产品质量标准</w:t>
      </w:r>
    </w:p>
    <w:p w14:paraId="15462995">
      <w:pPr>
        <w:spacing w:line="360" w:lineRule="auto"/>
        <w:rPr>
          <w:rFonts w:ascii="宋体" w:hAnsi="宋体" w:eastAsia="宋体" w:cs="宋体"/>
          <w:sz w:val="24"/>
          <w:szCs w:val="24"/>
        </w:rPr>
      </w:pPr>
      <w:r>
        <w:rPr>
          <w:rFonts w:hint="eastAsia" w:ascii="宋体" w:hAnsi="宋体" w:eastAsia="宋体" w:cs="宋体"/>
          <w:sz w:val="24"/>
          <w:szCs w:val="24"/>
        </w:rPr>
        <w:t>（1）产品规格技术要求中打“★”条款为实质性要求，不允许负偏离，否则废标。</w:t>
      </w:r>
    </w:p>
    <w:p w14:paraId="2DB4418F">
      <w:pPr>
        <w:spacing w:line="360" w:lineRule="auto"/>
        <w:rPr>
          <w:rFonts w:ascii="宋体" w:hAnsi="宋体" w:eastAsia="宋体" w:cs="宋体"/>
          <w:sz w:val="24"/>
          <w:szCs w:val="24"/>
        </w:rPr>
      </w:pPr>
      <w:r>
        <w:rPr>
          <w:rFonts w:hint="eastAsia" w:ascii="宋体" w:hAnsi="宋体" w:eastAsia="宋体" w:cs="宋体"/>
          <w:sz w:val="24"/>
          <w:szCs w:val="24"/>
        </w:rPr>
        <w:t>（2）产品规格技术要求中打“▲”条款为重要技术条款，需按要求提供技术支持资料（检测报告、证书等），未提供或负偏离将扣除相应技术分。</w:t>
      </w:r>
    </w:p>
    <w:p w14:paraId="5C57E176">
      <w:pPr>
        <w:pStyle w:val="2"/>
      </w:pPr>
    </w:p>
    <w:p w14:paraId="6D9A9A45">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五、产品数量，包括采购产品数量、拟分配数量</w:t>
      </w:r>
    </w:p>
    <w:p w14:paraId="20B5AF8E">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根据项目规模和用户需求，供应商需提供一套完整的实验室开放预约付费管理系统，具体明细数量如下：</w:t>
      </w:r>
    </w:p>
    <w:tbl>
      <w:tblPr>
        <w:tblStyle w:val="9"/>
        <w:tblW w:w="5000" w:type="pct"/>
        <w:tblInd w:w="0" w:type="dxa"/>
        <w:tblLayout w:type="autofit"/>
        <w:tblCellMar>
          <w:top w:w="0" w:type="dxa"/>
          <w:left w:w="108" w:type="dxa"/>
          <w:bottom w:w="0" w:type="dxa"/>
          <w:right w:w="108" w:type="dxa"/>
        </w:tblCellMar>
      </w:tblPr>
      <w:tblGrid>
        <w:gridCol w:w="798"/>
        <w:gridCol w:w="2195"/>
        <w:gridCol w:w="2565"/>
        <w:gridCol w:w="1483"/>
        <w:gridCol w:w="1481"/>
      </w:tblGrid>
      <w:tr w14:paraId="7F27DA1A">
        <w:tblPrEx>
          <w:tblCellMar>
            <w:top w:w="0" w:type="dxa"/>
            <w:left w:w="108" w:type="dxa"/>
            <w:bottom w:w="0" w:type="dxa"/>
            <w:right w:w="108" w:type="dxa"/>
          </w:tblCellMar>
        </w:tblPrEx>
        <w:trPr>
          <w:trHeight w:val="260" w:hRule="atLeast"/>
        </w:trPr>
        <w:tc>
          <w:tcPr>
            <w:tcW w:w="468" w:type="pct"/>
            <w:tcBorders>
              <w:top w:val="single" w:color="auto" w:sz="4" w:space="0"/>
              <w:left w:val="single" w:color="auto" w:sz="4" w:space="0"/>
              <w:bottom w:val="single" w:color="auto" w:sz="4" w:space="0"/>
              <w:right w:val="single" w:color="auto" w:sz="4" w:space="0"/>
            </w:tcBorders>
            <w:vAlign w:val="center"/>
          </w:tcPr>
          <w:p w14:paraId="11A62544">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序号</w:t>
            </w:r>
          </w:p>
        </w:tc>
        <w:tc>
          <w:tcPr>
            <w:tcW w:w="1288" w:type="pct"/>
            <w:tcBorders>
              <w:top w:val="single" w:color="auto" w:sz="4" w:space="0"/>
              <w:left w:val="nil"/>
              <w:bottom w:val="single" w:color="auto" w:sz="4" w:space="0"/>
              <w:right w:val="single" w:color="auto" w:sz="4" w:space="0"/>
            </w:tcBorders>
            <w:vAlign w:val="center"/>
          </w:tcPr>
          <w:p w14:paraId="2DF059F7">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采购产品</w:t>
            </w:r>
          </w:p>
        </w:tc>
        <w:tc>
          <w:tcPr>
            <w:tcW w:w="1505" w:type="pct"/>
            <w:tcBorders>
              <w:top w:val="single" w:color="auto" w:sz="4" w:space="0"/>
              <w:left w:val="nil"/>
              <w:bottom w:val="single" w:color="auto" w:sz="4" w:space="0"/>
              <w:right w:val="single" w:color="auto" w:sz="4" w:space="0"/>
            </w:tcBorders>
            <w:vAlign w:val="center"/>
          </w:tcPr>
          <w:p w14:paraId="78B83321">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产品明细</w:t>
            </w:r>
          </w:p>
        </w:tc>
        <w:tc>
          <w:tcPr>
            <w:tcW w:w="870" w:type="pct"/>
            <w:tcBorders>
              <w:top w:val="single" w:color="auto" w:sz="4" w:space="0"/>
              <w:left w:val="nil"/>
              <w:bottom w:val="single" w:color="auto" w:sz="4" w:space="0"/>
              <w:right w:val="single" w:color="auto" w:sz="4" w:space="0"/>
            </w:tcBorders>
            <w:vAlign w:val="center"/>
          </w:tcPr>
          <w:p w14:paraId="6BC825B9">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数量</w:t>
            </w:r>
          </w:p>
        </w:tc>
        <w:tc>
          <w:tcPr>
            <w:tcW w:w="869" w:type="pct"/>
            <w:tcBorders>
              <w:top w:val="single" w:color="auto" w:sz="4" w:space="0"/>
              <w:left w:val="nil"/>
              <w:bottom w:val="single" w:color="auto" w:sz="4" w:space="0"/>
              <w:right w:val="single" w:color="auto" w:sz="4" w:space="0"/>
            </w:tcBorders>
            <w:vAlign w:val="center"/>
          </w:tcPr>
          <w:p w14:paraId="785C11E8">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单位</w:t>
            </w:r>
          </w:p>
        </w:tc>
      </w:tr>
      <w:tr w14:paraId="7E1C83A0">
        <w:tblPrEx>
          <w:tblCellMar>
            <w:top w:w="0" w:type="dxa"/>
            <w:left w:w="108" w:type="dxa"/>
            <w:bottom w:w="0" w:type="dxa"/>
            <w:right w:w="108" w:type="dxa"/>
          </w:tblCellMar>
        </w:tblPrEx>
        <w:trPr>
          <w:trHeight w:val="1170" w:hRule="atLeast"/>
        </w:trPr>
        <w:tc>
          <w:tcPr>
            <w:tcW w:w="468" w:type="pct"/>
            <w:tcBorders>
              <w:top w:val="nil"/>
              <w:left w:val="single" w:color="auto" w:sz="4" w:space="0"/>
              <w:bottom w:val="single" w:color="auto" w:sz="4" w:space="0"/>
              <w:right w:val="single" w:color="auto" w:sz="4" w:space="0"/>
            </w:tcBorders>
            <w:vAlign w:val="center"/>
          </w:tcPr>
          <w:p w14:paraId="36E71C25">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288" w:type="pct"/>
            <w:vMerge w:val="restart"/>
            <w:tcBorders>
              <w:top w:val="nil"/>
              <w:left w:val="single" w:color="auto" w:sz="4" w:space="0"/>
              <w:bottom w:val="single" w:color="auto" w:sz="4" w:space="0"/>
              <w:right w:val="single" w:color="auto" w:sz="4" w:space="0"/>
            </w:tcBorders>
            <w:vAlign w:val="center"/>
          </w:tcPr>
          <w:p w14:paraId="5B2F854A">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实验室开放预约付费管理系统</w:t>
            </w:r>
          </w:p>
        </w:tc>
        <w:tc>
          <w:tcPr>
            <w:tcW w:w="1505" w:type="pct"/>
            <w:tcBorders>
              <w:top w:val="nil"/>
              <w:left w:val="nil"/>
              <w:bottom w:val="single" w:color="auto" w:sz="4" w:space="0"/>
              <w:right w:val="single" w:color="auto" w:sz="4" w:space="0"/>
            </w:tcBorders>
            <w:vAlign w:val="center"/>
          </w:tcPr>
          <w:p w14:paraId="49195D85">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融合服务器</w:t>
            </w:r>
          </w:p>
        </w:tc>
        <w:tc>
          <w:tcPr>
            <w:tcW w:w="870" w:type="pct"/>
            <w:tcBorders>
              <w:top w:val="nil"/>
              <w:left w:val="nil"/>
              <w:bottom w:val="single" w:color="auto" w:sz="4" w:space="0"/>
              <w:right w:val="single" w:color="auto" w:sz="4" w:space="0"/>
            </w:tcBorders>
            <w:vAlign w:val="center"/>
          </w:tcPr>
          <w:p w14:paraId="56413190">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869" w:type="pct"/>
            <w:tcBorders>
              <w:top w:val="nil"/>
              <w:left w:val="nil"/>
              <w:bottom w:val="single" w:color="auto" w:sz="4" w:space="0"/>
              <w:right w:val="single" w:color="auto" w:sz="4" w:space="0"/>
            </w:tcBorders>
            <w:vAlign w:val="center"/>
          </w:tcPr>
          <w:p w14:paraId="1E174771">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套</w:t>
            </w:r>
          </w:p>
        </w:tc>
      </w:tr>
      <w:tr w14:paraId="220859B4">
        <w:tblPrEx>
          <w:tblCellMar>
            <w:top w:w="0" w:type="dxa"/>
            <w:left w:w="108" w:type="dxa"/>
            <w:bottom w:w="0" w:type="dxa"/>
            <w:right w:w="108" w:type="dxa"/>
          </w:tblCellMar>
        </w:tblPrEx>
        <w:trPr>
          <w:trHeight w:val="1170" w:hRule="atLeast"/>
        </w:trPr>
        <w:tc>
          <w:tcPr>
            <w:tcW w:w="468" w:type="pct"/>
            <w:tcBorders>
              <w:top w:val="nil"/>
              <w:left w:val="single" w:color="auto" w:sz="4" w:space="0"/>
              <w:bottom w:val="single" w:color="auto" w:sz="4" w:space="0"/>
              <w:right w:val="single" w:color="auto" w:sz="4" w:space="0"/>
            </w:tcBorders>
            <w:vAlign w:val="center"/>
          </w:tcPr>
          <w:p w14:paraId="26F29F91">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1288" w:type="pct"/>
            <w:vMerge w:val="continue"/>
            <w:tcBorders>
              <w:top w:val="nil"/>
              <w:left w:val="single" w:color="auto" w:sz="4" w:space="0"/>
              <w:bottom w:val="single" w:color="auto" w:sz="4" w:space="0"/>
              <w:right w:val="single" w:color="auto" w:sz="4" w:space="0"/>
            </w:tcBorders>
            <w:vAlign w:val="center"/>
          </w:tcPr>
          <w:p w14:paraId="44E03CB1">
            <w:pPr>
              <w:widowControl/>
              <w:jc w:val="left"/>
              <w:rPr>
                <w:rFonts w:ascii="宋体" w:hAnsi="宋体" w:eastAsia="宋体" w:cs="宋体"/>
                <w:color w:val="000000"/>
                <w:kern w:val="0"/>
                <w:sz w:val="22"/>
              </w:rPr>
            </w:pPr>
          </w:p>
        </w:tc>
        <w:tc>
          <w:tcPr>
            <w:tcW w:w="1505" w:type="pct"/>
            <w:tcBorders>
              <w:top w:val="nil"/>
              <w:left w:val="nil"/>
              <w:bottom w:val="single" w:color="auto" w:sz="4" w:space="0"/>
              <w:right w:val="single" w:color="auto" w:sz="4" w:space="0"/>
            </w:tcBorders>
            <w:vAlign w:val="center"/>
          </w:tcPr>
          <w:p w14:paraId="698522EC">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室内LED显示屏</w:t>
            </w:r>
          </w:p>
        </w:tc>
        <w:tc>
          <w:tcPr>
            <w:tcW w:w="870" w:type="pct"/>
            <w:tcBorders>
              <w:top w:val="nil"/>
              <w:left w:val="nil"/>
              <w:bottom w:val="single" w:color="auto" w:sz="4" w:space="0"/>
              <w:right w:val="single" w:color="auto" w:sz="4" w:space="0"/>
            </w:tcBorders>
            <w:vAlign w:val="center"/>
          </w:tcPr>
          <w:p w14:paraId="2801E897">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869" w:type="pct"/>
            <w:tcBorders>
              <w:top w:val="nil"/>
              <w:left w:val="nil"/>
              <w:bottom w:val="single" w:color="auto" w:sz="4" w:space="0"/>
              <w:right w:val="single" w:color="auto" w:sz="4" w:space="0"/>
            </w:tcBorders>
            <w:vAlign w:val="center"/>
          </w:tcPr>
          <w:p w14:paraId="6C44AF5C">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套</w:t>
            </w:r>
          </w:p>
        </w:tc>
      </w:tr>
      <w:tr w14:paraId="39D1CE88">
        <w:tblPrEx>
          <w:tblCellMar>
            <w:top w:w="0" w:type="dxa"/>
            <w:left w:w="108" w:type="dxa"/>
            <w:bottom w:w="0" w:type="dxa"/>
            <w:right w:w="108" w:type="dxa"/>
          </w:tblCellMar>
        </w:tblPrEx>
        <w:trPr>
          <w:trHeight w:val="1170" w:hRule="atLeast"/>
        </w:trPr>
        <w:tc>
          <w:tcPr>
            <w:tcW w:w="468" w:type="pct"/>
            <w:tcBorders>
              <w:top w:val="nil"/>
              <w:left w:val="single" w:color="auto" w:sz="4" w:space="0"/>
              <w:bottom w:val="single" w:color="auto" w:sz="4" w:space="0"/>
              <w:right w:val="single" w:color="auto" w:sz="4" w:space="0"/>
            </w:tcBorders>
            <w:vAlign w:val="center"/>
          </w:tcPr>
          <w:p w14:paraId="35661CD7">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1288" w:type="pct"/>
            <w:vMerge w:val="continue"/>
            <w:tcBorders>
              <w:top w:val="nil"/>
              <w:left w:val="single" w:color="auto" w:sz="4" w:space="0"/>
              <w:bottom w:val="single" w:color="auto" w:sz="4" w:space="0"/>
              <w:right w:val="single" w:color="auto" w:sz="4" w:space="0"/>
            </w:tcBorders>
            <w:vAlign w:val="center"/>
          </w:tcPr>
          <w:p w14:paraId="296D44C4">
            <w:pPr>
              <w:widowControl/>
              <w:jc w:val="left"/>
              <w:rPr>
                <w:rFonts w:ascii="宋体" w:hAnsi="宋体" w:eastAsia="宋体" w:cs="宋体"/>
                <w:color w:val="000000"/>
                <w:kern w:val="0"/>
                <w:sz w:val="22"/>
              </w:rPr>
            </w:pPr>
          </w:p>
        </w:tc>
        <w:tc>
          <w:tcPr>
            <w:tcW w:w="1505" w:type="pct"/>
            <w:tcBorders>
              <w:top w:val="nil"/>
              <w:left w:val="nil"/>
              <w:bottom w:val="single" w:color="auto" w:sz="4" w:space="0"/>
              <w:right w:val="single" w:color="auto" w:sz="4" w:space="0"/>
            </w:tcBorders>
            <w:vAlign w:val="center"/>
          </w:tcPr>
          <w:p w14:paraId="5FF3D2D1">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智能一体机</w:t>
            </w:r>
          </w:p>
        </w:tc>
        <w:tc>
          <w:tcPr>
            <w:tcW w:w="870" w:type="pct"/>
            <w:tcBorders>
              <w:top w:val="nil"/>
              <w:left w:val="nil"/>
              <w:bottom w:val="single" w:color="auto" w:sz="4" w:space="0"/>
              <w:right w:val="single" w:color="auto" w:sz="4" w:space="0"/>
            </w:tcBorders>
            <w:vAlign w:val="center"/>
          </w:tcPr>
          <w:p w14:paraId="104B03C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869" w:type="pct"/>
            <w:tcBorders>
              <w:top w:val="nil"/>
              <w:left w:val="nil"/>
              <w:bottom w:val="single" w:color="auto" w:sz="4" w:space="0"/>
              <w:right w:val="single" w:color="auto" w:sz="4" w:space="0"/>
            </w:tcBorders>
            <w:vAlign w:val="center"/>
          </w:tcPr>
          <w:p w14:paraId="28DCCDD9">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套</w:t>
            </w:r>
          </w:p>
        </w:tc>
      </w:tr>
    </w:tbl>
    <w:p w14:paraId="2E7D48B0">
      <w:pPr>
        <w:pStyle w:val="4"/>
        <w:adjustRightInd w:val="0"/>
        <w:snapToGrid w:val="0"/>
        <w:spacing w:line="560" w:lineRule="atLeast"/>
        <w:ind w:firstLine="480" w:firstLineChars="200"/>
        <w:rPr>
          <w:rFonts w:hAnsi="宋体" w:cs="宋体"/>
          <w:sz w:val="24"/>
          <w:szCs w:val="28"/>
        </w:rPr>
      </w:pPr>
    </w:p>
    <w:p w14:paraId="57D46E2C">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六、发货、供货要求</w:t>
      </w:r>
    </w:p>
    <w:p w14:paraId="4DBAF6B0">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1、交货期限：合同签订后 20 个日历日内完成全部货物（软件）的现场交付、安装部署。</w:t>
      </w:r>
    </w:p>
    <w:p w14:paraId="1896A890">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2、交货地点：中国建设银行徐州分行、中国矿业大学指定地点。</w:t>
      </w:r>
    </w:p>
    <w:p w14:paraId="66CD61FE">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3、包装与运输：乙方负责采取防潮、防雨、防锈、防震等保护措施，确保货物完好；运输、包装、装卸及保险费用由乙方承担，交付前全部风险由乙方负责。</w:t>
      </w:r>
    </w:p>
    <w:p w14:paraId="6F2E60AC">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4、交付资料：产品介质（如有）包装完整，数量相符；提供清晰、正确、完整的技术资料、文档、使用许可证明文件及设备技术规格、使用说明、配套软件等。</w:t>
      </w:r>
    </w:p>
    <w:p w14:paraId="2FA47460">
      <w:pPr>
        <w:adjustRightInd w:val="0"/>
        <w:snapToGrid w:val="0"/>
        <w:spacing w:line="360" w:lineRule="auto"/>
        <w:ind w:firstLine="640" w:firstLineChars="200"/>
        <w:rPr>
          <w:rFonts w:ascii="宋体" w:hAnsi="宋体" w:eastAsia="宋体" w:cs="宋体"/>
          <w:snapToGrid w:val="0"/>
          <w:kern w:val="0"/>
          <w:sz w:val="32"/>
          <w:szCs w:val="32"/>
        </w:rPr>
      </w:pPr>
    </w:p>
    <w:p w14:paraId="3F497677">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七、款项支付要求</w:t>
      </w:r>
    </w:p>
    <w:p w14:paraId="0D0B4932">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合同签订后，产品到货安装调试验收合格，且乙方提供符合中国建设银行股份有限公司徐州分行规定的增值税发票及中国矿业大学出具的相关证明文件后20个工作日货款95%。系统上线运行期满1年后，结清剩余5%货款。</w:t>
      </w:r>
    </w:p>
    <w:p w14:paraId="356DEFBA">
      <w:pPr>
        <w:pStyle w:val="4"/>
        <w:adjustRightInd w:val="0"/>
        <w:snapToGrid w:val="0"/>
        <w:spacing w:line="560" w:lineRule="atLeast"/>
        <w:ind w:firstLine="640" w:firstLineChars="200"/>
        <w:rPr>
          <w:rFonts w:ascii="彩虹粗仿宋" w:eastAsia="彩虹粗仿宋"/>
          <w:sz w:val="32"/>
          <w:szCs w:val="32"/>
          <w:highlight w:val="yellow"/>
        </w:rPr>
      </w:pPr>
    </w:p>
    <w:p w14:paraId="1F1B3A3E">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八、售后服务要求</w:t>
      </w:r>
    </w:p>
    <w:p w14:paraId="2D7CA6D2">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1、质保期限：融合服务器免费质保 8 年，室内 LED 显示屏、智能一体机免费质保 5 年（自验收合格或调试运行完毕验收合格之日起算）；质保期内免费维修、退换故障货物。</w:t>
      </w:r>
    </w:p>
    <w:p w14:paraId="22187F63">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2、终身服务：质保期满后，乙方按不高于中标价格提供终身维修服务，服务水准不低于质保期内标准。</w:t>
      </w:r>
    </w:p>
    <w:p w14:paraId="20DBBC2E">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3、技术支持：安装阶段提供 1 名现场技术人员；正式上线及维护阶段至少提供 1 名技术人员，现场解决故障，无法现场解决时启用备用设备替换。</w:t>
      </w:r>
    </w:p>
    <w:p w14:paraId="1EA910C0">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4、技术培训：为使用方工作人员提供免费现场培训，确保其能独立完成日常操作及相关维护。</w:t>
      </w:r>
    </w:p>
    <w:p w14:paraId="66BF7289">
      <w:pPr>
        <w:adjustRightInd w:val="0"/>
        <w:snapToGrid w:val="0"/>
        <w:spacing w:line="360" w:lineRule="auto"/>
        <w:ind w:firstLine="640" w:firstLineChars="200"/>
        <w:rPr>
          <w:rFonts w:ascii="宋体" w:hAnsi="宋体" w:eastAsia="宋体" w:cs="宋体"/>
          <w:snapToGrid w:val="0"/>
          <w:kern w:val="0"/>
          <w:sz w:val="32"/>
          <w:szCs w:val="32"/>
        </w:rPr>
      </w:pPr>
    </w:p>
    <w:p w14:paraId="3D55116D">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九、报价要求</w:t>
      </w:r>
    </w:p>
    <w:p w14:paraId="015002E1">
      <w:pPr>
        <w:adjustRightInd w:val="0"/>
        <w:snapToGrid w:val="0"/>
        <w:spacing w:line="360" w:lineRule="auto"/>
        <w:ind w:firstLine="468" w:firstLineChars="195"/>
        <w:rPr>
          <w:rFonts w:ascii="宋体" w:hAnsi="宋体" w:eastAsia="宋体" w:cs="宋体"/>
          <w:b/>
          <w:bCs/>
          <w:snapToGrid w:val="0"/>
          <w:kern w:val="0"/>
          <w:sz w:val="28"/>
          <w:szCs w:val="28"/>
        </w:rPr>
      </w:pPr>
      <w:r>
        <w:rPr>
          <w:rFonts w:hint="eastAsia" w:ascii="宋体" w:hAnsi="宋体" w:eastAsia="宋体" w:cs="宋体"/>
          <w:sz w:val="24"/>
          <w:szCs w:val="28"/>
        </w:rPr>
        <w:t>请区分技术标及商务标。</w:t>
      </w:r>
    </w:p>
    <w:p w14:paraId="3B5F5C9E">
      <w:pPr>
        <w:adjustRightInd w:val="0"/>
        <w:snapToGrid w:val="0"/>
        <w:spacing w:line="360" w:lineRule="auto"/>
        <w:rPr>
          <w:rFonts w:ascii="宋体" w:hAnsi="宋体" w:eastAsia="宋体" w:cs="宋体"/>
          <w:b/>
          <w:bCs/>
          <w:snapToGrid w:val="0"/>
          <w:kern w:val="0"/>
          <w:sz w:val="28"/>
          <w:szCs w:val="28"/>
        </w:rPr>
      </w:pPr>
      <w:r>
        <w:rPr>
          <w:rFonts w:hint="eastAsia" w:ascii="宋体" w:hAnsi="宋体" w:eastAsia="宋体" w:cs="宋体"/>
          <w:b/>
          <w:bCs/>
          <w:snapToGrid w:val="0"/>
          <w:kern w:val="0"/>
          <w:sz w:val="28"/>
          <w:szCs w:val="28"/>
        </w:rPr>
        <w:t>十、其他配置需求</w:t>
      </w:r>
    </w:p>
    <w:p w14:paraId="724ABC54">
      <w:pPr>
        <w:pStyle w:val="4"/>
        <w:adjustRightInd w:val="0"/>
        <w:snapToGrid w:val="0"/>
        <w:spacing w:line="560" w:lineRule="atLeast"/>
        <w:ind w:firstLine="480" w:firstLineChars="200"/>
        <w:rPr>
          <w:rFonts w:hAnsi="宋体" w:cs="宋体"/>
          <w:sz w:val="24"/>
          <w:szCs w:val="28"/>
        </w:rPr>
      </w:pPr>
      <w:r>
        <w:rPr>
          <w:rFonts w:hint="eastAsia" w:hAnsi="宋体" w:cs="宋体"/>
          <w:sz w:val="24"/>
          <w:szCs w:val="28"/>
        </w:rPr>
        <w:t>中标人签订合同需提供建行徐州分行结算账号或数币账号用于款项支付。</w:t>
      </w:r>
    </w:p>
    <w:p w14:paraId="6EA8C90C">
      <w:pPr>
        <w:rPr>
          <w:rFonts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Segoe UI">
    <w:panose1 w:val="020B0502040204020203"/>
    <w:charset w:val="00"/>
    <w:family w:val="swiss"/>
    <w:pitch w:val="default"/>
    <w:sig w:usb0="E4002EFF" w:usb1="C000E47F" w:usb2="00000009" w:usb3="00000000" w:csb0="200001FF" w:csb1="00000000"/>
  </w:font>
  <w:font w:name="彩虹粗仿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000007BA"/>
    <w:rsid w:val="00001A0B"/>
    <w:rsid w:val="00006AF3"/>
    <w:rsid w:val="00024A6A"/>
    <w:rsid w:val="000501F5"/>
    <w:rsid w:val="00052CB9"/>
    <w:rsid w:val="00053236"/>
    <w:rsid w:val="000536F6"/>
    <w:rsid w:val="000719A3"/>
    <w:rsid w:val="000B42E9"/>
    <w:rsid w:val="000C20CA"/>
    <w:rsid w:val="000C5C7C"/>
    <w:rsid w:val="000C71C8"/>
    <w:rsid w:val="000D162E"/>
    <w:rsid w:val="000D26B0"/>
    <w:rsid w:val="000D2D80"/>
    <w:rsid w:val="000E347E"/>
    <w:rsid w:val="000E5E56"/>
    <w:rsid w:val="000F3D10"/>
    <w:rsid w:val="00111642"/>
    <w:rsid w:val="00111E95"/>
    <w:rsid w:val="00116F05"/>
    <w:rsid w:val="00120CEE"/>
    <w:rsid w:val="00141C49"/>
    <w:rsid w:val="0016028B"/>
    <w:rsid w:val="0017433B"/>
    <w:rsid w:val="00185A4F"/>
    <w:rsid w:val="00187B75"/>
    <w:rsid w:val="001A28AE"/>
    <w:rsid w:val="001A3273"/>
    <w:rsid w:val="001D594E"/>
    <w:rsid w:val="001E376F"/>
    <w:rsid w:val="001E4D07"/>
    <w:rsid w:val="001E5219"/>
    <w:rsid w:val="001E73DD"/>
    <w:rsid w:val="001F3B4F"/>
    <w:rsid w:val="001F3C5C"/>
    <w:rsid w:val="001F5BB3"/>
    <w:rsid w:val="001F5F81"/>
    <w:rsid w:val="00202244"/>
    <w:rsid w:val="002106EF"/>
    <w:rsid w:val="00222669"/>
    <w:rsid w:val="00231EF1"/>
    <w:rsid w:val="00244C5C"/>
    <w:rsid w:val="002453E2"/>
    <w:rsid w:val="002465A9"/>
    <w:rsid w:val="0026382F"/>
    <w:rsid w:val="00274A4C"/>
    <w:rsid w:val="00277591"/>
    <w:rsid w:val="002A5B87"/>
    <w:rsid w:val="002B77A0"/>
    <w:rsid w:val="002C55C3"/>
    <w:rsid w:val="002C61BF"/>
    <w:rsid w:val="002C6905"/>
    <w:rsid w:val="002D24DC"/>
    <w:rsid w:val="002E2333"/>
    <w:rsid w:val="002E48BF"/>
    <w:rsid w:val="002E5915"/>
    <w:rsid w:val="002E7A77"/>
    <w:rsid w:val="00303237"/>
    <w:rsid w:val="003042BC"/>
    <w:rsid w:val="003078BA"/>
    <w:rsid w:val="003176F1"/>
    <w:rsid w:val="00322EA9"/>
    <w:rsid w:val="00335298"/>
    <w:rsid w:val="00343178"/>
    <w:rsid w:val="0036149C"/>
    <w:rsid w:val="00361E6A"/>
    <w:rsid w:val="0036231A"/>
    <w:rsid w:val="00376D1F"/>
    <w:rsid w:val="00396A8B"/>
    <w:rsid w:val="003A2021"/>
    <w:rsid w:val="003A27AF"/>
    <w:rsid w:val="003B690B"/>
    <w:rsid w:val="003C099C"/>
    <w:rsid w:val="003C10B7"/>
    <w:rsid w:val="003C36EE"/>
    <w:rsid w:val="003D0DEC"/>
    <w:rsid w:val="003D48B3"/>
    <w:rsid w:val="003F46B2"/>
    <w:rsid w:val="00403271"/>
    <w:rsid w:val="00410B3E"/>
    <w:rsid w:val="00432147"/>
    <w:rsid w:val="00435FF3"/>
    <w:rsid w:val="00442278"/>
    <w:rsid w:val="004455A7"/>
    <w:rsid w:val="0045257F"/>
    <w:rsid w:val="00452810"/>
    <w:rsid w:val="00460892"/>
    <w:rsid w:val="00464466"/>
    <w:rsid w:val="00467681"/>
    <w:rsid w:val="00493C18"/>
    <w:rsid w:val="00497D80"/>
    <w:rsid w:val="004B3B56"/>
    <w:rsid w:val="004D34BF"/>
    <w:rsid w:val="004D4FB5"/>
    <w:rsid w:val="004D7E1C"/>
    <w:rsid w:val="004F2268"/>
    <w:rsid w:val="004F47D0"/>
    <w:rsid w:val="00506E41"/>
    <w:rsid w:val="00507D15"/>
    <w:rsid w:val="00510B12"/>
    <w:rsid w:val="00533BEB"/>
    <w:rsid w:val="00535D00"/>
    <w:rsid w:val="005409D9"/>
    <w:rsid w:val="00546402"/>
    <w:rsid w:val="00551C25"/>
    <w:rsid w:val="0057008F"/>
    <w:rsid w:val="005753D2"/>
    <w:rsid w:val="0058507C"/>
    <w:rsid w:val="0058577C"/>
    <w:rsid w:val="005925B5"/>
    <w:rsid w:val="00596457"/>
    <w:rsid w:val="005A2136"/>
    <w:rsid w:val="005B4EA2"/>
    <w:rsid w:val="005B68CB"/>
    <w:rsid w:val="005D1E30"/>
    <w:rsid w:val="005E7142"/>
    <w:rsid w:val="005F05AE"/>
    <w:rsid w:val="00603B33"/>
    <w:rsid w:val="00610616"/>
    <w:rsid w:val="00612537"/>
    <w:rsid w:val="00620554"/>
    <w:rsid w:val="006245FE"/>
    <w:rsid w:val="0062730C"/>
    <w:rsid w:val="00630A80"/>
    <w:rsid w:val="00631F46"/>
    <w:rsid w:val="00641ECC"/>
    <w:rsid w:val="00643AC4"/>
    <w:rsid w:val="006579A5"/>
    <w:rsid w:val="006660EE"/>
    <w:rsid w:val="006759C4"/>
    <w:rsid w:val="00680218"/>
    <w:rsid w:val="00684540"/>
    <w:rsid w:val="0068766B"/>
    <w:rsid w:val="0069524C"/>
    <w:rsid w:val="006C57DC"/>
    <w:rsid w:val="006D4CA3"/>
    <w:rsid w:val="006E0102"/>
    <w:rsid w:val="00701F2E"/>
    <w:rsid w:val="00703458"/>
    <w:rsid w:val="00704072"/>
    <w:rsid w:val="00711A9E"/>
    <w:rsid w:val="00720950"/>
    <w:rsid w:val="00741899"/>
    <w:rsid w:val="0074613C"/>
    <w:rsid w:val="007517E9"/>
    <w:rsid w:val="00762D5A"/>
    <w:rsid w:val="00767183"/>
    <w:rsid w:val="00772BCA"/>
    <w:rsid w:val="007819D8"/>
    <w:rsid w:val="00791983"/>
    <w:rsid w:val="007B5AD1"/>
    <w:rsid w:val="007C7006"/>
    <w:rsid w:val="007D344F"/>
    <w:rsid w:val="007D7ECA"/>
    <w:rsid w:val="007F4070"/>
    <w:rsid w:val="007F7295"/>
    <w:rsid w:val="008021E8"/>
    <w:rsid w:val="008058EC"/>
    <w:rsid w:val="008134B9"/>
    <w:rsid w:val="0083628F"/>
    <w:rsid w:val="008370CF"/>
    <w:rsid w:val="00840AAF"/>
    <w:rsid w:val="008A36FA"/>
    <w:rsid w:val="008A5F50"/>
    <w:rsid w:val="008A62E2"/>
    <w:rsid w:val="008A6A78"/>
    <w:rsid w:val="008B0524"/>
    <w:rsid w:val="008B1417"/>
    <w:rsid w:val="008B1884"/>
    <w:rsid w:val="008B7A33"/>
    <w:rsid w:val="008C02E0"/>
    <w:rsid w:val="008C4960"/>
    <w:rsid w:val="008D1231"/>
    <w:rsid w:val="008F5A8F"/>
    <w:rsid w:val="008F6E47"/>
    <w:rsid w:val="00910FF0"/>
    <w:rsid w:val="00916DDD"/>
    <w:rsid w:val="00920BE9"/>
    <w:rsid w:val="00924AC1"/>
    <w:rsid w:val="00954DBC"/>
    <w:rsid w:val="00961E32"/>
    <w:rsid w:val="0096388C"/>
    <w:rsid w:val="00965877"/>
    <w:rsid w:val="009721D1"/>
    <w:rsid w:val="00980F45"/>
    <w:rsid w:val="009A06C1"/>
    <w:rsid w:val="009B5B3F"/>
    <w:rsid w:val="009B6284"/>
    <w:rsid w:val="009B7496"/>
    <w:rsid w:val="009C1619"/>
    <w:rsid w:val="009E0740"/>
    <w:rsid w:val="009E6AB8"/>
    <w:rsid w:val="009F0847"/>
    <w:rsid w:val="009F141B"/>
    <w:rsid w:val="009F1EC1"/>
    <w:rsid w:val="009F3D14"/>
    <w:rsid w:val="00A1317F"/>
    <w:rsid w:val="00A17849"/>
    <w:rsid w:val="00A208DE"/>
    <w:rsid w:val="00A20B0B"/>
    <w:rsid w:val="00A25EFD"/>
    <w:rsid w:val="00A26D2A"/>
    <w:rsid w:val="00A52246"/>
    <w:rsid w:val="00A831AC"/>
    <w:rsid w:val="00A9340C"/>
    <w:rsid w:val="00AA4A59"/>
    <w:rsid w:val="00AB630F"/>
    <w:rsid w:val="00AB6692"/>
    <w:rsid w:val="00AD53CA"/>
    <w:rsid w:val="00AD6757"/>
    <w:rsid w:val="00B30385"/>
    <w:rsid w:val="00B35AF9"/>
    <w:rsid w:val="00B82A6B"/>
    <w:rsid w:val="00B850D4"/>
    <w:rsid w:val="00BB18BB"/>
    <w:rsid w:val="00BC376A"/>
    <w:rsid w:val="00BC6527"/>
    <w:rsid w:val="00BD2853"/>
    <w:rsid w:val="00BD53FD"/>
    <w:rsid w:val="00BF7928"/>
    <w:rsid w:val="00C03141"/>
    <w:rsid w:val="00C26BF3"/>
    <w:rsid w:val="00C309A3"/>
    <w:rsid w:val="00C61F02"/>
    <w:rsid w:val="00C63648"/>
    <w:rsid w:val="00C91FE5"/>
    <w:rsid w:val="00C9761A"/>
    <w:rsid w:val="00CA61FA"/>
    <w:rsid w:val="00CA799A"/>
    <w:rsid w:val="00CB3E40"/>
    <w:rsid w:val="00CE10BF"/>
    <w:rsid w:val="00CE5DCC"/>
    <w:rsid w:val="00CF38D4"/>
    <w:rsid w:val="00CF38E4"/>
    <w:rsid w:val="00CF3E8F"/>
    <w:rsid w:val="00D05669"/>
    <w:rsid w:val="00D05CFD"/>
    <w:rsid w:val="00D07F30"/>
    <w:rsid w:val="00D117DA"/>
    <w:rsid w:val="00D141E9"/>
    <w:rsid w:val="00D31787"/>
    <w:rsid w:val="00D610CB"/>
    <w:rsid w:val="00D7004B"/>
    <w:rsid w:val="00DA3186"/>
    <w:rsid w:val="00DA35FE"/>
    <w:rsid w:val="00DB3C30"/>
    <w:rsid w:val="00DD306D"/>
    <w:rsid w:val="00DD3BE7"/>
    <w:rsid w:val="00DF7294"/>
    <w:rsid w:val="00E04F2B"/>
    <w:rsid w:val="00E177E5"/>
    <w:rsid w:val="00E210D5"/>
    <w:rsid w:val="00E260D2"/>
    <w:rsid w:val="00E47D0C"/>
    <w:rsid w:val="00E51D6E"/>
    <w:rsid w:val="00E53B94"/>
    <w:rsid w:val="00E61C99"/>
    <w:rsid w:val="00E82015"/>
    <w:rsid w:val="00EA5B62"/>
    <w:rsid w:val="00EB4650"/>
    <w:rsid w:val="00EC0FF3"/>
    <w:rsid w:val="00EC5FE8"/>
    <w:rsid w:val="00ED5B2E"/>
    <w:rsid w:val="00EF3296"/>
    <w:rsid w:val="00F06054"/>
    <w:rsid w:val="00F17E8E"/>
    <w:rsid w:val="00F22C10"/>
    <w:rsid w:val="00F273CE"/>
    <w:rsid w:val="00F62138"/>
    <w:rsid w:val="00F64519"/>
    <w:rsid w:val="00F650B6"/>
    <w:rsid w:val="00F821C1"/>
    <w:rsid w:val="00FA48A8"/>
    <w:rsid w:val="00FB17BD"/>
    <w:rsid w:val="00FB311D"/>
    <w:rsid w:val="00FB49AC"/>
    <w:rsid w:val="00FB73B1"/>
    <w:rsid w:val="00FC2E0E"/>
    <w:rsid w:val="00FC4695"/>
    <w:rsid w:val="00FF0435"/>
    <w:rsid w:val="068057B5"/>
    <w:rsid w:val="0D054058"/>
    <w:rsid w:val="161D3AAC"/>
    <w:rsid w:val="1D936F09"/>
    <w:rsid w:val="248B0E8F"/>
    <w:rsid w:val="29763EBB"/>
    <w:rsid w:val="340E0D1F"/>
    <w:rsid w:val="3C4934AB"/>
    <w:rsid w:val="41AC7E9F"/>
    <w:rsid w:val="4413082D"/>
    <w:rsid w:val="4A6C508E"/>
    <w:rsid w:val="57F4051E"/>
    <w:rsid w:val="590824D3"/>
    <w:rsid w:val="5FC85B58"/>
    <w:rsid w:val="60E90E3C"/>
    <w:rsid w:val="672D1356"/>
    <w:rsid w:val="681F3395"/>
    <w:rsid w:val="75956A44"/>
    <w:rsid w:val="75994786"/>
    <w:rsid w:val="77B014EE"/>
    <w:rsid w:val="79F442DB"/>
    <w:rsid w:val="7FD47AFE"/>
    <w:rsid w:val="EEBC8E76"/>
    <w:rsid w:val="FE7E0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customStyle="1" w:styleId="2">
    <w:name w:val="文本块111"/>
    <w:basedOn w:val="1"/>
    <w:unhideWhenUsed/>
    <w:qFormat/>
    <w:uiPriority w:val="0"/>
    <w:pPr>
      <w:spacing w:after="120"/>
      <w:ind w:left="1440" w:right="1440"/>
    </w:pPr>
    <w:rPr>
      <w:rFonts w:ascii="Calibri" w:hAnsi="Calibri"/>
    </w:rPr>
  </w:style>
  <w:style w:type="paragraph" w:styleId="3">
    <w:name w:val="annotation text"/>
    <w:basedOn w:val="1"/>
    <w:link w:val="17"/>
    <w:semiHidden/>
    <w:unhideWhenUsed/>
    <w:uiPriority w:val="99"/>
    <w:pPr>
      <w:jc w:val="left"/>
    </w:pPr>
  </w:style>
  <w:style w:type="paragraph" w:styleId="4">
    <w:name w:val="Plain Text"/>
    <w:basedOn w:val="1"/>
    <w:link w:val="14"/>
    <w:unhideWhenUsed/>
    <w:qFormat/>
    <w:uiPriority w:val="0"/>
    <w:rPr>
      <w:rFonts w:ascii="宋体" w:hAnsi="Courier New" w:eastAsia="宋体" w:cs="黑体"/>
      <w:szCs w:val="21"/>
    </w:r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8"/>
    <w:semiHidden/>
    <w:unhideWhenUsed/>
    <w:qFormat/>
    <w:uiPriority w:val="99"/>
    <w:rPr>
      <w:b/>
      <w:bCs/>
    </w:r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7"/>
    <w:qFormat/>
    <w:uiPriority w:val="99"/>
    <w:rPr>
      <w:sz w:val="18"/>
      <w:szCs w:val="18"/>
    </w:rPr>
  </w:style>
  <w:style w:type="character" w:customStyle="1" w:styleId="13">
    <w:name w:val="页脚 字符"/>
    <w:basedOn w:val="10"/>
    <w:link w:val="6"/>
    <w:qFormat/>
    <w:uiPriority w:val="99"/>
    <w:rPr>
      <w:sz w:val="18"/>
      <w:szCs w:val="18"/>
    </w:rPr>
  </w:style>
  <w:style w:type="character" w:customStyle="1" w:styleId="14">
    <w:name w:val="纯文本 字符"/>
    <w:basedOn w:val="10"/>
    <w:link w:val="4"/>
    <w:qFormat/>
    <w:uiPriority w:val="0"/>
    <w:rPr>
      <w:rFonts w:ascii="宋体" w:hAnsi="Courier New" w:eastAsia="宋体" w:cs="黑体"/>
      <w:szCs w:val="21"/>
    </w:rPr>
  </w:style>
  <w:style w:type="paragraph" w:customStyle="1" w:styleId="15">
    <w:name w:val="正文文本11"/>
    <w:basedOn w:val="1"/>
    <w:next w:val="1"/>
    <w:qFormat/>
    <w:uiPriority w:val="0"/>
    <w:pPr>
      <w:spacing w:after="120"/>
    </w:pPr>
  </w:style>
  <w:style w:type="character" w:customStyle="1" w:styleId="16">
    <w:name w:val="批注框文本 字符"/>
    <w:basedOn w:val="10"/>
    <w:link w:val="5"/>
    <w:semiHidden/>
    <w:qFormat/>
    <w:uiPriority w:val="99"/>
    <w:rPr>
      <w:rFonts w:asciiTheme="minorHAnsi" w:hAnsiTheme="minorHAnsi" w:eastAsiaTheme="minorEastAsia" w:cstheme="minorBidi"/>
      <w:kern w:val="2"/>
      <w:sz w:val="18"/>
      <w:szCs w:val="18"/>
    </w:rPr>
  </w:style>
  <w:style w:type="character" w:customStyle="1" w:styleId="17">
    <w:name w:val="批注文字 字符"/>
    <w:basedOn w:val="10"/>
    <w:link w:val="3"/>
    <w:semiHidden/>
    <w:qFormat/>
    <w:uiPriority w:val="99"/>
    <w:rPr>
      <w:rFonts w:asciiTheme="minorHAnsi" w:hAnsiTheme="minorHAnsi" w:eastAsiaTheme="minorEastAsia" w:cstheme="minorBidi"/>
      <w:kern w:val="2"/>
      <w:sz w:val="21"/>
      <w:szCs w:val="22"/>
    </w:rPr>
  </w:style>
  <w:style w:type="character" w:customStyle="1" w:styleId="18">
    <w:name w:val="批注主题 字符"/>
    <w:basedOn w:val="17"/>
    <w:link w:val="8"/>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15819</Words>
  <Characters>17239</Characters>
  <Lines>130</Lines>
  <Paragraphs>36</Paragraphs>
  <TotalTime>0</TotalTime>
  <ScaleCrop>false</ScaleCrop>
  <LinksUpToDate>false</LinksUpToDate>
  <CharactersWithSpaces>17321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2025-11-21T09:53:00Z</dcterms:created>
  <dc:creator>46115</dc:creator>
  <cp:lastModifiedBy>JL</cp:lastModifiedBy>
  <dcterms:modified xsi:type="dcterms:W3CDTF">2025-11-24T03:02:46Z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A2A83FDBE11480603EB09D6874607E15_42</vt:lpwstr>
  </property>
  <property fmtid="{D5CDD505-2E9C-101B-9397-08002B2CF9AE}" pid="4" name="KSOTemplateDocerSaveRecord">
    <vt:lpwstr>eyJoZGlkIjoiOTc3M2Y5NzIzMDFlZjAyY2Q4Njk5ODkyYjFjNzBiNTQiLCJ1c2VySWQiOiIxOTk2OTMxMDMifQ==</vt:lpwstr>
  </property>
</Properties>
</file>