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422677">
      <w:pPr>
        <w:spacing w:line="600" w:lineRule="exact"/>
        <w:jc w:val="center"/>
        <w:rPr>
          <w:rFonts w:ascii="宋体" w:hAnsi="宋体"/>
          <w:b/>
          <w:sz w:val="44"/>
          <w:szCs w:val="44"/>
        </w:rPr>
      </w:pPr>
      <w:r>
        <w:rPr>
          <w:rFonts w:hint="eastAsia" w:ascii="宋体" w:hAnsi="宋体"/>
          <w:b/>
          <w:sz w:val="44"/>
          <w:szCs w:val="44"/>
        </w:rPr>
        <w:t>人保寿险贵州省分公司第一会议室会议系统改造采购项目书面报价文件</w:t>
      </w:r>
    </w:p>
    <w:p w14:paraId="37CA750E">
      <w:pPr>
        <w:pStyle w:val="2"/>
        <w:ind w:left="550" w:firstLine="480"/>
      </w:pPr>
    </w:p>
    <w:p w14:paraId="6CF95B0C">
      <w:pPr>
        <w:spacing w:line="600" w:lineRule="exact"/>
        <w:rPr>
          <w:rFonts w:ascii="楷体_GB2312" w:hAnsi="宋体" w:eastAsia="楷体_GB2312"/>
          <w:sz w:val="28"/>
          <w:szCs w:val="28"/>
        </w:rPr>
      </w:pPr>
      <w:r>
        <w:rPr>
          <w:rFonts w:hint="eastAsia" w:ascii="楷体_GB2312" w:hAnsi="宋体" w:eastAsia="楷体_GB2312"/>
          <w:sz w:val="28"/>
          <w:szCs w:val="28"/>
        </w:rPr>
        <w:t>报价单位：</w:t>
      </w:r>
    </w:p>
    <w:p w14:paraId="3526C7B5">
      <w:pPr>
        <w:spacing w:line="600" w:lineRule="exact"/>
        <w:rPr>
          <w:rFonts w:ascii="楷体_GB2312" w:hAnsi="宋体" w:eastAsia="楷体_GB2312"/>
          <w:sz w:val="28"/>
          <w:szCs w:val="28"/>
        </w:rPr>
      </w:pPr>
      <w:r>
        <w:rPr>
          <w:rFonts w:hint="eastAsia" w:ascii="楷体_GB2312" w:hAnsi="宋体" w:eastAsia="楷体_GB2312"/>
          <w:sz w:val="28"/>
          <w:szCs w:val="28"/>
        </w:rPr>
        <w:t>单位地址：</w:t>
      </w:r>
    </w:p>
    <w:p w14:paraId="2BC83768">
      <w:pPr>
        <w:spacing w:line="600" w:lineRule="exact"/>
        <w:rPr>
          <w:rFonts w:ascii="楷体_GB2312" w:hAnsi="宋体" w:eastAsia="楷体_GB2312"/>
          <w:sz w:val="28"/>
          <w:szCs w:val="28"/>
        </w:rPr>
      </w:pPr>
      <w:r>
        <w:rPr>
          <w:rFonts w:hint="eastAsia" w:ascii="楷体_GB2312" w:hAnsi="宋体" w:eastAsia="楷体_GB2312"/>
          <w:sz w:val="28"/>
          <w:szCs w:val="28"/>
        </w:rPr>
        <w:t>联系人：</w:t>
      </w:r>
    </w:p>
    <w:p w14:paraId="3B0263A7">
      <w:pPr>
        <w:spacing w:line="600" w:lineRule="exact"/>
        <w:rPr>
          <w:rFonts w:ascii="楷体_GB2312" w:hAnsi="宋体" w:eastAsia="楷体_GB2312"/>
          <w:sz w:val="28"/>
          <w:szCs w:val="28"/>
        </w:rPr>
      </w:pPr>
      <w:r>
        <w:rPr>
          <w:rFonts w:hint="eastAsia" w:ascii="楷体_GB2312" w:hAnsi="宋体" w:eastAsia="楷体_GB2312"/>
          <w:sz w:val="28"/>
          <w:szCs w:val="28"/>
        </w:rPr>
        <w:t>电  话：</w:t>
      </w:r>
    </w:p>
    <w:p w14:paraId="65B5D375">
      <w:pPr>
        <w:spacing w:line="600" w:lineRule="exact"/>
        <w:rPr>
          <w:rFonts w:ascii="楷体_GB2312" w:hAnsi="宋体" w:eastAsia="楷体_GB2312"/>
          <w:sz w:val="28"/>
          <w:szCs w:val="28"/>
        </w:rPr>
      </w:pPr>
      <w:r>
        <w:rPr>
          <w:rFonts w:hint="eastAsia" w:ascii="楷体_GB2312" w:hAnsi="宋体" w:eastAsia="楷体_GB2312"/>
          <w:sz w:val="28"/>
          <w:szCs w:val="28"/>
        </w:rPr>
        <w:t>报价时间：</w:t>
      </w:r>
    </w:p>
    <w:p w14:paraId="0B7E2EE3">
      <w:pPr>
        <w:spacing w:line="600" w:lineRule="exact"/>
        <w:rPr>
          <w:rFonts w:ascii="楷体_GB2312" w:hAnsi="宋体" w:eastAsia="楷体_GB2312"/>
          <w:sz w:val="28"/>
          <w:szCs w:val="28"/>
        </w:rPr>
      </w:pPr>
    </w:p>
    <w:p w14:paraId="02D965DA">
      <w:pPr>
        <w:spacing w:line="600" w:lineRule="exact"/>
        <w:rPr>
          <w:rFonts w:ascii="楷体_GB2312" w:hAnsi="宋体" w:eastAsia="楷体_GB2312"/>
          <w:sz w:val="28"/>
          <w:szCs w:val="28"/>
        </w:rPr>
      </w:pPr>
      <w:r>
        <w:rPr>
          <w:rFonts w:hint="eastAsia" w:ascii="楷体_GB2312" w:hAnsi="宋体" w:eastAsia="楷体_GB2312"/>
          <w:sz w:val="28"/>
          <w:szCs w:val="28"/>
        </w:rPr>
        <w:t>请对以下内容进行报价（盖章）：</w:t>
      </w:r>
    </w:p>
    <w:tbl>
      <w:tblPr>
        <w:tblStyle w:val="12"/>
        <w:tblW w:w="52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1"/>
        <w:gridCol w:w="3470"/>
        <w:gridCol w:w="1848"/>
        <w:gridCol w:w="2903"/>
      </w:tblGrid>
      <w:tr w14:paraId="4E5AB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9" w:type="pct"/>
            <w:shd w:val="clear" w:color="auto" w:fill="auto"/>
            <w:vAlign w:val="center"/>
          </w:tcPr>
          <w:p w14:paraId="69251630">
            <w:pPr>
              <w:jc w:val="center"/>
              <w:rPr>
                <w:rFonts w:ascii="楷体_GB2312" w:eastAsia="楷体_GB2312"/>
                <w:sz w:val="28"/>
                <w:szCs w:val="28"/>
              </w:rPr>
            </w:pPr>
            <w:r>
              <w:rPr>
                <w:rFonts w:hint="eastAsia" w:ascii="黑体" w:eastAsia="黑体"/>
                <w:sz w:val="28"/>
                <w:szCs w:val="28"/>
              </w:rPr>
              <w:t>序号</w:t>
            </w:r>
          </w:p>
        </w:tc>
        <w:tc>
          <w:tcPr>
            <w:tcW w:w="1921" w:type="pct"/>
            <w:shd w:val="clear" w:color="auto" w:fill="auto"/>
            <w:vAlign w:val="center"/>
          </w:tcPr>
          <w:p w14:paraId="47C1EA69">
            <w:pPr>
              <w:tabs>
                <w:tab w:val="left" w:pos="531"/>
              </w:tabs>
              <w:jc w:val="center"/>
              <w:rPr>
                <w:rFonts w:ascii="黑体" w:eastAsia="黑体"/>
                <w:sz w:val="28"/>
                <w:szCs w:val="28"/>
              </w:rPr>
            </w:pPr>
            <w:r>
              <w:rPr>
                <w:rFonts w:hint="eastAsia" w:ascii="黑体" w:eastAsia="黑体"/>
                <w:sz w:val="28"/>
                <w:szCs w:val="28"/>
              </w:rPr>
              <w:t>主要内容</w:t>
            </w:r>
          </w:p>
        </w:tc>
        <w:tc>
          <w:tcPr>
            <w:tcW w:w="1023" w:type="pct"/>
            <w:shd w:val="clear" w:color="auto" w:fill="auto"/>
            <w:vAlign w:val="center"/>
          </w:tcPr>
          <w:p w14:paraId="754AA3E5">
            <w:pPr>
              <w:jc w:val="center"/>
              <w:rPr>
                <w:rFonts w:ascii="黑体" w:eastAsia="黑体"/>
                <w:sz w:val="28"/>
                <w:szCs w:val="28"/>
              </w:rPr>
            </w:pPr>
            <w:r>
              <w:rPr>
                <w:rFonts w:hint="eastAsia" w:ascii="黑体" w:eastAsia="黑体"/>
                <w:sz w:val="28"/>
                <w:szCs w:val="28"/>
              </w:rPr>
              <w:t>价格</w:t>
            </w:r>
          </w:p>
        </w:tc>
        <w:tc>
          <w:tcPr>
            <w:tcW w:w="1607" w:type="pct"/>
            <w:shd w:val="clear" w:color="auto" w:fill="auto"/>
            <w:vAlign w:val="center"/>
          </w:tcPr>
          <w:p w14:paraId="4B7E7BA8">
            <w:pPr>
              <w:jc w:val="center"/>
              <w:rPr>
                <w:rFonts w:ascii="黑体" w:eastAsia="黑体"/>
                <w:sz w:val="28"/>
                <w:szCs w:val="28"/>
              </w:rPr>
            </w:pPr>
            <w:r>
              <w:rPr>
                <w:rFonts w:hint="eastAsia" w:ascii="黑体" w:eastAsia="黑体"/>
                <w:sz w:val="28"/>
                <w:szCs w:val="28"/>
              </w:rPr>
              <w:t>备注</w:t>
            </w:r>
          </w:p>
        </w:tc>
      </w:tr>
      <w:tr w14:paraId="19975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49" w:type="pct"/>
            <w:shd w:val="clear" w:color="auto" w:fill="auto"/>
            <w:vAlign w:val="center"/>
          </w:tcPr>
          <w:p w14:paraId="087BC3A3">
            <w:pPr>
              <w:jc w:val="center"/>
              <w:rPr>
                <w:rFonts w:ascii="楷体_GB2312" w:hAnsi="宋体" w:eastAsia="楷体_GB2312"/>
                <w:sz w:val="28"/>
                <w:szCs w:val="28"/>
              </w:rPr>
            </w:pPr>
            <w:r>
              <w:rPr>
                <w:rFonts w:hint="eastAsia" w:ascii="楷体_GB2312" w:hAnsi="宋体" w:eastAsia="楷体_GB2312"/>
                <w:sz w:val="28"/>
                <w:szCs w:val="28"/>
              </w:rPr>
              <w:t>1</w:t>
            </w:r>
          </w:p>
        </w:tc>
        <w:tc>
          <w:tcPr>
            <w:tcW w:w="1921" w:type="pct"/>
            <w:shd w:val="clear" w:color="auto" w:fill="auto"/>
            <w:vAlign w:val="center"/>
          </w:tcPr>
          <w:p w14:paraId="7F1F97A0">
            <w:pPr>
              <w:jc w:val="center"/>
              <w:rPr>
                <w:rFonts w:ascii="楷体_GB2312" w:hAnsi="宋体" w:eastAsia="楷体_GB2312"/>
                <w:sz w:val="28"/>
                <w:szCs w:val="28"/>
              </w:rPr>
            </w:pPr>
          </w:p>
        </w:tc>
        <w:tc>
          <w:tcPr>
            <w:tcW w:w="1023" w:type="pct"/>
            <w:shd w:val="clear" w:color="auto" w:fill="auto"/>
            <w:vAlign w:val="center"/>
          </w:tcPr>
          <w:p w14:paraId="7A08CFC8">
            <w:pPr>
              <w:jc w:val="center"/>
              <w:rPr>
                <w:rFonts w:ascii="楷体_GB2312" w:hAnsi="宋体" w:eastAsia="楷体_GB2312"/>
                <w:sz w:val="28"/>
                <w:szCs w:val="28"/>
              </w:rPr>
            </w:pPr>
          </w:p>
        </w:tc>
        <w:tc>
          <w:tcPr>
            <w:tcW w:w="1607" w:type="pct"/>
            <w:shd w:val="clear" w:color="auto" w:fill="auto"/>
            <w:vAlign w:val="center"/>
          </w:tcPr>
          <w:p w14:paraId="3F1812D5">
            <w:pPr>
              <w:spacing w:line="400" w:lineRule="exact"/>
              <w:jc w:val="center"/>
              <w:rPr>
                <w:rFonts w:ascii="楷体_GB2312" w:hAnsi="宋体" w:eastAsia="楷体_GB2312"/>
                <w:sz w:val="28"/>
                <w:szCs w:val="28"/>
              </w:rPr>
            </w:pPr>
          </w:p>
        </w:tc>
      </w:tr>
    </w:tbl>
    <w:p w14:paraId="5D7920FF">
      <w:pPr>
        <w:rPr>
          <w:rFonts w:ascii="楷体_GB2312" w:hAnsi="宋体" w:eastAsia="楷体_GB2312"/>
          <w:sz w:val="28"/>
          <w:szCs w:val="28"/>
        </w:rPr>
      </w:pPr>
      <w:r>
        <w:rPr>
          <w:rFonts w:ascii="楷体_GB2312" w:hAnsi="宋体" w:eastAsia="楷体_GB2312"/>
          <w:sz w:val="28"/>
          <w:szCs w:val="28"/>
        </w:rPr>
        <w:t>税率：</w:t>
      </w:r>
    </w:p>
    <w:p w14:paraId="0AF3BD11">
      <w:pPr>
        <w:tabs>
          <w:tab w:val="center" w:pos="4153"/>
        </w:tabs>
        <w:spacing w:line="600" w:lineRule="exact"/>
        <w:rPr>
          <w:rFonts w:ascii="楷体_GB2312" w:hAnsi="宋体" w:eastAsia="楷体_GB2312"/>
          <w:sz w:val="28"/>
          <w:szCs w:val="28"/>
        </w:rPr>
      </w:pPr>
      <w:r>
        <w:rPr>
          <w:rFonts w:hint="eastAsia" w:ascii="楷体_GB2312" w:hAnsi="宋体" w:eastAsia="楷体_GB2312"/>
          <w:sz w:val="28"/>
          <w:szCs w:val="28"/>
        </w:rPr>
        <w:t>《项目需求》详见第二页。</w:t>
      </w:r>
      <w:r>
        <w:rPr>
          <w:rFonts w:hint="eastAsia" w:ascii="楷体_GB2312" w:hAnsi="宋体" w:eastAsia="楷体_GB2312"/>
          <w:sz w:val="28"/>
          <w:szCs w:val="28"/>
        </w:rPr>
        <w:tab/>
      </w:r>
    </w:p>
    <w:p w14:paraId="66E47399">
      <w:pPr>
        <w:rPr>
          <w:rFonts w:ascii="楷体_GB2312" w:hAnsi="宋体" w:eastAsia="楷体_GB2312"/>
          <w:sz w:val="28"/>
          <w:szCs w:val="28"/>
        </w:rPr>
      </w:pPr>
    </w:p>
    <w:p w14:paraId="6533B083">
      <w:pPr>
        <w:rPr>
          <w:rFonts w:ascii="楷体_GB2312" w:hAnsi="宋体" w:eastAsia="楷体_GB2312"/>
          <w:sz w:val="28"/>
          <w:szCs w:val="28"/>
        </w:rPr>
      </w:pPr>
    </w:p>
    <w:p w14:paraId="0B077C11">
      <w:pPr>
        <w:rPr>
          <w:rFonts w:ascii="楷体_GB2312" w:hAnsi="宋体" w:eastAsia="楷体_GB2312"/>
          <w:sz w:val="28"/>
          <w:szCs w:val="28"/>
        </w:rPr>
      </w:pPr>
    </w:p>
    <w:p w14:paraId="392F4FEC">
      <w:pPr>
        <w:rPr>
          <w:rFonts w:ascii="楷体_GB2312" w:hAnsi="宋体" w:eastAsia="楷体_GB2312"/>
          <w:sz w:val="28"/>
          <w:szCs w:val="28"/>
        </w:rPr>
      </w:pPr>
    </w:p>
    <w:p w14:paraId="6F6C4122">
      <w:pPr>
        <w:rPr>
          <w:rFonts w:ascii="楷体_GB2312" w:hAnsi="宋体" w:eastAsia="楷体_GB2312"/>
          <w:b/>
          <w:sz w:val="28"/>
          <w:szCs w:val="28"/>
        </w:rPr>
      </w:pPr>
    </w:p>
    <w:p w14:paraId="270BA1C6">
      <w:pPr>
        <w:rPr>
          <w:rFonts w:ascii="楷体_GB2312" w:hAnsi="宋体" w:eastAsia="楷体_GB2312"/>
          <w:b/>
          <w:sz w:val="28"/>
          <w:szCs w:val="28"/>
        </w:rPr>
      </w:pPr>
    </w:p>
    <w:p w14:paraId="0449FC7B">
      <w:pPr>
        <w:rPr>
          <w:rFonts w:ascii="楷体_GB2312" w:hAnsi="宋体" w:eastAsia="楷体_GB2312"/>
          <w:b/>
          <w:sz w:val="28"/>
          <w:szCs w:val="28"/>
        </w:rPr>
      </w:pPr>
    </w:p>
    <w:p w14:paraId="73BB3C85">
      <w:pPr>
        <w:rPr>
          <w:rFonts w:ascii="楷体_GB2312" w:hAnsi="宋体" w:eastAsia="楷体_GB2312"/>
          <w:b/>
          <w:sz w:val="28"/>
          <w:szCs w:val="28"/>
        </w:rPr>
      </w:pPr>
    </w:p>
    <w:p w14:paraId="43AFAC4B">
      <w:pPr>
        <w:spacing w:line="660" w:lineRule="exact"/>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项目需求</w:t>
      </w:r>
    </w:p>
    <w:p w14:paraId="71363B4F">
      <w:pPr>
        <w:keepNext w:val="0"/>
        <w:keepLines w:val="0"/>
        <w:pageBreakBefore w:val="0"/>
        <w:widowControl w:val="0"/>
        <w:numPr>
          <w:ilvl w:val="0"/>
          <w:numId w:val="0"/>
        </w:numPr>
        <w:tabs>
          <w:tab w:val="center" w:pos="4153"/>
        </w:tabs>
        <w:kinsoku/>
        <w:wordWrap/>
        <w:overflowPunct/>
        <w:topLinePunct w:val="0"/>
        <w:autoSpaceDE/>
        <w:autoSpaceDN/>
        <w:bidi w:val="0"/>
        <w:adjustRightInd/>
        <w:spacing w:after="0"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p>
    <w:p w14:paraId="6697D63B">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一、项目概况</w:t>
      </w:r>
    </w:p>
    <w:p w14:paraId="6A027E1B">
      <w:pPr>
        <w:keepNext w:val="0"/>
        <w:keepLines w:val="0"/>
        <w:pageBreakBefore w:val="0"/>
        <w:widowControl w:val="0"/>
        <w:tabs>
          <w:tab w:val="center" w:pos="4153"/>
        </w:tabs>
        <w:kinsoku/>
        <w:wordWrap/>
        <w:overflowPunct/>
        <w:topLinePunct w:val="0"/>
        <w:autoSpaceDE/>
        <w:autoSpaceDN/>
        <w:bidi w:val="0"/>
        <w:adjustRightInd/>
        <w:spacing w:line="600" w:lineRule="exact"/>
        <w:ind w:firstLine="640" w:firstLineChars="200"/>
        <w:jc w:val="both"/>
        <w:textAlignment w:val="auto"/>
        <w:rPr>
          <w:rFonts w:ascii="宋体" w:hAnsi="宋体" w:eastAsia="仿宋_GB2312" w:cs="宋体"/>
          <w:bCs/>
          <w:kern w:val="0"/>
          <w:sz w:val="32"/>
        </w:rPr>
      </w:pPr>
      <w:r>
        <w:rPr>
          <w:rFonts w:hint="eastAsia" w:ascii="宋体" w:hAnsi="宋体" w:eastAsia="仿宋_GB2312" w:cs="宋体"/>
          <w:bCs/>
          <w:kern w:val="0"/>
          <w:sz w:val="32"/>
          <w:lang w:val="en-US" w:eastAsia="zh-CN"/>
        </w:rPr>
        <w:t>为满足现代化会议需求，提升会议视听效果与效率，现计划对我司第一会议室现有投影系统进行升级改造，采购并安装一套高性能小间距LED显示屏系统，以实现更清晰、稳定、明亮的会议画面显示。</w:t>
      </w:r>
    </w:p>
    <w:p w14:paraId="7CACC87E">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二、采购范围</w:t>
      </w:r>
    </w:p>
    <w:p w14:paraId="3E736668">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本次采购范围包括但不限于以下内容，供应商应提供完整的“交钥匙”解决方案：</w:t>
      </w:r>
    </w:p>
    <w:p w14:paraId="3E2416C7">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核心显示单元：室内全彩LED显示屏（P1.8-P2.0规格）一套，包含所有显示屏模组、箱体、电源、接收卡、冗余备件等。</w:t>
      </w:r>
    </w:p>
    <w:p w14:paraId="302A6DDD">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控制系统：LED显示屏专用发送卡、视频处理器。核心： 多功能高清视频矩阵或分布式坐席管理系统（至少支持4路以上独立信号输入，支持信号在LED大屏及2台现有电视机上自由切换、拼接、漫游显示）。</w:t>
      </w:r>
    </w:p>
    <w:p w14:paraId="2A99F293">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 xml:space="preserve">安装结构与辅材： </w:t>
      </w:r>
      <w:r>
        <w:rPr>
          <w:rFonts w:hint="eastAsia" w:ascii="宋体" w:hAnsi="宋体" w:eastAsia="仿宋_GB2312" w:cs="宋体"/>
          <w:bCs/>
          <w:kern w:val="0"/>
          <w:sz w:val="32"/>
          <w:lang w:val="en-US" w:eastAsia="zh-CN"/>
        </w:rPr>
        <w:t>1.</w:t>
      </w:r>
      <w:r>
        <w:rPr>
          <w:rFonts w:hint="eastAsia" w:ascii="宋体" w:hAnsi="宋体" w:eastAsia="仿宋_GB2312" w:cs="宋体"/>
          <w:bCs/>
          <w:kern w:val="0"/>
          <w:sz w:val="32"/>
        </w:rPr>
        <w:t>显示屏专用安装支架（要求稳固、安全、易维护）、所有必要线缆（电源线、网线、光纤等）、配电箱及空气开关等</w:t>
      </w:r>
      <w:r>
        <w:rPr>
          <w:rFonts w:hint="eastAsia" w:ascii="宋体" w:hAnsi="宋体" w:eastAsia="仿宋_GB2312" w:cs="宋体"/>
          <w:bCs/>
          <w:kern w:val="0"/>
          <w:sz w:val="32"/>
          <w:lang w:eastAsia="zh-CN"/>
        </w:rPr>
        <w:t>，</w:t>
      </w:r>
      <w:r>
        <w:rPr>
          <w:rFonts w:hint="eastAsia" w:ascii="宋体" w:hAnsi="宋体" w:eastAsia="仿宋_GB2312" w:cs="宋体"/>
          <w:bCs/>
          <w:kern w:val="0"/>
          <w:sz w:val="32"/>
        </w:rPr>
        <w:t>并完成表面装饰处理。</w:t>
      </w:r>
      <w:r>
        <w:rPr>
          <w:rFonts w:hint="eastAsia" w:ascii="宋体" w:hAnsi="宋体" w:eastAsia="仿宋_GB2312" w:cs="宋体"/>
          <w:bCs/>
          <w:kern w:val="0"/>
          <w:sz w:val="32"/>
          <w:lang w:val="en-US" w:eastAsia="zh-CN"/>
        </w:rPr>
        <w:t>2.</w:t>
      </w:r>
      <w:r>
        <w:rPr>
          <w:rFonts w:hint="eastAsia" w:ascii="宋体" w:hAnsi="宋体" w:eastAsia="仿宋_GB2312" w:cs="宋体"/>
          <w:bCs/>
          <w:kern w:val="0"/>
          <w:sz w:val="32"/>
        </w:rPr>
        <w:t>负责所有设备的运输、安装、集成、系统调试，确保整体系统正常运行，显示效果达到最佳状态。</w:t>
      </w:r>
    </w:p>
    <w:p w14:paraId="24196B13">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系统集成与调试：新LED大屏的运输、安装、调试。</w:t>
      </w:r>
    </w:p>
    <w:p w14:paraId="6BB28485">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与会议室两台电视机的信号系统集成、调试。</w:t>
      </w:r>
    </w:p>
    <w:p w14:paraId="4E2791B0">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与会议室可能存在的中央控制系统（中控）对接调试（若有）。</w:t>
      </w:r>
    </w:p>
    <w:p w14:paraId="2EBDF5AF">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对所有显示设备（新LED屏、原有电视机）进行统一色彩、亮度校准。</w:t>
      </w:r>
    </w:p>
    <w:p w14:paraId="2FA00C88">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培训与服务：为管理员提供完整的系统操作、日常维护及简易故障排查培训。提供明确的技术文档。提供详细、明确的售后服务承诺，包括保修期限、响应时间、解决时限、备件供应及技术支持方式等。</w:t>
      </w:r>
    </w:p>
    <w:p w14:paraId="7051C7F2">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0" w:firstLineChars="200"/>
        <w:jc w:val="both"/>
        <w:textAlignment w:val="auto"/>
        <w:rPr>
          <w:rFonts w:hint="eastAsia" w:ascii="宋体" w:hAnsi="宋体" w:eastAsia="仿宋_GB2312" w:cs="宋体"/>
          <w:bCs/>
          <w:kern w:val="0"/>
          <w:sz w:val="32"/>
        </w:rPr>
      </w:pPr>
      <w:r>
        <w:rPr>
          <w:rFonts w:hint="eastAsia" w:ascii="宋体" w:hAnsi="宋体" w:eastAsia="仿宋_GB2312" w:cs="宋体"/>
          <w:bCs/>
          <w:kern w:val="0"/>
          <w:sz w:val="32"/>
        </w:rPr>
        <w:t>现场勘测与方案深化： 中标后需进行详细现场勘测，提交最终的深化设计方案（含效果图、点位图、布线图、结构图等）。</w:t>
      </w:r>
    </w:p>
    <w:p w14:paraId="5AE02030">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三、技术要求</w:t>
      </w:r>
    </w:p>
    <w:p w14:paraId="1C1E4F4C">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firstLine="643" w:firstLineChars="200"/>
        <w:jc w:val="both"/>
        <w:textAlignment w:val="auto"/>
        <w:rPr>
          <w:rFonts w:hint="eastAsia" w:ascii="宋体" w:hAnsi="宋体" w:eastAsia="仿宋_GB2312" w:cs="宋体"/>
          <w:b/>
          <w:kern w:val="0"/>
          <w:sz w:val="32"/>
          <w:szCs w:val="24"/>
          <w:lang w:val="en-US" w:eastAsia="zh-CN" w:bidi="ar-SA"/>
        </w:rPr>
      </w:pPr>
      <w:r>
        <w:rPr>
          <w:rFonts w:hint="eastAsia" w:ascii="宋体" w:hAnsi="宋体" w:eastAsia="仿宋_GB2312" w:cs="宋体"/>
          <w:b/>
          <w:kern w:val="0"/>
          <w:sz w:val="32"/>
          <w:szCs w:val="24"/>
          <w:lang w:val="en-US" w:eastAsia="zh-CN" w:bidi="ar-SA"/>
        </w:rPr>
        <w:t>1.LED显示屏主要技术规格：</w:t>
      </w:r>
    </w:p>
    <w:p w14:paraId="47ABDDEB">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像素间距：P1.8系列，品牌标准箱体。</w:t>
      </w:r>
    </w:p>
    <w:p w14:paraId="6F8588F0">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屏体尺</w:t>
      </w:r>
      <w:r>
        <w:rPr>
          <w:rFonts w:hint="eastAsia" w:eastAsia="仿宋_GB2312"/>
          <w:color w:val="auto"/>
          <w:sz w:val="32"/>
          <w:szCs w:val="32"/>
          <w:lang w:val="en-US" w:eastAsia="zh-CN"/>
        </w:rPr>
        <w:t>寸：</w:t>
      </w:r>
      <w:r>
        <w:rPr>
          <w:rFonts w:hint="eastAsia" w:eastAsia="仿宋_GB2312"/>
          <w:color w:val="auto"/>
          <w:sz w:val="32"/>
          <w:szCs w:val="32"/>
        </w:rPr>
        <w:t>5.76*2.08＝12㎡</w:t>
      </w:r>
      <w:r>
        <w:rPr>
          <w:rFonts w:hint="eastAsia" w:eastAsia="仿宋_GB2312"/>
          <w:color w:val="auto"/>
          <w:sz w:val="32"/>
          <w:szCs w:val="32"/>
          <w:lang w:val="en-US" w:eastAsia="zh-CN"/>
        </w:rPr>
        <w:t>，尺寸可由报价方根据现场勘测后优化提出。</w:t>
      </w:r>
    </w:p>
    <w:p w14:paraId="1A2823E9">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刷新率：≥3840Hz，确保在高清相机、手机拍摄下无闪烁、无扫描线。</w:t>
      </w:r>
    </w:p>
    <w:p w14:paraId="50DD0130">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亮度：≥600cd/㎡，且支持亮度调节。</w:t>
      </w:r>
    </w:p>
    <w:p w14:paraId="6B577CAE">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灰度等级：≥16bit。</w:t>
      </w:r>
    </w:p>
    <w:p w14:paraId="1EDABAF5">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可视角度：水平≥160°，垂直≥160°。</w:t>
      </w:r>
    </w:p>
    <w:p w14:paraId="303D71F8">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表面处理：必须采用哑光/雾面处理，具备防眩光、防反光特性。</w:t>
      </w:r>
    </w:p>
    <w:p w14:paraId="65C6E9E5">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均匀性：整屏亮度、色度一致性高，无色差、色块。</w:t>
      </w:r>
    </w:p>
    <w:p w14:paraId="7BBBF28B">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可靠性：平均无故障时间（MTBF）≥10,000小时；死灯率低于行业标准（万分之一以下）。</w:t>
      </w:r>
    </w:p>
    <w:p w14:paraId="1C26ECBA">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防护：室内防护等级。</w:t>
      </w:r>
    </w:p>
    <w:p w14:paraId="421D3627">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3" w:firstLineChars="200"/>
        <w:jc w:val="both"/>
        <w:textAlignment w:val="auto"/>
        <w:rPr>
          <w:rFonts w:hint="eastAsia" w:eastAsia="仿宋_GB2312"/>
          <w:b/>
          <w:bCs/>
          <w:sz w:val="32"/>
          <w:szCs w:val="32"/>
          <w:lang w:val="en-US" w:eastAsia="zh-CN"/>
        </w:rPr>
      </w:pPr>
      <w:r>
        <w:rPr>
          <w:rFonts w:hint="eastAsia" w:eastAsia="仿宋_GB2312"/>
          <w:b/>
          <w:bCs/>
          <w:sz w:val="32"/>
          <w:szCs w:val="32"/>
          <w:lang w:val="en-US" w:eastAsia="zh-CN"/>
        </w:rPr>
        <w:t>2.控制系统与功能要求：</w:t>
      </w:r>
    </w:p>
    <w:p w14:paraId="4A687400">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控制系统：需实现一台电脑信号可同时或分别显示在LED大屏及任一台电视机上，支持多信号源同屏、画中画、画面分割等功能。</w:t>
      </w:r>
    </w:p>
    <w:p w14:paraId="1884F8A2">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操作便捷性：支持通过软件界面、平板APP或墙面面板进行直观的信号切换和模式调用。</w:t>
      </w:r>
    </w:p>
    <w:p w14:paraId="43CBF16B">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扩展性：系统需预留不少于2路信号输入接口，以备未来扩展（如：无线投屏器、高清摄像机等）。</w:t>
      </w:r>
    </w:p>
    <w:p w14:paraId="79C34E6F">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同步性：所有显示终端（LED屏、电视机）间的信号延迟应极低，无明显不同步现象。</w:t>
      </w:r>
    </w:p>
    <w:p w14:paraId="6FCA0073">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3" w:firstLineChars="200"/>
        <w:jc w:val="both"/>
        <w:textAlignment w:val="auto"/>
        <w:rPr>
          <w:rFonts w:hint="eastAsia" w:eastAsia="仿宋_GB2312"/>
          <w:b/>
          <w:bCs/>
          <w:sz w:val="32"/>
          <w:szCs w:val="32"/>
          <w:lang w:val="en-US" w:eastAsia="zh-CN"/>
        </w:rPr>
      </w:pPr>
      <w:r>
        <w:rPr>
          <w:rFonts w:hint="eastAsia" w:eastAsia="仿宋_GB2312"/>
          <w:b/>
          <w:bCs/>
          <w:sz w:val="32"/>
          <w:szCs w:val="32"/>
          <w:lang w:val="en-US" w:eastAsia="zh-CN"/>
        </w:rPr>
        <w:t>3.安装与结构要求：</w:t>
      </w:r>
    </w:p>
    <w:p w14:paraId="3E11C408">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安装结构需牢固可靠，符合国家相关承重与抗震标准。</w:t>
      </w:r>
    </w:p>
    <w:p w14:paraId="57F7E977">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支持前维护或快速维护设计，便于后期检修。</w:t>
      </w:r>
    </w:p>
    <w:p w14:paraId="5D4472FE">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所有线缆应规整隐蔽，强弱电分离，符合电气安装规范。装方式需与会议室现有装修协调，外观简洁美观，便于后期维护。</w:t>
      </w:r>
    </w:p>
    <w:p w14:paraId="112D1A54">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提供详细的结构设计图与荷载计算书。</w:t>
      </w:r>
    </w:p>
    <w:p w14:paraId="0363705A">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3" w:firstLineChars="200"/>
        <w:jc w:val="both"/>
        <w:textAlignment w:val="auto"/>
        <w:rPr>
          <w:rFonts w:hint="eastAsia" w:eastAsia="仿宋_GB2312"/>
          <w:b/>
          <w:bCs/>
          <w:sz w:val="32"/>
          <w:szCs w:val="32"/>
          <w:lang w:val="en-US" w:eastAsia="zh-CN"/>
        </w:rPr>
      </w:pPr>
      <w:r>
        <w:rPr>
          <w:rFonts w:hint="eastAsia" w:eastAsia="仿宋_GB2312"/>
          <w:b/>
          <w:bCs/>
          <w:sz w:val="32"/>
          <w:szCs w:val="32"/>
          <w:lang w:val="en-US" w:eastAsia="zh-CN"/>
        </w:rPr>
        <w:t>4.质量与安全标准：</w:t>
      </w:r>
    </w:p>
    <w:p w14:paraId="472D1BAC">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所有产品需符合中国国家强制性产品认证（CCC）及相关行业标准。</w:t>
      </w:r>
    </w:p>
    <w:p w14:paraId="326A06CD">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工程施工需符合国家电气安装、消防安全等相关规范。</w:t>
      </w:r>
    </w:p>
    <w:p w14:paraId="77018293">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3" w:firstLineChars="200"/>
        <w:jc w:val="both"/>
        <w:textAlignment w:val="auto"/>
        <w:rPr>
          <w:rFonts w:hint="eastAsia" w:eastAsia="仿宋_GB2312"/>
          <w:b/>
          <w:bCs/>
          <w:sz w:val="32"/>
          <w:szCs w:val="32"/>
          <w:lang w:val="en-US" w:eastAsia="zh-CN"/>
        </w:rPr>
      </w:pPr>
      <w:r>
        <w:rPr>
          <w:rFonts w:hint="eastAsia" w:eastAsia="仿宋_GB2312"/>
          <w:b/>
          <w:bCs/>
          <w:sz w:val="32"/>
          <w:szCs w:val="32"/>
          <w:lang w:val="en-US" w:eastAsia="zh-CN"/>
        </w:rPr>
        <w:t>5.工艺与效果：</w:t>
      </w:r>
    </w:p>
    <w:p w14:paraId="4F245B34">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屏体拼接缝≤0.1mm，实现视觉无缝拼接。</w:t>
      </w:r>
    </w:p>
    <w:p w14:paraId="1DDA6725">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szCs w:val="32"/>
          <w:lang w:val="en-US" w:eastAsia="zh-CN"/>
        </w:rPr>
      </w:pPr>
      <w:r>
        <w:rPr>
          <w:rFonts w:hint="eastAsia" w:eastAsia="仿宋_GB2312"/>
          <w:sz w:val="32"/>
          <w:szCs w:val="32"/>
          <w:lang w:val="en-US" w:eastAsia="zh-CN"/>
        </w:rPr>
        <w:t>整体平整度佳，无突出、凹陷或波浪形变。</w:t>
      </w:r>
    </w:p>
    <w:p w14:paraId="5F98E4C3">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四、资质要求</w:t>
      </w:r>
    </w:p>
    <w:p w14:paraId="3184D7E7">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公司资质：投标方须为合法注册企业，具备LED显示屏相关经营范围。提供营业执照复印件。</w:t>
      </w:r>
    </w:p>
    <w:p w14:paraId="47A1B058">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项目经验：提供近三年内至少2个类似规模（显示面积≥20㎡）的室内会议室LED系统集成案例合同复印件及现场效果图。</w:t>
      </w:r>
    </w:p>
    <w:p w14:paraId="4B0AB611">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技术能力：拥有专业的项目实施团队，项目负责人需具备3年以上相关经验。</w:t>
      </w:r>
    </w:p>
    <w:p w14:paraId="73AE49AB">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售后服务：</w:t>
      </w:r>
    </w:p>
    <w:p w14:paraId="2DFD6842">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提供不少于2年 的整屏免费质保（含人工、材料）。</w:t>
      </w:r>
    </w:p>
    <w:p w14:paraId="4F063BB6">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提供7x24小时应急响应，接到故障报修后 2小时内 远程响应，如需现场服务，省会城市24小时内，其他地区48小时内工程师到达现场。</w:t>
      </w:r>
    </w:p>
    <w:p w14:paraId="5A73D82C">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质保期后，提供优惠的保修服务方案。</w:t>
      </w:r>
    </w:p>
    <w:p w14:paraId="3D552CE8">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rPr>
      </w:pPr>
      <w:r>
        <w:rPr>
          <w:rFonts w:hint="eastAsia" w:eastAsia="仿宋_GB2312"/>
          <w:sz w:val="32"/>
        </w:rPr>
        <w:t>报价要求：报价需为含税人民币报价，并分项列明设备费、材料费、安装调试费、培训费及税费等总价。</w:t>
      </w:r>
    </w:p>
    <w:p w14:paraId="3B47AE20">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五、 报价文件组成要求</w:t>
      </w:r>
    </w:p>
    <w:p w14:paraId="14158143">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1.报价一览表（含分项报价及总价，人民币含税价）。</w:t>
      </w:r>
    </w:p>
    <w:p w14:paraId="65D69C6E">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2.公司简介及符合“资质要求”的全部证明文件。</w:t>
      </w:r>
    </w:p>
    <w:p w14:paraId="4CC5E0C7">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3.详细的技术方案与产品配置清单（含品牌、型号、技术参数、图片、由权威检测机构出具的产品检测报告）。</w:t>
      </w:r>
    </w:p>
    <w:p w14:paraId="3F003530">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4.项目实施计划、工期及人员安排。</w:t>
      </w:r>
    </w:p>
    <w:p w14:paraId="44075748">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5.承诺函。</w:t>
      </w:r>
    </w:p>
    <w:p w14:paraId="47AC86DF">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3" w:firstLineChars="200"/>
        <w:jc w:val="both"/>
        <w:textAlignment w:val="auto"/>
        <w:rPr>
          <w:rFonts w:hint="eastAsia" w:ascii="黑体" w:hAnsi="黑体" w:eastAsia="黑体" w:cs="黑体"/>
          <w:b/>
          <w:kern w:val="0"/>
          <w:sz w:val="32"/>
          <w:szCs w:val="24"/>
          <w:lang w:val="en-US" w:eastAsia="zh-CN" w:bidi="ar-SA"/>
        </w:rPr>
      </w:pPr>
      <w:r>
        <w:rPr>
          <w:rFonts w:hint="eastAsia" w:ascii="黑体" w:hAnsi="黑体" w:eastAsia="黑体" w:cs="黑体"/>
          <w:b/>
          <w:kern w:val="0"/>
          <w:sz w:val="32"/>
          <w:szCs w:val="24"/>
          <w:lang w:val="en-US" w:eastAsia="zh-CN" w:bidi="ar-SA"/>
        </w:rPr>
        <w:t>六、报价截止时间及递交方式</w:t>
      </w:r>
    </w:p>
    <w:p w14:paraId="325E619F">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default" w:eastAsia="仿宋_GB2312"/>
          <w:sz w:val="32"/>
          <w:lang w:val="en-US" w:eastAsia="zh-CN"/>
        </w:rPr>
      </w:pPr>
      <w:r>
        <w:rPr>
          <w:rFonts w:hint="eastAsia" w:eastAsia="仿宋_GB2312"/>
          <w:sz w:val="32"/>
          <w:lang w:val="en-US" w:eastAsia="zh-CN"/>
        </w:rPr>
        <w:t xml:space="preserve">截止时间： 2026年1月28日 </w:t>
      </w:r>
    </w:p>
    <w:p w14:paraId="7F5E6B73">
      <w:pPr>
        <w:keepNext w:val="0"/>
        <w:keepLines w:val="0"/>
        <w:pageBreakBefore w:val="0"/>
        <w:widowControl w:val="0"/>
        <w:numPr>
          <w:ilvl w:val="0"/>
          <w:numId w:val="0"/>
        </w:numPr>
        <w:tabs>
          <w:tab w:val="center" w:pos="4153"/>
        </w:tabs>
        <w:kinsoku/>
        <w:wordWrap/>
        <w:overflowPunct/>
        <w:topLinePunct w:val="0"/>
        <w:autoSpaceDE/>
        <w:autoSpaceDN/>
        <w:bidi w:val="0"/>
        <w:adjustRightInd/>
        <w:spacing w:line="600" w:lineRule="exact"/>
        <w:ind w:left="0" w:leftChars="0" w:firstLine="640" w:firstLineChars="200"/>
        <w:jc w:val="both"/>
        <w:textAlignment w:val="auto"/>
        <w:rPr>
          <w:rFonts w:hint="default" w:ascii="Calibri" w:hAnsi="Calibri" w:eastAsia="仿宋_GB2312" w:cs="Times New Roman"/>
          <w:color w:val="000000"/>
          <w:kern w:val="2"/>
          <w:sz w:val="32"/>
          <w:szCs w:val="18"/>
          <w:lang w:val="en-US" w:eastAsia="zh-CN" w:bidi="ar-SA"/>
        </w:rPr>
      </w:pPr>
      <w:r>
        <w:rPr>
          <w:rFonts w:hint="eastAsia" w:ascii="Calibri" w:hAnsi="Calibri" w:eastAsia="仿宋_GB2312" w:cs="Times New Roman"/>
          <w:color w:val="000000"/>
          <w:kern w:val="2"/>
          <w:sz w:val="32"/>
          <w:szCs w:val="18"/>
          <w:lang w:val="en-US" w:eastAsia="zh-CN" w:bidi="ar-SA"/>
        </w:rPr>
        <w:t>递交方式</w:t>
      </w:r>
      <w:r>
        <w:rPr>
          <w:rFonts w:hint="eastAsia" w:eastAsia="仿宋_GB2312" w:cs="Times New Roman"/>
          <w:color w:val="000000"/>
          <w:kern w:val="2"/>
          <w:sz w:val="32"/>
          <w:szCs w:val="18"/>
          <w:lang w:val="en-US" w:eastAsia="zh-CN" w:bidi="ar-SA"/>
        </w:rPr>
        <w:t>：报价材料报送至联系人邮箱（</w:t>
      </w:r>
      <w:r>
        <w:rPr>
          <w:rFonts w:hint="eastAsia" w:ascii="Calibri" w:hAnsi="Calibri" w:eastAsia="仿宋_GB2312" w:cs="Times New Roman"/>
          <w:color w:val="000000"/>
          <w:kern w:val="2"/>
          <w:sz w:val="32"/>
          <w:szCs w:val="18"/>
          <w:lang w:val="en-US" w:eastAsia="zh-CN" w:bidi="ar-SA"/>
        </w:rPr>
        <w:t>hekunxiang01@picclife.cn</w:t>
      </w:r>
      <w:r>
        <w:rPr>
          <w:rFonts w:hint="eastAsia" w:eastAsia="仿宋_GB2312" w:cs="Times New Roman"/>
          <w:color w:val="000000"/>
          <w:kern w:val="2"/>
          <w:sz w:val="32"/>
          <w:szCs w:val="18"/>
          <w:lang w:val="en-US" w:eastAsia="zh-CN" w:bidi="ar-SA"/>
        </w:rPr>
        <w:t>）</w:t>
      </w:r>
    </w:p>
    <w:p w14:paraId="0C8AA1C4">
      <w:pPr>
        <w:pStyle w:val="2"/>
        <w:keepNext w:val="0"/>
        <w:keepLines w:val="0"/>
        <w:pageBreakBefore w:val="0"/>
        <w:widowControl w:val="0"/>
        <w:kinsoku/>
        <w:wordWrap/>
        <w:overflowPunct/>
        <w:topLinePunct w:val="0"/>
        <w:autoSpaceDE/>
        <w:autoSpaceDN/>
        <w:bidi w:val="0"/>
        <w:adjustRightInd/>
        <w:spacing w:after="0" w:afterLines="0" w:line="600" w:lineRule="exact"/>
        <w:ind w:left="0" w:leftChars="0" w:firstLine="640" w:firstLineChars="200"/>
        <w:jc w:val="both"/>
        <w:textAlignment w:val="auto"/>
        <w:rPr>
          <w:rFonts w:hint="eastAsia" w:eastAsia="仿宋_GB2312"/>
          <w:sz w:val="32"/>
          <w:lang w:val="en-US" w:eastAsia="zh-CN"/>
        </w:rPr>
      </w:pPr>
      <w:r>
        <w:rPr>
          <w:rFonts w:hint="eastAsia" w:eastAsia="仿宋_GB2312"/>
          <w:sz w:val="32"/>
          <w:lang w:val="en-US" w:eastAsia="zh-CN"/>
        </w:rPr>
        <w:t>联系人及电话：何昆香13098515167</w:t>
      </w:r>
    </w:p>
    <w:p w14:paraId="0F4EC121">
      <w:pPr>
        <w:pStyle w:val="2"/>
        <w:keepNext w:val="0"/>
        <w:keepLines w:val="0"/>
        <w:pageBreakBefore w:val="0"/>
        <w:widowControl w:val="0"/>
        <w:kinsoku/>
        <w:wordWrap/>
        <w:overflowPunct/>
        <w:topLinePunct w:val="0"/>
        <w:autoSpaceDE/>
        <w:autoSpaceDN/>
        <w:bidi w:val="0"/>
        <w:adjustRightInd/>
        <w:spacing w:after="0" w:line="600" w:lineRule="exact"/>
        <w:ind w:left="0" w:leftChars="0" w:firstLine="640" w:firstLineChars="200"/>
        <w:jc w:val="both"/>
        <w:textAlignment w:val="auto"/>
        <w:rPr>
          <w:rFonts w:hint="eastAsia" w:eastAsia="仿宋_GB2312"/>
          <w:sz w:val="32"/>
          <w:lang w:val="en-US" w:eastAsia="zh-CN"/>
        </w:rPr>
      </w:pPr>
      <w:bookmarkStart w:id="0" w:name="_GoBack"/>
      <w:bookmarkEnd w:id="0"/>
    </w:p>
    <w:p w14:paraId="1D11C4DF">
      <w:pPr>
        <w:keepNext w:val="0"/>
        <w:keepLines w:val="0"/>
        <w:pageBreakBefore w:val="0"/>
        <w:widowControl w:val="0"/>
        <w:kinsoku/>
        <w:wordWrap/>
        <w:overflowPunct/>
        <w:topLinePunct w:val="0"/>
        <w:autoSpaceDE/>
        <w:autoSpaceDN/>
        <w:bidi w:val="0"/>
        <w:adjustRightInd/>
        <w:spacing w:line="600" w:lineRule="exact"/>
        <w:ind w:firstLine="640" w:firstLineChars="200"/>
        <w:jc w:val="both"/>
        <w:textAlignment w:val="auto"/>
        <w:rPr>
          <w:rFonts w:hint="eastAsia" w:eastAsia="仿宋_GB2312"/>
          <w:sz w:val="32"/>
          <w:lang w:val="en-US" w:eastAsia="zh-CN"/>
        </w:rPr>
      </w:pPr>
      <w:r>
        <w:rPr>
          <w:rFonts w:hint="eastAsia" w:eastAsia="仿宋_GB2312"/>
          <w:sz w:val="32"/>
          <w:lang w:val="en-US" w:eastAsia="zh-CN"/>
        </w:rPr>
        <w:br w:type="page"/>
      </w:r>
    </w:p>
    <w:p w14:paraId="3555EF5F">
      <w:pPr>
        <w:keepNext w:val="0"/>
        <w:keepLines w:val="0"/>
        <w:pageBreakBefore w:val="0"/>
        <w:widowControl w:val="0"/>
        <w:kinsoku/>
        <w:wordWrap/>
        <w:overflowPunct/>
        <w:topLinePunct w:val="0"/>
        <w:autoSpaceDE/>
        <w:autoSpaceDN/>
        <w:bidi w:val="0"/>
        <w:adjustRightInd/>
        <w:spacing w:line="560" w:lineRule="exact"/>
        <w:ind w:firstLine="883" w:firstLineChars="200"/>
        <w:jc w:val="center"/>
        <w:textAlignment w:val="auto"/>
        <w:rPr>
          <w:rFonts w:hint="eastAsia" w:ascii="方正小标宋简体" w:hAnsi="方正小标宋简体" w:eastAsia="方正小标宋简体" w:cs="方正小标宋简体"/>
          <w:b/>
          <w:bCs/>
          <w:sz w:val="44"/>
          <w:szCs w:val="56"/>
        </w:rPr>
      </w:pPr>
      <w:r>
        <w:rPr>
          <w:rFonts w:hint="eastAsia" w:ascii="方正小标宋简体" w:hAnsi="方正小标宋简体" w:eastAsia="方正小标宋简体" w:cs="方正小标宋简体"/>
          <w:b/>
          <w:bCs/>
          <w:sz w:val="44"/>
          <w:szCs w:val="56"/>
        </w:rPr>
        <w:t>承诺函</w:t>
      </w:r>
    </w:p>
    <w:p w14:paraId="3CCCE84D">
      <w:pPr>
        <w:keepNext w:val="0"/>
        <w:keepLines w:val="0"/>
        <w:pageBreakBefore w:val="0"/>
        <w:widowControl w:val="0"/>
        <w:kinsoku/>
        <w:wordWrap/>
        <w:overflowPunct/>
        <w:topLinePunct w:val="0"/>
        <w:autoSpaceDE/>
        <w:autoSpaceDN/>
        <w:bidi w:val="0"/>
        <w:adjustRightInd/>
        <w:spacing w:line="560" w:lineRule="exact"/>
        <w:ind w:firstLine="480" w:firstLineChars="200"/>
        <w:jc w:val="both"/>
        <w:textAlignment w:val="auto"/>
        <w:rPr>
          <w:rFonts w:ascii="仿宋_GB2312" w:hAnsi="宋体" w:eastAsia="仿宋_GB2312"/>
          <w:sz w:val="24"/>
          <w:szCs w:val="21"/>
        </w:rPr>
      </w:pPr>
    </w:p>
    <w:p w14:paraId="1BF8B52E">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我方在此声明，我方具备并满足下列各项条款的规定。本声明如有虚假或不实之处，我方将失去本项目合格资格。</w:t>
      </w:r>
    </w:p>
    <w:p w14:paraId="2F4B6C12">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 xml:space="preserve">（1）具有独立承担民事责任的能力； </w:t>
      </w:r>
    </w:p>
    <w:p w14:paraId="7B7DB784">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（2）具有良好的商业信誉和健全的财务会计制度，无处于财产被接管、冻结、破产状态；</w:t>
      </w:r>
    </w:p>
    <w:p w14:paraId="20F64003">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 xml:space="preserve">（3）具有履行合同所必需的设备和专业技术能力； </w:t>
      </w:r>
    </w:p>
    <w:p w14:paraId="22026CB6">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 xml:space="preserve">（4）有依法缴纳税收和社会保障资金的良好记录； </w:t>
      </w:r>
    </w:p>
    <w:p w14:paraId="52114FBE">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 xml:space="preserve">（5）经营状况良好，参加此项活动前三年内，在经营活动中没有重大违法违规记录； </w:t>
      </w:r>
    </w:p>
    <w:p w14:paraId="7D2D0CC1">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（6）法律、</w:t>
      </w:r>
      <w:r>
        <w:rPr>
          <w:rFonts w:eastAsia="仿宋_GB2312"/>
          <w:sz w:val="24"/>
          <w:szCs w:val="24"/>
        </w:rPr>
        <w:fldChar w:fldCharType="begin"/>
      </w:r>
      <w:r>
        <w:rPr>
          <w:rFonts w:eastAsia="仿宋_GB2312"/>
          <w:sz w:val="24"/>
          <w:szCs w:val="24"/>
        </w:rPr>
        <w:instrText xml:space="preserve"> HYPERLINK "http://www.lawtime.cn/info/sifakaoshi/xingzhengfa/" \t "_blank" </w:instrText>
      </w:r>
      <w:r>
        <w:rPr>
          <w:rFonts w:eastAsia="仿宋_GB2312"/>
          <w:sz w:val="24"/>
          <w:szCs w:val="24"/>
        </w:rPr>
        <w:fldChar w:fldCharType="separate"/>
      </w:r>
      <w:r>
        <w:rPr>
          <w:rFonts w:hint="eastAsia" w:eastAsia="仿宋_GB2312"/>
          <w:sz w:val="24"/>
          <w:szCs w:val="24"/>
        </w:rPr>
        <w:t>行政法</w:t>
      </w:r>
      <w:r>
        <w:rPr>
          <w:rFonts w:hint="eastAsia" w:eastAsia="仿宋_GB2312"/>
          <w:sz w:val="24"/>
          <w:szCs w:val="24"/>
        </w:rPr>
        <w:fldChar w:fldCharType="end"/>
      </w:r>
      <w:r>
        <w:rPr>
          <w:rFonts w:hint="eastAsia" w:eastAsia="仿宋_GB2312"/>
          <w:sz w:val="24"/>
          <w:szCs w:val="24"/>
        </w:rPr>
        <w:t>规规定的其他条件，诚实、守信、无欺诈行为；</w:t>
      </w:r>
    </w:p>
    <w:p w14:paraId="444F350F">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（7）乙方保证向甲方提供的产品不侵害任何第三方的知识产权，否则，由乙方赔偿甲方因此遭受的经济损失（包括但不限于赔偿金、违约金、律师费、调查取证费、差旅费等）。</w:t>
      </w:r>
    </w:p>
    <w:p w14:paraId="2DB35E7C">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（8）能开具增值税专用发票。</w:t>
      </w:r>
    </w:p>
    <w:p w14:paraId="74E75A66">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就我方全部所知，兹证明上述声明是真实、正确的，并已提供了全部现有资料和数据，我方同意可根据贵方要求出示文件予以证实。</w:t>
      </w:r>
    </w:p>
    <w:p w14:paraId="315D91D9">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hint="eastAsia" w:eastAsia="仿宋_GB2312"/>
          <w:sz w:val="24"/>
          <w:szCs w:val="24"/>
        </w:rPr>
      </w:pPr>
      <w:r>
        <w:rPr>
          <w:rFonts w:hint="eastAsia" w:eastAsia="仿宋_GB2312"/>
          <w:sz w:val="24"/>
          <w:szCs w:val="24"/>
        </w:rPr>
        <w:t>联系人签字（加盖公章）：</w:t>
      </w:r>
    </w:p>
    <w:p w14:paraId="635D52D0">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hint="eastAsia" w:eastAsia="仿宋_GB2312"/>
          <w:sz w:val="24"/>
          <w:szCs w:val="24"/>
        </w:rPr>
      </w:pPr>
    </w:p>
    <w:p w14:paraId="37794C70">
      <w:pPr>
        <w:pStyle w:val="2"/>
        <w:keepNext w:val="0"/>
        <w:keepLines w:val="0"/>
        <w:pageBreakBefore w:val="0"/>
        <w:widowControl w:val="0"/>
        <w:kinsoku/>
        <w:wordWrap/>
        <w:overflowPunct/>
        <w:topLinePunct w:val="0"/>
        <w:autoSpaceDE/>
        <w:autoSpaceDN/>
        <w:bidi w:val="0"/>
        <w:adjustRightInd/>
        <w:snapToGrid w:val="0"/>
        <w:spacing w:after="0" w:line="560" w:lineRule="exact"/>
        <w:ind w:left="0" w:leftChars="0" w:firstLine="480" w:firstLineChars="200"/>
        <w:jc w:val="both"/>
        <w:textAlignment w:val="auto"/>
        <w:rPr>
          <w:rFonts w:eastAsia="仿宋_GB2312"/>
          <w:sz w:val="24"/>
          <w:szCs w:val="24"/>
        </w:rPr>
      </w:pPr>
      <w:r>
        <w:rPr>
          <w:rFonts w:hint="eastAsia" w:eastAsia="仿宋_GB2312"/>
          <w:sz w:val="24"/>
          <w:szCs w:val="24"/>
        </w:rPr>
        <w:t xml:space="preserve">                                 日  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E62055B"/>
    <w:rsid w:val="410203AD"/>
    <w:rsid w:val="6E3F1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4"/>
      <w:szCs w:val="24"/>
      <w:lang w:val="en-US" w:eastAsia="zh-CN" w:bidi="ar-SA"/>
    </w:rPr>
  </w:style>
  <w:style w:type="paragraph" w:styleId="4">
    <w:name w:val="heading 1"/>
    <w:basedOn w:val="1"/>
    <w:next w:val="1"/>
    <w:qFormat/>
    <w:uiPriority w:val="9"/>
    <w:pPr>
      <w:keepNext/>
      <w:keepLines/>
      <w:spacing w:before="340" w:beforeAutospacing="0" w:after="330" w:afterAutospacing="0" w:line="576" w:lineRule="auto"/>
      <w:outlineLvl w:val="0"/>
    </w:pPr>
    <w:rPr>
      <w:b/>
      <w:kern w:val="44"/>
      <w:sz w:val="44"/>
    </w:rPr>
  </w:style>
  <w:style w:type="paragraph" w:styleId="5">
    <w:name w:val="heading 2"/>
    <w:basedOn w:val="1"/>
    <w:next w:val="1"/>
    <w:qFormat/>
    <w:uiPriority w:val="9"/>
    <w:pPr>
      <w:keepNext/>
      <w:keepLines/>
      <w:spacing w:before="260" w:beforeAutospacing="0" w:after="260" w:afterAutospacing="0" w:line="413" w:lineRule="auto"/>
      <w:outlineLvl w:val="1"/>
    </w:pPr>
    <w:rPr>
      <w:rFonts w:ascii="Arial" w:hAnsi="Arial" w:eastAsia="黑体"/>
      <w:b/>
      <w:sz w:val="32"/>
    </w:rPr>
  </w:style>
  <w:style w:type="character" w:default="1" w:styleId="13">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0"/>
    <w:pPr>
      <w:tabs>
        <w:tab w:val="left" w:pos="0"/>
        <w:tab w:val="left" w:pos="3855"/>
      </w:tabs>
      <w:ind w:firstLine="420" w:firstLineChars="200"/>
    </w:pPr>
  </w:style>
  <w:style w:type="paragraph" w:styleId="3">
    <w:name w:val="Body Text Indent"/>
    <w:basedOn w:val="1"/>
    <w:qFormat/>
    <w:uiPriority w:val="0"/>
    <w:pPr>
      <w:snapToGrid w:val="0"/>
      <w:spacing w:after="156" w:afterLines="50" w:line="400" w:lineRule="exact"/>
      <w:ind w:left="483" w:leftChars="229" w:hanging="2" w:hangingChars="1"/>
    </w:pPr>
    <w:rPr>
      <w:color w:val="000000"/>
      <w:szCs w:val="18"/>
    </w:rPr>
  </w:style>
  <w:style w:type="paragraph" w:styleId="6">
    <w:name w:val="annotation text"/>
    <w:basedOn w:val="1"/>
    <w:link w:val="19"/>
    <w:qFormat/>
    <w:uiPriority w:val="99"/>
    <w:pPr>
      <w:jc w:val="left"/>
    </w:pPr>
  </w:style>
  <w:style w:type="paragraph" w:styleId="7">
    <w:name w:val="Balloon Text"/>
    <w:basedOn w:val="1"/>
    <w:link w:val="18"/>
    <w:qFormat/>
    <w:uiPriority w:val="99"/>
    <w:rPr>
      <w:sz w:val="18"/>
      <w:szCs w:val="18"/>
    </w:rPr>
  </w:style>
  <w:style w:type="paragraph" w:styleId="8">
    <w:name w:val="footer"/>
    <w:basedOn w:val="1"/>
    <w:link w:val="17"/>
    <w:qFormat/>
    <w:uiPriority w:val="99"/>
    <w:pPr>
      <w:tabs>
        <w:tab w:val="center" w:pos="4153"/>
        <w:tab w:val="right" w:pos="8306"/>
      </w:tabs>
      <w:snapToGrid w:val="0"/>
      <w:jc w:val="left"/>
    </w:pPr>
    <w:rPr>
      <w:rFonts w:ascii="Calibri" w:hAnsi="Calibri" w:eastAsia="宋体" w:cs="宋体"/>
      <w:sz w:val="18"/>
      <w:szCs w:val="18"/>
    </w:rPr>
  </w:style>
  <w:style w:type="paragraph" w:styleId="9">
    <w:name w:val="header"/>
    <w:basedOn w:val="1"/>
    <w:link w:val="16"/>
    <w:qFormat/>
    <w:uiPriority w:val="99"/>
    <w:pPr>
      <w:pBdr>
        <w:bottom w:val="single" w:color="auto" w:sz="6" w:space="1"/>
      </w:pBdr>
      <w:tabs>
        <w:tab w:val="center" w:pos="4153"/>
        <w:tab w:val="right" w:pos="8306"/>
      </w:tabs>
      <w:snapToGrid w:val="0"/>
      <w:jc w:val="center"/>
    </w:pPr>
    <w:rPr>
      <w:rFonts w:ascii="Calibri" w:hAnsi="Calibri" w:eastAsia="宋体" w:cs="宋体"/>
      <w:sz w:val="18"/>
      <w:szCs w:val="18"/>
    </w:rPr>
  </w:style>
  <w:style w:type="paragraph" w:styleId="10">
    <w:name w:val="Normal (Web)"/>
    <w:basedOn w:val="1"/>
    <w:qFormat/>
    <w:uiPriority w:val="99"/>
    <w:rPr>
      <w:sz w:val="24"/>
    </w:rPr>
  </w:style>
  <w:style w:type="paragraph" w:styleId="11">
    <w:name w:val="annotation subject"/>
    <w:basedOn w:val="6"/>
    <w:next w:val="6"/>
    <w:link w:val="20"/>
    <w:qFormat/>
    <w:uiPriority w:val="99"/>
    <w:rPr>
      <w:b/>
      <w:bCs/>
    </w:rPr>
  </w:style>
  <w:style w:type="character" w:styleId="14">
    <w:name w:val="Strong"/>
    <w:basedOn w:val="13"/>
    <w:qFormat/>
    <w:uiPriority w:val="22"/>
    <w:rPr>
      <w:b/>
    </w:rPr>
  </w:style>
  <w:style w:type="character" w:styleId="15">
    <w:name w:val="annotation reference"/>
    <w:basedOn w:val="13"/>
    <w:qFormat/>
    <w:uiPriority w:val="99"/>
    <w:rPr>
      <w:sz w:val="21"/>
      <w:szCs w:val="21"/>
    </w:rPr>
  </w:style>
  <w:style w:type="character" w:customStyle="1" w:styleId="16">
    <w:name w:val="页眉 Char"/>
    <w:basedOn w:val="13"/>
    <w:link w:val="9"/>
    <w:qFormat/>
    <w:uiPriority w:val="99"/>
    <w:rPr>
      <w:sz w:val="18"/>
      <w:szCs w:val="18"/>
    </w:rPr>
  </w:style>
  <w:style w:type="character" w:customStyle="1" w:styleId="17">
    <w:name w:val="页脚 Char"/>
    <w:basedOn w:val="13"/>
    <w:link w:val="8"/>
    <w:qFormat/>
    <w:uiPriority w:val="99"/>
    <w:rPr>
      <w:sz w:val="18"/>
      <w:szCs w:val="18"/>
    </w:rPr>
  </w:style>
  <w:style w:type="character" w:customStyle="1" w:styleId="18">
    <w:name w:val="批注框文本 Char"/>
    <w:basedOn w:val="13"/>
    <w:link w:val="7"/>
    <w:qFormat/>
    <w:uiPriority w:val="99"/>
    <w:rPr>
      <w:rFonts w:ascii="Calibri" w:hAnsi="Calibri" w:eastAsia="宋体" w:cs="Times New Roman"/>
      <w:kern w:val="2"/>
      <w:sz w:val="18"/>
      <w:szCs w:val="18"/>
    </w:rPr>
  </w:style>
  <w:style w:type="character" w:customStyle="1" w:styleId="19">
    <w:name w:val="批注文字 Char"/>
    <w:basedOn w:val="13"/>
    <w:link w:val="6"/>
    <w:qFormat/>
    <w:uiPriority w:val="99"/>
    <w:rPr>
      <w:rFonts w:ascii="Calibri" w:hAnsi="Calibri" w:eastAsia="宋体" w:cs="Times New Roman"/>
      <w:kern w:val="2"/>
      <w:sz w:val="24"/>
      <w:szCs w:val="24"/>
    </w:rPr>
  </w:style>
  <w:style w:type="character" w:customStyle="1" w:styleId="20">
    <w:name w:val="批注主题 Char"/>
    <w:basedOn w:val="19"/>
    <w:link w:val="11"/>
    <w:qFormat/>
    <w:uiPriority w:val="99"/>
    <w:rPr>
      <w:rFonts w:ascii="Calibri" w:hAnsi="Calibri" w:eastAsia="宋体" w:cs="Times New Roman"/>
      <w:b/>
      <w:bCs/>
      <w:kern w:val="2"/>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2241</Words>
  <Characters>2354</Characters>
  <Paragraphs>108</Paragraphs>
  <TotalTime>2</TotalTime>
  <ScaleCrop>false</ScaleCrop>
  <LinksUpToDate>false</LinksUpToDate>
  <CharactersWithSpaces>2425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2021-07-29T17:48:00Z</dcterms:created>
  <dc:creator>用户</dc:creator>
  <cp:lastModifiedBy>何昆香</cp:lastModifiedBy>
  <dcterms:modified xsi:type="dcterms:W3CDTF">2026-01-23T03:44:27Z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6DC070FB0AD14F1D80AAF47DAD8D4CE7</vt:lpwstr>
  </property>
  <property fmtid="{D5CDD505-2E9C-101B-9397-08002B2CF9AE}" pid="4" name="KSOTemplateDocerSaveRecord">
    <vt:lpwstr>eyJoZGlkIjoiNzJlZDRjMGI5YzUyODA3MmJhZTMxNmZkNWJkOTA4ODkiLCJ1c2VySWQiOiI4MzAwOTMyMTgifQ==</vt:lpwstr>
  </property>
</Properties>
</file>