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478A6">
      <w:pPr>
        <w:widowControl/>
        <w:spacing w:line="560" w:lineRule="exact"/>
        <w:jc w:val="left"/>
        <w:rPr>
          <w:rFonts w:ascii="彩虹小标宋" w:hAnsi="Times New Roman" w:eastAsia="彩虹小标宋" w:cs="彩虹粗仿宋"/>
          <w:kern w:val="0"/>
          <w:sz w:val="28"/>
          <w:szCs w:val="28"/>
          <w:highlight w:val="none"/>
        </w:rPr>
      </w:pPr>
      <w:r>
        <w:rPr>
          <w:rFonts w:hint="eastAsia" w:ascii="彩虹小标宋" w:hAnsi="Times New Roman" w:eastAsia="彩虹小标宋" w:cs="彩虹粗仿宋"/>
          <w:kern w:val="0"/>
          <w:sz w:val="28"/>
          <w:szCs w:val="28"/>
          <w:highlight w:val="none"/>
        </w:rPr>
        <w:t>附件1：</w:t>
      </w:r>
    </w:p>
    <w:p w14:paraId="2A7ECF1A">
      <w:pPr>
        <w:widowControl/>
        <w:spacing w:line="560" w:lineRule="exact"/>
        <w:jc w:val="left"/>
        <w:rPr>
          <w:rFonts w:ascii="彩虹小标宋" w:hAnsi="Times New Roman" w:eastAsia="彩虹小标宋" w:cs="彩虹粗仿宋"/>
          <w:kern w:val="0"/>
          <w:sz w:val="28"/>
          <w:szCs w:val="28"/>
          <w:highlight w:val="none"/>
        </w:rPr>
      </w:pPr>
    </w:p>
    <w:p w14:paraId="4B6B4EDE">
      <w:pPr>
        <w:pStyle w:val="2"/>
        <w:bidi w:val="0"/>
        <w:jc w:val="center"/>
        <w:rPr>
          <w:rFonts w:ascii="彩虹小标宋" w:hAnsi="宋体" w:eastAsia="彩虹小标宋"/>
          <w:bCs/>
          <w:snapToGrid w:val="0"/>
          <w:kern w:val="0"/>
          <w:szCs w:val="44"/>
          <w:highlight w:val="none"/>
        </w:rPr>
      </w:pPr>
      <w:r>
        <w:rPr>
          <w:rFonts w:hint="eastAsia"/>
          <w:highlight w:val="none"/>
        </w:rPr>
        <w:t>中国建设银行</w:t>
      </w:r>
      <w:r>
        <w:rPr>
          <w:rFonts w:hint="eastAsia"/>
          <w:highlight w:val="none"/>
          <w:lang w:val="en-US" w:eastAsia="zh-CN"/>
        </w:rPr>
        <w:t>参加西青区旺季招商宣传服务活动</w:t>
      </w:r>
      <w:r>
        <w:rPr>
          <w:rFonts w:hint="eastAsia"/>
          <w:highlight w:val="none"/>
        </w:rPr>
        <w:t>采购项目采购需求</w:t>
      </w:r>
    </w:p>
    <w:p w14:paraId="704807CC">
      <w:pPr>
        <w:adjustRightInd w:val="0"/>
        <w:snapToGrid w:val="0"/>
        <w:spacing w:line="560" w:lineRule="exact"/>
        <w:rPr>
          <w:rFonts w:ascii="彩虹粗仿宋" w:hAnsi="宋体" w:eastAsia="彩虹粗仿宋"/>
          <w:snapToGrid w:val="0"/>
          <w:kern w:val="0"/>
          <w:sz w:val="32"/>
          <w:szCs w:val="32"/>
          <w:highlight w:val="none"/>
        </w:rPr>
      </w:pPr>
    </w:p>
    <w:p w14:paraId="129D5B40">
      <w:pPr>
        <w:pStyle w:val="12"/>
        <w:adjustRightInd w:val="0"/>
        <w:snapToGrid w:val="0"/>
        <w:spacing w:line="560" w:lineRule="exact"/>
        <w:ind w:firstLine="643"/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一、服务供应商概况</w:t>
      </w:r>
    </w:p>
    <w:p w14:paraId="174C706F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1.</w:t>
      </w:r>
      <w:r>
        <w:rPr>
          <w:rFonts w:hint="eastAsia" w:ascii="彩虹粗仿宋" w:hAnsi="彩虹粗仿宋" w:eastAsia="彩虹粗仿宋" w:cs="彩虹粗仿宋"/>
          <w:highlight w:val="none"/>
        </w:rPr>
        <w:t xml:space="preserve"> 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在国内依法注册的独立法人实体，注册成立时间不少于3 年。</w:t>
      </w:r>
    </w:p>
    <w:p w14:paraId="05081E84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2.</w:t>
      </w:r>
      <w:r>
        <w:rPr>
          <w:rFonts w:hint="eastAsia" w:ascii="彩虹粗仿宋" w:hAnsi="彩虹粗仿宋" w:eastAsia="彩虹粗仿宋" w:cs="彩虹粗仿宋"/>
          <w:highlight w:val="none"/>
        </w:rPr>
        <w:t xml:space="preserve"> 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供应商有明确的章程，财务稳健，能提供近三年财务报表，入选供应商经营范围须包含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 w:eastAsia="zh-CN"/>
        </w:rPr>
        <w:t>会议服务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。</w:t>
      </w:r>
    </w:p>
    <w:p w14:paraId="6DC11A33">
      <w:pPr>
        <w:ind w:firstLine="640"/>
        <w:jc w:val="both"/>
        <w:rPr>
          <w:rFonts w:hint="eastAsia" w:ascii="彩虹粗仿宋" w:hAnsi="彩虹粗仿宋" w:eastAsia="彩虹粗仿宋" w:cs="彩虹粗仿宋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3.供应商须取得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  <w:lang w:val="en-US" w:eastAsia="zh-CN"/>
        </w:rPr>
        <w:t>天津市永泰恒基投资有限公司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的书面服务资格认可。</w:t>
      </w:r>
    </w:p>
    <w:p w14:paraId="3E0F892F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二、服务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val="en-US" w:eastAsia="zh-CN"/>
        </w:rPr>
        <w:t>主要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内容</w:t>
      </w:r>
      <w:r>
        <w:rPr>
          <w:rFonts w:hint="eastAsia" w:ascii="彩虹粗仿宋" w:hAnsi="彩虹粗仿宋" w:eastAsia="彩虹粗仿宋" w:cs="彩虹粗仿宋"/>
          <w:b/>
          <w:sz w:val="32"/>
          <w:szCs w:val="32"/>
          <w:highlight w:val="none"/>
        </w:rPr>
        <w:t xml:space="preserve"> </w:t>
      </w:r>
    </w:p>
    <w:p w14:paraId="41A31B91">
      <w:pPr>
        <w:pStyle w:val="6"/>
        <w:spacing w:line="560" w:lineRule="exact"/>
        <w:ind w:firstLine="640"/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 w:eastAsia="zh-CN"/>
        </w:rPr>
      </w:pPr>
      <w:r>
        <w:rPr>
          <w:rFonts w:hint="eastAsia" w:ascii="彩虹粗仿宋" w:hAnsi="彩虹粗仿宋" w:eastAsia="彩虹粗仿宋" w:cs="彩虹粗仿宋"/>
          <w:snapToGrid w:val="0"/>
          <w:kern w:val="2"/>
          <w:sz w:val="32"/>
          <w:szCs w:val="32"/>
          <w:highlight w:val="none"/>
          <w:lang w:val="en-US"/>
        </w:rPr>
        <w:t>（一）</w:t>
      </w:r>
      <w:r>
        <w:rPr>
          <w:rFonts w:hint="eastAsia" w:ascii="彩虹粗仿宋" w:hAnsi="彩虹粗仿宋" w:eastAsia="彩虹粗仿宋" w:cs="彩虹粗仿宋"/>
          <w:snapToGrid w:val="0"/>
          <w:kern w:val="2"/>
          <w:sz w:val="32"/>
          <w:szCs w:val="32"/>
          <w:highlight w:val="none"/>
          <w:lang w:val="en-US" w:eastAsia="zh-CN"/>
        </w:rPr>
        <w:t>供应商在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取得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  <w:lang w:val="en-US" w:eastAsia="zh-CN"/>
        </w:rPr>
        <w:t>天津市永泰恒基投资有限公司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的书面服务资格认可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 w:eastAsia="zh-CN"/>
        </w:rPr>
        <w:t>后，负责运营管理本次</w:t>
      </w: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highlight w:val="none"/>
          <w:lang w:val="en-US" w:eastAsia="zh-CN" w:bidi="ar-SA"/>
        </w:rPr>
        <w:t>西青区旺季招商宣传服务活动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 w:eastAsia="zh-CN"/>
        </w:rPr>
        <w:t>，包括但不限于活动策划、组织 。</w:t>
      </w:r>
    </w:p>
    <w:p w14:paraId="21AD9710">
      <w:pPr>
        <w:pStyle w:val="6"/>
        <w:spacing w:line="560" w:lineRule="exact"/>
        <w:ind w:firstLine="640"/>
        <w:rPr>
          <w:rFonts w:hint="default" w:ascii="彩虹粗仿宋" w:hAnsi="彩虹粗仿宋" w:eastAsia="彩虹粗仿宋" w:cs="彩虹粗仿宋"/>
          <w:sz w:val="32"/>
          <w:szCs w:val="32"/>
          <w:highlight w:val="none"/>
          <w:lang w:val="en-US"/>
        </w:rPr>
      </w:pPr>
      <w:r>
        <w:rPr>
          <w:rFonts w:hint="eastAsia" w:ascii="彩虹粗仿宋" w:hAnsi="彩虹粗仿宋" w:eastAsia="彩虹粗仿宋" w:cs="彩虹粗仿宋"/>
          <w:snapToGrid w:val="0"/>
          <w:kern w:val="2"/>
          <w:sz w:val="32"/>
          <w:szCs w:val="32"/>
          <w:highlight w:val="none"/>
          <w:lang w:val="en-US"/>
        </w:rPr>
        <w:t>（二）</w:t>
      </w:r>
      <w:r>
        <w:rPr>
          <w:rFonts w:hint="eastAsia" w:ascii="彩虹粗仿宋" w:hAnsi="彩虹粗仿宋" w:eastAsia="彩虹粗仿宋" w:cs="彩虹粗仿宋"/>
          <w:snapToGrid w:val="0"/>
          <w:kern w:val="2"/>
          <w:sz w:val="32"/>
          <w:szCs w:val="32"/>
          <w:highlight w:val="none"/>
          <w:lang w:val="en-US" w:eastAsia="zh-CN"/>
        </w:rPr>
        <w:t>活动期间，协助我行对区域内企业进行银企对接及各类金融产品宣传。</w:t>
      </w:r>
    </w:p>
    <w:p w14:paraId="5077A69A">
      <w:pPr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  <w:t>、</w:t>
      </w:r>
      <w:r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  <w:lang w:val="en-US"/>
        </w:rPr>
        <w:t>运营</w:t>
      </w:r>
      <w:r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  <w:t>服务商数量要求及同类项目要求</w:t>
      </w:r>
    </w:p>
    <w:p w14:paraId="27ED9999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1.拟入选一家通过资格性审查和符合性审查的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运营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服务商。</w:t>
      </w:r>
    </w:p>
    <w:p w14:paraId="0F4A47C3">
      <w:pPr>
        <w:snapToGrid w:val="0"/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 w:val="0"/>
          <w:bCs/>
          <w:snapToGrid w:val="0"/>
          <w:sz w:val="32"/>
          <w:szCs w:val="32"/>
          <w:highlight w:val="none"/>
        </w:rPr>
        <w:t>2.同类项目要求</w:t>
      </w:r>
    </w:p>
    <w:p w14:paraId="30F59141">
      <w:pPr>
        <w:snapToGrid w:val="0"/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粗仿宋" w:hAnsi="彩虹粗仿宋" w:eastAsia="彩虹粗仿宋" w:cs="彩虹粗仿宋"/>
          <w:kern w:val="0"/>
          <w:sz w:val="32"/>
          <w:szCs w:val="32"/>
          <w:highlight w:val="none"/>
        </w:rPr>
        <w:t>近两年至少有1次以上</w:t>
      </w:r>
      <w:r>
        <w:rPr>
          <w:rFonts w:hint="eastAsia" w:ascii="彩虹粗仿宋" w:hAnsi="彩虹粗仿宋" w:eastAsia="彩虹粗仿宋" w:cs="彩虹粗仿宋"/>
          <w:kern w:val="0"/>
          <w:sz w:val="32"/>
          <w:szCs w:val="32"/>
          <w:highlight w:val="none"/>
          <w:lang w:val="en-US" w:eastAsia="zh-CN"/>
        </w:rPr>
        <w:t>会议</w:t>
      </w:r>
      <w:r>
        <w:rPr>
          <w:rFonts w:hint="eastAsia" w:ascii="彩虹粗仿宋" w:hAnsi="彩虹粗仿宋" w:eastAsia="彩虹粗仿宋" w:cs="彩虹粗仿宋"/>
          <w:kern w:val="0"/>
          <w:sz w:val="32"/>
          <w:szCs w:val="32"/>
          <w:highlight w:val="none"/>
        </w:rPr>
        <w:t>活动组织及服务经验</w:t>
      </w:r>
      <w:r>
        <w:rPr>
          <w:rFonts w:hint="eastAsia" w:ascii="彩虹粗仿宋" w:hAnsi="彩虹粗仿宋" w:eastAsia="彩虹粗仿宋" w:cs="彩虹粗仿宋"/>
          <w:kern w:val="0"/>
          <w:sz w:val="32"/>
          <w:szCs w:val="32"/>
          <w:highlight w:val="none"/>
          <w:lang w:eastAsia="zh-CN"/>
        </w:rPr>
        <w:t>。</w:t>
      </w:r>
    </w:p>
    <w:p w14:paraId="46F1F134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、服务团队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val="en-US" w:eastAsia="zh-CN"/>
        </w:rPr>
        <w:t>要求</w:t>
      </w:r>
    </w:p>
    <w:p w14:paraId="6CE8B25A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运营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服务商应具备较强的人员招聘和团队建设能力，各团队人员数量结构及相关要求如下：</w:t>
      </w:r>
    </w:p>
    <w:p w14:paraId="1DC2390F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  <w:t>（一）人员数量配置要求</w:t>
      </w:r>
    </w:p>
    <w:p w14:paraId="7F603562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供应商需按照我行业务需求和规定，为本项目配备足够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运营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服务人员。</w:t>
      </w:r>
    </w:p>
    <w:p w14:paraId="7C99BF66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sz w:val="32"/>
          <w:szCs w:val="32"/>
          <w:highlight w:val="none"/>
        </w:rPr>
        <w:t>（二）项目经理资质要求</w:t>
      </w:r>
    </w:p>
    <w:p w14:paraId="72EF1A87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b w:val="0"/>
          <w:bCs w:val="0"/>
          <w:snapToGrid w:val="0"/>
          <w:kern w:val="0"/>
          <w:sz w:val="32"/>
          <w:szCs w:val="32"/>
          <w:highlight w:val="none"/>
          <w:lang w:val="en-US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供应商应根据项目要求配置项目经理一名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，运营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>服务人员须保质保量完成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运营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</w:rPr>
        <w:t xml:space="preserve">服务工作。禁止以建设银行名义进行用工管理或开展生产经营活动。 </w:t>
      </w:r>
    </w:p>
    <w:p w14:paraId="2E8308C6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、报价要求</w:t>
      </w:r>
    </w:p>
    <w:p w14:paraId="59FA60DD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highlight w:val="none"/>
          <w:lang w:val="en-US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highlight w:val="none"/>
          <w:lang w:val="en-US"/>
        </w:rPr>
        <w:t>服务期</w:t>
      </w: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highlight w:val="none"/>
          <w:lang w:val="en-US" w:eastAsia="zh-CN"/>
        </w:rPr>
        <w:t>一次性</w:t>
      </w: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highlight w:val="none"/>
          <w:lang w:val="en-US"/>
        </w:rPr>
        <w:t>申报总价。</w:t>
      </w:r>
    </w:p>
    <w:p w14:paraId="04A27D43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、款项支付要求</w:t>
      </w:r>
    </w:p>
    <w:p w14:paraId="08BC4C29">
      <w:pPr>
        <w:spacing w:line="560" w:lineRule="exact"/>
        <w:ind w:firstLine="640" w:firstLineChars="200"/>
        <w:jc w:val="left"/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 w:eastAsia="zh-CN"/>
        </w:rPr>
        <w:t>我行</w:t>
      </w:r>
      <w:bookmarkStart w:id="0" w:name="_GoBack"/>
      <w:bookmarkEnd w:id="0"/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 w:eastAsia="zh-CN"/>
        </w:rPr>
        <w:t>根据服务情况支付活动相关费用，供应商应</w:t>
      </w: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于收到我行支付的运营服务费前，向我行开具符合要求的发票。</w:t>
      </w:r>
    </w:p>
    <w:p w14:paraId="60308684">
      <w:pPr>
        <w:adjustRightInd w:val="0"/>
        <w:snapToGrid w:val="0"/>
        <w:spacing w:line="560" w:lineRule="exact"/>
        <w:ind w:firstLine="640" w:firstLineChars="200"/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彩虹粗仿宋" w:hAnsi="彩虹粗仿宋" w:eastAsia="彩虹粗仿宋" w:cs="彩虹粗仿宋"/>
          <w:b/>
          <w:snapToGrid w:val="0"/>
          <w:kern w:val="0"/>
          <w:sz w:val="32"/>
          <w:szCs w:val="32"/>
          <w:highlight w:val="none"/>
        </w:rPr>
        <w:t>、其他要求</w:t>
      </w:r>
    </w:p>
    <w:p w14:paraId="78676952">
      <w:pPr>
        <w:spacing w:line="560" w:lineRule="exact"/>
        <w:ind w:firstLine="640" w:firstLineChars="200"/>
        <w:jc w:val="left"/>
        <w:rPr>
          <w:rFonts w:ascii="彩虹粗仿宋" w:hAnsi="宋体" w:eastAsia="彩虹粗仿宋"/>
          <w:snapToGrid w:val="0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napToGrid w:val="0"/>
          <w:sz w:val="32"/>
          <w:szCs w:val="32"/>
          <w:highlight w:val="none"/>
          <w:lang w:val="en-US"/>
        </w:rPr>
        <w:t>入选供应商应在建行开立结算账户，以便后期结算付款（特殊情况以合同约定为准）；须在龙集采平台下载并激活数字证书，以便签署电子合同。</w:t>
      </w:r>
    </w:p>
    <w:p w14:paraId="5CFB3A6E">
      <w:pPr>
        <w:spacing w:line="360" w:lineRule="auto"/>
        <w:ind w:firstLine="640" w:firstLineChars="200"/>
        <w:rPr>
          <w:rFonts w:ascii="彩虹粗仿宋" w:eastAsia="彩虹粗仿宋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81980"/>
    <w:rsid w:val="0CDE09DA"/>
    <w:rsid w:val="0CFE770C"/>
    <w:rsid w:val="155C586D"/>
    <w:rsid w:val="1A0E59B0"/>
    <w:rsid w:val="2BAA5CC3"/>
    <w:rsid w:val="2E44BEEF"/>
    <w:rsid w:val="32427763"/>
    <w:rsid w:val="35D93891"/>
    <w:rsid w:val="36F60E31"/>
    <w:rsid w:val="3C4B488F"/>
    <w:rsid w:val="3D83546E"/>
    <w:rsid w:val="3E0760E4"/>
    <w:rsid w:val="4A2D19BE"/>
    <w:rsid w:val="4A352CCC"/>
    <w:rsid w:val="59056604"/>
    <w:rsid w:val="5E51499E"/>
    <w:rsid w:val="62B543BF"/>
    <w:rsid w:val="68C1536C"/>
    <w:rsid w:val="6E0B1EE6"/>
    <w:rsid w:val="ABFD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&quot;Table caption|1&quot;"/>
    <w:basedOn w:val="1"/>
    <w:qFormat/>
    <w:uiPriority w:val="0"/>
    <w:pPr>
      <w:widowControl w:val="0"/>
      <w:spacing w:after="0"/>
    </w:pPr>
    <w:rPr>
      <w:rFonts w:ascii="宋体" w:hAnsi="宋体" w:eastAsia="宋体" w:cs="宋体"/>
      <w:color w:val="000000"/>
      <w:sz w:val="19"/>
      <w:szCs w:val="19"/>
      <w:lang w:val="zh-TW" w:eastAsia="zh-TW" w:bidi="zh-TW"/>
    </w:rPr>
  </w:style>
  <w:style w:type="paragraph" w:customStyle="1" w:styleId="14">
    <w:name w:val="&quot;Other|1&quot;"/>
    <w:basedOn w:val="1"/>
    <w:qFormat/>
    <w:uiPriority w:val="0"/>
    <w:pPr>
      <w:widowControl w:val="0"/>
      <w:spacing w:after="0" w:line="374" w:lineRule="auto"/>
      <w:ind w:firstLine="400"/>
    </w:pPr>
    <w:rPr>
      <w:rFonts w:ascii="宋体" w:hAnsi="宋体" w:eastAsia="宋体" w:cs="宋体"/>
      <w:color w:val="000000"/>
      <w:sz w:val="19"/>
      <w:szCs w:val="19"/>
      <w:lang w:val="zh-TW" w:eastAsia="zh-TW" w:bidi="zh-TW"/>
    </w:rPr>
  </w:style>
  <w:style w:type="paragraph" w:customStyle="1" w:styleId="15">
    <w:name w:val="&quot;Body text|1&quot;"/>
    <w:basedOn w:val="1"/>
    <w:qFormat/>
    <w:uiPriority w:val="0"/>
    <w:pPr>
      <w:widowControl w:val="0"/>
      <w:spacing w:after="0" w:line="374" w:lineRule="auto"/>
      <w:ind w:firstLine="400"/>
    </w:pPr>
    <w:rPr>
      <w:rFonts w:ascii="宋体" w:hAnsi="宋体" w:eastAsia="宋体" w:cs="宋体"/>
      <w:color w:val="000000"/>
      <w:sz w:val="19"/>
      <w:szCs w:val="19"/>
      <w:lang w:val="zh-TW" w:eastAsia="zh-TW" w:bidi="zh-TW"/>
    </w:rPr>
  </w:style>
  <w:style w:type="paragraph" w:customStyle="1" w:styleId="16">
    <w:name w:val="&quot;Heading #1|1&quot;"/>
    <w:basedOn w:val="1"/>
    <w:qFormat/>
    <w:uiPriority w:val="0"/>
    <w:pPr>
      <w:widowControl w:val="0"/>
      <w:spacing w:after="0"/>
      <w:jc w:val="center"/>
      <w:outlineLvl w:val="0"/>
    </w:pPr>
    <w:rPr>
      <w:rFonts w:ascii="宋体" w:hAnsi="宋体" w:eastAsia="宋体" w:cs="宋体"/>
      <w:color w:val="000000"/>
      <w:sz w:val="26"/>
      <w:szCs w:val="26"/>
      <w:lang w:val="zh-TW" w:eastAsia="zh-TW" w:bidi="zh-TW"/>
    </w:rPr>
  </w:style>
  <w:style w:type="character" w:customStyle="1" w:styleId="17">
    <w:name w:val="info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2</Pages>
  <Words>665</Words>
  <Characters>670</Characters>
  <Paragraphs>61</Paragraphs>
  <TotalTime>8</TotalTime>
  <ScaleCrop>false</ScaleCrop>
  <LinksUpToDate>false</LinksUpToDate>
  <CharactersWithSpaces>675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2025-03-24T18:40:00Z</dcterms:created>
  <dc:creator>ccb</dc:creator>
  <cp:lastModifiedBy>阿营</cp:lastModifiedBy>
  <dcterms:modified xsi:type="dcterms:W3CDTF">2025-12-03T10:29:16Z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577C3F9D65ED48E4B8D038D995374C9D_13</vt:lpwstr>
  </property>
  <property fmtid="{D5CDD505-2E9C-101B-9397-08002B2CF9AE}" pid="4" name="KSOTemplateDocerSaveRecord">
    <vt:lpwstr>eyJoZGlkIjoiZDFjNWFmMDVlZDQ0MTJlMGUxMTU0MGM1N2RiNzM5NzMiLCJ1c2VySWQiOiIyNDkxMTM0OTkifQ==</vt:lpwstr>
  </property>
</Properties>
</file>