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宋体" w:hAnsi="宋体" w:eastAsia="宋体" w:cs="宋体"/>
          <w:bCs/>
          <w:snapToGrid w:val="0"/>
          <w:kern w:val="0"/>
          <w:sz w:val="44"/>
          <w:szCs w:val="44"/>
        </w:rPr>
      </w:pPr>
      <w:r>
        <w:rPr>
          <w:rFonts w:hint="eastAsia" w:ascii="宋体" w:hAnsi="宋体" w:eastAsia="宋体" w:cs="宋体"/>
          <w:bCs/>
          <w:snapToGrid w:val="0"/>
          <w:kern w:val="0"/>
          <w:sz w:val="44"/>
          <w:szCs w:val="44"/>
        </w:rPr>
        <w:t>开封分行兰考县支行110联网报警服务采购需求</w:t>
      </w:r>
    </w:p>
    <w:p>
      <w:pPr>
        <w:adjustRightInd w:val="0"/>
        <w:snapToGrid w:val="0"/>
        <w:spacing w:line="560" w:lineRule="exact"/>
        <w:ind w:firstLine="723" w:firstLineChars="200"/>
        <w:rPr>
          <w:rFonts w:ascii="彩虹小标宋" w:hAnsi="宋体" w:eastAsia="彩虹小标宋" w:cs="Times New Roman"/>
          <w:b/>
          <w:bCs/>
          <w:snapToGrid w:val="0"/>
          <w:kern w:val="0"/>
          <w:sz w:val="36"/>
          <w:szCs w:val="36"/>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（一）具有独立法人资格，有效的营业执照。</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（二）正常经营，财务状况良好，提供近三年（</w:t>
      </w:r>
      <w:r>
        <w:rPr>
          <w:rStyle w:val="5"/>
          <w:rFonts w:hint="eastAsia" w:ascii="彩虹粗仿宋" w:hAnsi="微软雅黑" w:eastAsia="彩虹粗仿宋"/>
          <w:color w:val="auto"/>
          <w:sz w:val="32"/>
          <w:szCs w:val="32"/>
          <w:lang w:val="en-US" w:eastAsia="zh-CN"/>
        </w:rPr>
        <w:t>2020-2022</w:t>
      </w:r>
      <w:bookmarkStart w:id="0" w:name="_GoBack"/>
      <w:bookmarkEnd w:id="0"/>
      <w:r>
        <w:rPr>
          <w:rStyle w:val="5"/>
          <w:rFonts w:ascii="彩虹粗仿宋" w:hAnsi="微软雅黑" w:eastAsia="彩虹粗仿宋"/>
          <w:color w:val="auto"/>
          <w:sz w:val="32"/>
          <w:szCs w:val="32"/>
        </w:rPr>
        <w:t>）的经审计的财务报告或财务报表（新成立企业从成立日计算）</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（三）具有固定的办公场所、健全的组织管理机构。</w:t>
      </w:r>
    </w:p>
    <w:p>
      <w:pPr>
        <w:adjustRightInd w:val="0"/>
        <w:snapToGrid w:val="0"/>
        <w:spacing w:line="560" w:lineRule="exact"/>
        <w:ind w:firstLine="42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（四）202</w:t>
      </w:r>
      <w:r>
        <w:rPr>
          <w:rStyle w:val="5"/>
          <w:rFonts w:hint="eastAsia" w:ascii="彩虹粗仿宋" w:hAnsi="微软雅黑" w:eastAsia="彩虹粗仿宋"/>
          <w:color w:val="auto"/>
          <w:sz w:val="32"/>
          <w:szCs w:val="32"/>
          <w:lang w:val="en-US" w:eastAsia="zh-CN"/>
        </w:rPr>
        <w:t>1</w:t>
      </w:r>
      <w:r>
        <w:rPr>
          <w:rStyle w:val="5"/>
          <w:rFonts w:hint="eastAsia" w:ascii="彩虹粗仿宋" w:hAnsi="微软雅黑" w:eastAsia="彩虹粗仿宋"/>
          <w:color w:val="auto"/>
          <w:sz w:val="32"/>
          <w:szCs w:val="32"/>
        </w:rPr>
        <w:t>年1月1日以来具有</w:t>
      </w:r>
      <w:r>
        <w:rPr>
          <w:rStyle w:val="5"/>
          <w:rFonts w:ascii="彩虹粗仿宋" w:hAnsi="微软雅黑" w:eastAsia="彩虹粗仿宋"/>
          <w:color w:val="auto"/>
          <w:sz w:val="32"/>
          <w:szCs w:val="32"/>
        </w:rPr>
        <w:t>110报警同类项目经验（提供合同）。</w:t>
      </w:r>
    </w:p>
    <w:p>
      <w:pPr>
        <w:adjustRightInd w:val="0"/>
        <w:snapToGrid w:val="0"/>
        <w:spacing w:line="560" w:lineRule="exact"/>
        <w:ind w:firstLine="42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五）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监控报警专线服务</w:t>
            </w:r>
          </w:p>
        </w:tc>
      </w:tr>
    </w:tbl>
    <w:p>
      <w:pPr>
        <w:adjustRightInd w:val="0"/>
        <w:snapToGrid w:val="0"/>
        <w:spacing w:line="560" w:lineRule="exact"/>
        <w:ind w:firstLine="473" w:firstLineChars="148"/>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兰考县支行营业网点、离行式自助银行（自助设备）、等12个重点部位联网报警设施、设备及相关配件的安装、更换、调试、维修、巡检及迁移，对联网报警设备进行报警测试、监控、警情处置等服务项目，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（一）供应商安排1名团队负责人做日常对接，且具有110联网报警服务经验2年以上；</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（五）团队人员具备一定的专业技能，能正确处理服务中出现的各种情况并进行有效处置。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供应商不得以我行名义进行用工管理或开展生产经营活动，服务人员应与供应商公司依法订立劳动合同，防范服务类业务用工风险。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（2）每季度至少开展一次供应商公司服务检查，并形成检查报告，召开联席会对检查中发现的问题进行通报，限期整改和落实，每年度结束后形成年度评估报告。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（3）建立健全安全责任制，完善沟通协作机制。根据110报警联网维护服务不同工作性质，明确人员岗位职责，规范流程，不断提升服务人员的业务素质和技能，为我行提供更加安全的110报警服务。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2、服务人员须签订保密协议，不得利用工作之便窃取、收买或者非法提供他人申请信息资料进行各种非法活动。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公司及公司服务人员原因导致我行及客户信息泄漏的，我行将追究相关法律责任。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应严守我行的商业秘密、技术秘密和其他商业及业务信息，不得泄露。</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（五）</w:t>
      </w:r>
      <w:r>
        <w:rPr>
          <w:rFonts w:hint="eastAsia" w:ascii="彩虹粗仿宋" w:hAnsi="彩虹粗仿宋" w:eastAsia="彩虹粗仿宋" w:cs="彩虹粗仿宋"/>
          <w:sz w:val="32"/>
          <w:szCs w:val="32"/>
        </w:rPr>
        <w:t>消保条款要求</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6.争端的解决</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w:t>
      </w:r>
      <w:r>
        <w:rPr>
          <w:rFonts w:hint="eastAsia" w:ascii="彩虹粗仿宋" w:hAnsi="彩虹粗仿宋" w:eastAsia="彩虹粗仿宋" w:cs="彩虹粗仿宋"/>
          <w:sz w:val="32"/>
          <w:szCs w:val="32"/>
        </w:rPr>
        <w:t>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473" w:firstLineChars="148"/>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tbl>
      <w:tblPr>
        <w:tblStyle w:val="2"/>
        <w:tblW w:w="4998" w:type="pct"/>
        <w:tblInd w:w="0" w:type="dxa"/>
        <w:tblLayout w:type="autofit"/>
        <w:tblCellMar>
          <w:top w:w="0" w:type="dxa"/>
          <w:left w:w="108" w:type="dxa"/>
          <w:bottom w:w="0" w:type="dxa"/>
          <w:right w:w="108" w:type="dxa"/>
        </w:tblCellMar>
      </w:tblPr>
      <w:tblGrid>
        <w:gridCol w:w="584"/>
        <w:gridCol w:w="1135"/>
        <w:gridCol w:w="2729"/>
        <w:gridCol w:w="1280"/>
        <w:gridCol w:w="2791"/>
      </w:tblGrid>
      <w:tr>
        <w:tblPrEx>
          <w:tblCellMar>
            <w:top w:w="0" w:type="dxa"/>
            <w:left w:w="108" w:type="dxa"/>
            <w:bottom w:w="0" w:type="dxa"/>
            <w:right w:w="108" w:type="dxa"/>
          </w:tblCellMar>
        </w:tblPrEx>
        <w:trPr>
          <w:trHeight w:val="540" w:hRule="atLeast"/>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二级行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2"/>
              </w:rPr>
            </w:pPr>
            <w:r>
              <w:rPr>
                <w:rFonts w:hint="eastAsia" w:ascii="宋体" w:hAnsi="宋体" w:eastAsia="宋体" w:cs="宋体"/>
                <w:b/>
                <w:bCs/>
                <w:kern w:val="0"/>
                <w:sz w:val="22"/>
                <w:lang w:bidi="ar"/>
              </w:rPr>
              <w:t>备注</w:t>
            </w:r>
          </w:p>
        </w:tc>
      </w:tr>
      <w:tr>
        <w:tblPrEx>
          <w:tblCellMar>
            <w:top w:w="0" w:type="dxa"/>
            <w:left w:w="108" w:type="dxa"/>
            <w:bottom w:w="0" w:type="dxa"/>
            <w:right w:w="108" w:type="dxa"/>
          </w:tblCellMar>
        </w:tblPrEx>
        <w:trPr>
          <w:trHeight w:val="1500" w:hRule="atLeast"/>
        </w:trPr>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rPr>
            </w:pPr>
            <w:r>
              <w:rPr>
                <w:rFonts w:hint="eastAsia" w:ascii="宋体" w:hAnsi="宋体" w:eastAsia="宋体" w:cs="宋体"/>
                <w:kern w:val="0"/>
                <w:sz w:val="22"/>
                <w:lang w:bidi="ar"/>
              </w:rPr>
              <w:t>1</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开封分行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对兰考县支行辖区网点、自助等报警服务点进行撤布防的监控</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2"/>
              </w:rPr>
            </w:pPr>
            <w:r>
              <w:rPr>
                <w:rFonts w:hint="eastAsia" w:ascii="宋体" w:hAnsi="宋体" w:eastAsia="宋体" w:cs="宋体"/>
                <w:sz w:val="22"/>
              </w:rPr>
              <w:t>12</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2"/>
              </w:rPr>
            </w:pPr>
            <w:r>
              <w:rPr>
                <w:rFonts w:hint="eastAsia" w:ascii="宋体" w:hAnsi="宋体" w:eastAsia="宋体" w:cs="宋体"/>
                <w:kern w:val="0"/>
                <w:sz w:val="22"/>
                <w:lang w:bidi="ar"/>
              </w:rPr>
              <w:t>兰考县支行营业网点8个、离行式自助银行4个</w:t>
            </w:r>
          </w:p>
        </w:tc>
      </w:tr>
    </w:tbl>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按照每点每月报含税单价和总价，超过预算为无效报价。</w:t>
      </w:r>
    </w:p>
    <w:tbl>
      <w:tblPr>
        <w:tblStyle w:val="2"/>
        <w:tblW w:w="8379" w:type="dxa"/>
        <w:tblInd w:w="93" w:type="dxa"/>
        <w:tblLayout w:type="autofit"/>
        <w:tblCellMar>
          <w:top w:w="0" w:type="dxa"/>
          <w:left w:w="108" w:type="dxa"/>
          <w:bottom w:w="0" w:type="dxa"/>
          <w:right w:w="108" w:type="dxa"/>
        </w:tblCellMar>
      </w:tblPr>
      <w:tblGrid>
        <w:gridCol w:w="2000"/>
        <w:gridCol w:w="3118"/>
        <w:gridCol w:w="1418"/>
        <w:gridCol w:w="1843"/>
      </w:tblGrid>
      <w:tr>
        <w:tblPrEx>
          <w:tblCellMar>
            <w:top w:w="0" w:type="dxa"/>
            <w:left w:w="108" w:type="dxa"/>
            <w:bottom w:w="0" w:type="dxa"/>
            <w:right w:w="108" w:type="dxa"/>
          </w:tblCellMar>
        </w:tblPrEx>
        <w:trPr>
          <w:trHeight w:val="652" w:hRule="atLeast"/>
        </w:trPr>
        <w:tc>
          <w:tcPr>
            <w:tcW w:w="2000" w:type="dxa"/>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b/>
                <w:bCs/>
                <w:kern w:val="0"/>
                <w:sz w:val="22"/>
              </w:rPr>
            </w:pPr>
            <w:r>
              <w:rPr>
                <w:rFonts w:hint="eastAsia" w:ascii="宋体" w:hAnsi="宋体" w:cs="宋体"/>
                <w:b/>
                <w:bCs/>
                <w:kern w:val="0"/>
                <w:sz w:val="22"/>
              </w:rPr>
              <w:t>序号</w:t>
            </w:r>
          </w:p>
        </w:tc>
        <w:tc>
          <w:tcPr>
            <w:tcW w:w="31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b/>
                <w:bCs/>
                <w:kern w:val="0"/>
                <w:sz w:val="22"/>
              </w:rPr>
              <w:t>单位</w:t>
            </w:r>
          </w:p>
        </w:tc>
        <w:tc>
          <w:tcPr>
            <w:tcW w:w="1418"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sz w:val="22"/>
              </w:rPr>
              <w:t>点位</w:t>
            </w:r>
            <w:r>
              <w:rPr>
                <w:rFonts w:hint="eastAsia" w:ascii="彩虹小标宋" w:hAnsi="宋体" w:eastAsia="彩虹小标宋" w:cs="宋体"/>
                <w:kern w:val="0"/>
                <w:sz w:val="22"/>
              </w:rPr>
              <w:t>数量</w:t>
            </w:r>
          </w:p>
        </w:tc>
        <w:tc>
          <w:tcPr>
            <w:tcW w:w="1843" w:type="dxa"/>
            <w:tcBorders>
              <w:top w:val="single" w:color="auto" w:sz="4" w:space="0"/>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彩虹小标宋" w:hAnsi="宋体" w:eastAsia="彩虹小标宋" w:cs="宋体"/>
                <w:kern w:val="0"/>
                <w:sz w:val="22"/>
              </w:rPr>
              <w:t>限价（元/</w:t>
            </w:r>
            <w:r>
              <w:rPr>
                <w:rFonts w:hint="eastAsia" w:ascii="彩虹小标宋" w:hAnsi="宋体" w:eastAsia="彩虹小标宋" w:cs="宋体"/>
                <w:sz w:val="22"/>
              </w:rPr>
              <w:t>点</w:t>
            </w:r>
            <w:r>
              <w:rPr>
                <w:rFonts w:hint="eastAsia" w:ascii="彩虹小标宋" w:hAnsi="宋体" w:eastAsia="彩虹小标宋" w:cs="宋体"/>
                <w:kern w:val="0"/>
                <w:sz w:val="22"/>
              </w:rPr>
              <w:t>/月）</w:t>
            </w:r>
          </w:p>
        </w:tc>
      </w:tr>
      <w:tr>
        <w:tblPrEx>
          <w:tblCellMar>
            <w:top w:w="0" w:type="dxa"/>
            <w:left w:w="108" w:type="dxa"/>
            <w:bottom w:w="0" w:type="dxa"/>
            <w:right w:w="108" w:type="dxa"/>
          </w:tblCellMar>
        </w:tblPrEx>
        <w:trPr>
          <w:trHeight w:val="70" w:hRule="atLeast"/>
        </w:trPr>
        <w:tc>
          <w:tcPr>
            <w:tcW w:w="2000" w:type="dxa"/>
            <w:tcBorders>
              <w:top w:val="nil"/>
              <w:left w:val="single" w:color="auto" w:sz="4" w:space="0"/>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cs="宋体"/>
                <w:kern w:val="0"/>
                <w:sz w:val="22"/>
              </w:rPr>
              <w:t>1</w:t>
            </w:r>
          </w:p>
        </w:tc>
        <w:tc>
          <w:tcPr>
            <w:tcW w:w="3118" w:type="dxa"/>
            <w:tcBorders>
              <w:top w:val="nil"/>
              <w:left w:val="nil"/>
              <w:bottom w:val="single" w:color="auto" w:sz="4" w:space="0"/>
              <w:right w:val="single" w:color="auto" w:sz="4" w:space="0"/>
            </w:tcBorders>
            <w:noWrap w:val="0"/>
            <w:vAlign w:val="center"/>
          </w:tcPr>
          <w:p>
            <w:pPr>
              <w:widowControl/>
              <w:rPr>
                <w:rFonts w:ascii="宋体" w:hAnsi="宋体" w:cs="宋体"/>
                <w:kern w:val="0"/>
                <w:sz w:val="22"/>
              </w:rPr>
            </w:pPr>
            <w:r>
              <w:rPr>
                <w:rFonts w:hint="eastAsia" w:ascii="宋体" w:hAnsi="宋体" w:eastAsia="宋体" w:cs="宋体"/>
                <w:kern w:val="0"/>
                <w:sz w:val="22"/>
                <w:lang w:bidi="ar"/>
              </w:rPr>
              <w:t>开封分行</w:t>
            </w:r>
            <w:r>
              <w:rPr>
                <w:rFonts w:hint="eastAsia" w:ascii="宋体" w:hAnsi="宋体" w:eastAsia="宋体" w:cs="宋体"/>
                <w:kern w:val="0"/>
                <w:sz w:val="22"/>
                <w:lang w:eastAsia="zh-CN" w:bidi="ar"/>
              </w:rPr>
              <w:t>兰考支行</w:t>
            </w:r>
            <w:r>
              <w:rPr>
                <w:rFonts w:hint="eastAsia" w:ascii="宋体" w:hAnsi="宋体" w:cs="宋体"/>
                <w:kern w:val="0"/>
                <w:sz w:val="22"/>
              </w:rPr>
              <w:t>110联网报警</w:t>
            </w:r>
          </w:p>
        </w:tc>
        <w:tc>
          <w:tcPr>
            <w:tcW w:w="1418" w:type="dxa"/>
            <w:tcBorders>
              <w:top w:val="nil"/>
              <w:left w:val="nil"/>
              <w:bottom w:val="single" w:color="auto" w:sz="4" w:space="0"/>
              <w:right w:val="single" w:color="auto" w:sz="4" w:space="0"/>
            </w:tcBorders>
            <w:noWrap w:val="0"/>
            <w:vAlign w:val="center"/>
          </w:tcPr>
          <w:p>
            <w:pPr>
              <w:widowControl/>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12</w:t>
            </w:r>
          </w:p>
        </w:tc>
        <w:tc>
          <w:tcPr>
            <w:tcW w:w="1843" w:type="dxa"/>
            <w:tcBorders>
              <w:top w:val="nil"/>
              <w:left w:val="nil"/>
              <w:bottom w:val="single" w:color="auto" w:sz="4" w:space="0"/>
              <w:right w:val="single" w:color="auto" w:sz="4" w:space="0"/>
            </w:tcBorders>
            <w:noWrap w:val="0"/>
            <w:vAlign w:val="center"/>
          </w:tcPr>
          <w:p>
            <w:pPr>
              <w:widowControl/>
              <w:rPr>
                <w:rFonts w:hint="default" w:ascii="宋体" w:hAnsi="宋体" w:eastAsia="宋体" w:cs="宋体"/>
                <w:kern w:val="0"/>
                <w:sz w:val="22"/>
                <w:lang w:val="en-US" w:eastAsia="zh-CN"/>
              </w:rPr>
            </w:pPr>
            <w:r>
              <w:rPr>
                <w:rFonts w:hint="eastAsia" w:ascii="宋体" w:hAnsi="宋体" w:cs="宋体"/>
                <w:kern w:val="0"/>
                <w:sz w:val="22"/>
                <w:lang w:val="en-US" w:eastAsia="zh-CN"/>
              </w:rPr>
              <w:t>250</w:t>
            </w:r>
          </w:p>
        </w:tc>
      </w:tr>
    </w:tbl>
    <w:p>
      <w:pPr>
        <w:adjustRightInd w:val="0"/>
        <w:snapToGrid w:val="0"/>
        <w:spacing w:line="560" w:lineRule="exact"/>
        <w:ind w:firstLine="633" w:firstLineChars="198"/>
        <w:rPr>
          <w:rFonts w:hint="eastAsia" w:ascii="彩虹粗仿宋" w:hAnsi="宋体" w:eastAsia="彩虹粗仿宋" w:cs="Times New Roman"/>
          <w:snapToGrid w:val="0"/>
          <w:kern w:val="0"/>
          <w:sz w:val="32"/>
          <w:szCs w:val="32"/>
        </w:rPr>
      </w:pPr>
    </w:p>
    <w:p>
      <w:pPr>
        <w:adjustRightInd w:val="0"/>
        <w:snapToGrid w:val="0"/>
        <w:spacing w:line="560" w:lineRule="exact"/>
        <w:ind w:firstLine="640" w:firstLineChars="20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pPr>
        <w:adjustRightInd w:val="0"/>
        <w:snapToGrid w:val="0"/>
        <w:spacing w:line="360" w:lineRule="auto"/>
        <w:ind w:firstLine="640" w:firstLineChars="200"/>
        <w:jc w:val="left"/>
      </w:pPr>
      <w:r>
        <w:rPr>
          <w:rFonts w:hint="eastAsia" w:ascii="彩虹粗仿宋" w:hAnsi="宋体" w:eastAsia="彩虹粗仿宋"/>
          <w:snapToGrid w:val="0"/>
          <w:sz w:val="32"/>
          <w:szCs w:val="32"/>
        </w:rPr>
        <w:t>无。</w:t>
      </w:r>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D51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
    <w:name w:val="im-content1"/>
    <w:basedOn w:val="4"/>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2024-05-23T02:20:18Z</dcterms:created>
  <dc:creator>haccb</dc:creator>
  <cp:lastModifiedBy>haccb</cp:lastModifiedBy>
  <dcterms:modified xsi:type="dcterms:W3CDTF">2024-05-23T02:20:41Z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1FC6085FC8A44DE0A8A0F58AAB3D5007_12</vt:lpwstr>
  </property>
</Properties>
</file>