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sz w:val="44"/>
          <w:szCs w:val="44"/>
        </w:rPr>
      </w:pPr>
      <w:r>
        <w:rPr>
          <w:rFonts w:hint="eastAsia" w:ascii="彩虹小标宋" w:eastAsia="彩虹小标宋"/>
          <w:sz w:val="44"/>
          <w:szCs w:val="44"/>
        </w:rPr>
        <w:t>采购需求</w:t>
      </w:r>
    </w:p>
    <w:p>
      <w:pPr>
        <w:pStyle w:val="9"/>
        <w:numPr>
          <w:ilvl w:val="0"/>
          <w:numId w:val="1"/>
        </w:numPr>
        <w:ind w:firstLineChars="0"/>
        <w:rPr>
          <w:rFonts w:ascii="彩虹黑体" w:eastAsia="彩虹黑体" w:hAnsiTheme="minorEastAsia"/>
          <w:sz w:val="28"/>
          <w:szCs w:val="28"/>
        </w:rPr>
      </w:pPr>
      <w:r>
        <w:rPr>
          <w:rFonts w:hint="eastAsia" w:ascii="彩虹黑体" w:eastAsia="彩虹黑体" w:hAnsiTheme="minorEastAsia"/>
          <w:sz w:val="32"/>
          <w:szCs w:val="32"/>
        </w:rPr>
        <w:t>服务项目：</w:t>
      </w:r>
      <w:r>
        <w:rPr>
          <w:rFonts w:hint="eastAsia" w:asciiTheme="minorEastAsia" w:hAnsiTheme="minorEastAsia"/>
          <w:sz w:val="28"/>
          <w:szCs w:val="28"/>
        </w:rPr>
        <w:t>佛山市分行房改金融业务</w:t>
      </w:r>
      <w:r>
        <w:rPr>
          <w:rFonts w:hint="eastAsia" w:asciiTheme="minorEastAsia" w:hAnsiTheme="minorEastAsia"/>
          <w:sz w:val="28"/>
          <w:szCs w:val="28"/>
          <w:lang w:eastAsia="zh-CN"/>
        </w:rPr>
        <w:t>（物维</w:t>
      </w:r>
      <w:bookmarkStart w:id="0" w:name="_GoBack"/>
      <w:bookmarkEnd w:id="0"/>
      <w:r>
        <w:rPr>
          <w:rFonts w:hint="eastAsia" w:asciiTheme="minorEastAsia" w:hAnsiTheme="minorEastAsia"/>
          <w:sz w:val="28"/>
          <w:szCs w:val="28"/>
          <w:lang w:eastAsia="zh-CN"/>
        </w:rPr>
        <w:t>）</w:t>
      </w:r>
      <w:r>
        <w:rPr>
          <w:rFonts w:hint="eastAsia" w:asciiTheme="minorEastAsia" w:hAnsiTheme="minorEastAsia"/>
          <w:sz w:val="28"/>
          <w:szCs w:val="28"/>
        </w:rPr>
        <w:t>外包服务项目</w:t>
      </w:r>
    </w:p>
    <w:p>
      <w:pPr>
        <w:pStyle w:val="9"/>
        <w:numPr>
          <w:ilvl w:val="0"/>
          <w:numId w:val="1"/>
        </w:numPr>
        <w:ind w:firstLineChars="0"/>
        <w:rPr>
          <w:rFonts w:ascii="彩虹黑体" w:eastAsia="彩虹黑体" w:hAnsiTheme="minorEastAsia"/>
          <w:sz w:val="28"/>
          <w:szCs w:val="28"/>
        </w:rPr>
      </w:pPr>
      <w:r>
        <w:rPr>
          <w:rFonts w:hint="eastAsia" w:ascii="彩虹黑体" w:hAnsi="宋体" w:eastAsia="彩虹黑体" w:cs="Times New Roman"/>
          <w:bCs/>
          <w:sz w:val="32"/>
          <w:szCs w:val="32"/>
        </w:rPr>
        <w:t>服务内容：</w:t>
      </w:r>
    </w:p>
    <w:p>
      <w:pPr>
        <w:adjustRightInd w:val="0"/>
        <w:snapToGrid w:val="0"/>
        <w:spacing w:line="360" w:lineRule="auto"/>
        <w:ind w:firstLine="560" w:firstLineChars="200"/>
        <w:rPr>
          <w:rFonts w:hint="eastAsia" w:asciiTheme="minorEastAsia" w:hAnsiTheme="minorEastAsia"/>
          <w:sz w:val="28"/>
          <w:szCs w:val="28"/>
        </w:rPr>
      </w:pPr>
      <w:r>
        <w:rPr>
          <w:rFonts w:hint="eastAsia" w:asciiTheme="minorEastAsia" w:hAnsiTheme="minorEastAsia"/>
          <w:sz w:val="28"/>
          <w:szCs w:val="28"/>
        </w:rPr>
        <w:t>1、供应商应按采购方要求，在佛山市南海区住房城乡建设和水务局及佛山市禅城区住房城乡建设和水务局开展房改金融外包服务,</w:t>
      </w:r>
      <w:r>
        <w:rPr>
          <w:rFonts w:hint="eastAsia"/>
        </w:rPr>
        <w:t xml:space="preserve"> </w:t>
      </w:r>
      <w:r>
        <w:rPr>
          <w:rFonts w:hint="eastAsia" w:asciiTheme="minorEastAsia" w:hAnsiTheme="minorEastAsia"/>
          <w:sz w:val="28"/>
          <w:szCs w:val="28"/>
        </w:rPr>
        <w:t>包括</w:t>
      </w:r>
      <w:r>
        <w:rPr>
          <w:rFonts w:hint="eastAsia" w:asciiTheme="minorEastAsia" w:hAnsiTheme="minorEastAsia"/>
          <w:sz w:val="28"/>
          <w:szCs w:val="28"/>
          <w:lang w:eastAsia="zh-CN"/>
        </w:rPr>
        <w:t>住房资金存储、账户管理、专户管理、支取审批、支取划转</w:t>
      </w:r>
      <w:r>
        <w:rPr>
          <w:rFonts w:hint="eastAsia" w:asciiTheme="minorEastAsia" w:hAnsiTheme="minorEastAsia"/>
          <w:sz w:val="28"/>
          <w:szCs w:val="28"/>
        </w:rPr>
        <w:t>等具体工作。</w:t>
      </w:r>
    </w:p>
    <w:p>
      <w:pPr>
        <w:adjustRightInd w:val="0"/>
        <w:snapToGrid w:val="0"/>
        <w:spacing w:line="360" w:lineRule="auto"/>
        <w:ind w:firstLine="560" w:firstLineChars="200"/>
        <w:rPr>
          <w:rFonts w:asciiTheme="minorEastAsia" w:hAnsiTheme="minorEastAsia"/>
          <w:sz w:val="28"/>
          <w:szCs w:val="28"/>
        </w:rPr>
      </w:pPr>
      <w:r>
        <w:rPr>
          <w:rFonts w:asciiTheme="minorEastAsia" w:hAnsiTheme="minorEastAsia"/>
          <w:sz w:val="28"/>
          <w:szCs w:val="28"/>
        </w:rPr>
        <w:t>2、</w:t>
      </w:r>
      <w:r>
        <w:rPr>
          <w:rFonts w:hint="eastAsia" w:asciiTheme="minorEastAsia" w:hAnsiTheme="minorEastAsia"/>
          <w:sz w:val="28"/>
          <w:szCs w:val="28"/>
        </w:rPr>
        <w:t>供应商承诺做好合理报价（不含税价），且价格在合同期内不进行调整，如发现报价明显偏离正常</w:t>
      </w:r>
      <w:r>
        <w:rPr>
          <w:rFonts w:asciiTheme="minorEastAsia" w:hAnsiTheme="minorEastAsia"/>
          <w:sz w:val="28"/>
          <w:szCs w:val="28"/>
        </w:rPr>
        <w:t>价格</w:t>
      </w:r>
      <w:r>
        <w:rPr>
          <w:rFonts w:hint="eastAsia" w:asciiTheme="minorEastAsia" w:hAnsiTheme="minorEastAsia"/>
          <w:sz w:val="28"/>
          <w:szCs w:val="28"/>
        </w:rPr>
        <w:t>的视为恶意报价，将取消供应商资格。</w:t>
      </w:r>
    </w:p>
    <w:p>
      <w:pPr>
        <w:pStyle w:val="9"/>
        <w:numPr>
          <w:ilvl w:val="0"/>
          <w:numId w:val="1"/>
        </w:numPr>
        <w:ind w:firstLineChars="0"/>
        <w:rPr>
          <w:rFonts w:ascii="彩虹黑体" w:eastAsia="彩虹黑体"/>
          <w:sz w:val="32"/>
          <w:szCs w:val="32"/>
        </w:rPr>
      </w:pPr>
      <w:r>
        <w:rPr>
          <w:rFonts w:hint="eastAsia" w:ascii="彩虹黑体" w:eastAsia="彩虹黑体"/>
          <w:sz w:val="32"/>
          <w:szCs w:val="32"/>
        </w:rPr>
        <w:t>服务要求:</w:t>
      </w:r>
    </w:p>
    <w:p>
      <w:pPr>
        <w:adjustRightInd w:val="0"/>
        <w:snapToGrid w:val="0"/>
        <w:spacing w:line="360" w:lineRule="auto"/>
        <w:ind w:firstLine="560" w:firstLineChars="200"/>
        <w:rPr>
          <w:rFonts w:asciiTheme="minorEastAsia" w:hAnsiTheme="minorEastAsia"/>
          <w:sz w:val="28"/>
          <w:szCs w:val="28"/>
        </w:rPr>
      </w:pPr>
      <w:r>
        <w:rPr>
          <w:rFonts w:asciiTheme="minorEastAsia" w:hAnsiTheme="minorEastAsia"/>
          <w:sz w:val="28"/>
          <w:szCs w:val="28"/>
        </w:rPr>
        <w:t>1、</w:t>
      </w:r>
      <w:r>
        <w:rPr>
          <w:rFonts w:hint="eastAsia" w:asciiTheme="minorEastAsia" w:hAnsiTheme="minorEastAsia"/>
          <w:sz w:val="28"/>
          <w:szCs w:val="28"/>
        </w:rPr>
        <w:t>供应商应按照采购方约定的服务内容和服务时效提供合格的服务，外包服务人员应由采购方考核通过方可代表供应商提供外包服务，同时优先接收目前正从事上述岗位的人员。</w:t>
      </w:r>
    </w:p>
    <w:p>
      <w:pPr>
        <w:adjustRightInd w:val="0"/>
        <w:snapToGrid w:val="0"/>
        <w:spacing w:line="360" w:lineRule="auto"/>
        <w:ind w:firstLine="560" w:firstLineChars="200"/>
        <w:rPr>
          <w:rFonts w:asciiTheme="minorEastAsia" w:hAnsiTheme="minorEastAsia"/>
          <w:sz w:val="28"/>
          <w:szCs w:val="28"/>
        </w:rPr>
      </w:pPr>
      <w:r>
        <w:rPr>
          <w:rFonts w:asciiTheme="minorEastAsia" w:hAnsiTheme="minorEastAsia"/>
          <w:sz w:val="28"/>
          <w:szCs w:val="28"/>
        </w:rPr>
        <w:t>2、</w:t>
      </w:r>
      <w:r>
        <w:rPr>
          <w:rFonts w:hint="eastAsia" w:asciiTheme="minorEastAsia" w:hAnsiTheme="minorEastAsia"/>
          <w:sz w:val="28"/>
          <w:szCs w:val="28"/>
        </w:rPr>
        <w:t>供应商应接受采购方对其承包业务的工作指导和工作要求，在供应商经营情况发生变化(包括但不限于公司层面、人事制度、服务质量等方面发生可能影响正常合作的信息,突发性事件及解决情况)时应主动向采购方提供相关资料。</w:t>
      </w:r>
    </w:p>
    <w:p>
      <w:pPr>
        <w:adjustRightInd w:val="0"/>
        <w:snapToGrid w:val="0"/>
        <w:spacing w:line="360" w:lineRule="auto"/>
        <w:ind w:firstLine="560" w:firstLineChars="200"/>
        <w:rPr>
          <w:rFonts w:asciiTheme="minorEastAsia" w:hAnsiTheme="minorEastAsia"/>
          <w:sz w:val="28"/>
          <w:szCs w:val="28"/>
        </w:rPr>
      </w:pPr>
      <w:r>
        <w:rPr>
          <w:rFonts w:asciiTheme="minorEastAsia" w:hAnsiTheme="minorEastAsia"/>
          <w:sz w:val="28"/>
          <w:szCs w:val="28"/>
        </w:rPr>
        <w:t>3、</w:t>
      </w:r>
      <w:r>
        <w:rPr>
          <w:rFonts w:hint="eastAsia" w:asciiTheme="minorEastAsia" w:hAnsiTheme="minorEastAsia"/>
          <w:sz w:val="28"/>
          <w:szCs w:val="28"/>
        </w:rPr>
        <w:t>供应商及派驻外包服务人员必须遵守采购方的相关管理制度，包括：保密制度、纪律管理制度、安全管理制度、计算机设备管理等制度。无论在任何情况下发生意外与采购方无关，由供应商负全责并承担一切相关责任，派驻的各服务人员必须与采购方签订保密协议。</w:t>
      </w:r>
    </w:p>
    <w:p>
      <w:pPr>
        <w:adjustRightInd w:val="0"/>
        <w:snapToGrid w:val="0"/>
        <w:spacing w:line="360" w:lineRule="auto"/>
        <w:ind w:firstLine="640" w:firstLineChars="200"/>
        <w:rPr>
          <w:rFonts w:ascii="彩虹黑体" w:eastAsia="彩虹黑体"/>
          <w:snapToGrid w:val="0"/>
          <w:color w:val="000000" w:themeColor="text1"/>
          <w:kern w:val="0"/>
          <w:sz w:val="32"/>
          <w:szCs w:val="32"/>
          <w14:textFill>
            <w14:solidFill>
              <w14:schemeClr w14:val="tx1"/>
            </w14:solidFill>
          </w14:textFill>
        </w:rPr>
      </w:pPr>
      <w:r>
        <w:rPr>
          <w:rFonts w:hint="eastAsia" w:ascii="彩虹黑体" w:eastAsia="彩虹黑体"/>
          <w:snapToGrid w:val="0"/>
          <w:color w:val="000000" w:themeColor="text1"/>
          <w:kern w:val="0"/>
          <w:sz w:val="32"/>
          <w:szCs w:val="32"/>
          <w14:textFill>
            <w14:solidFill>
              <w14:schemeClr w14:val="tx1"/>
            </w14:solidFill>
          </w14:textFill>
        </w:rPr>
        <w:t>四、</w:t>
      </w:r>
      <w:r>
        <w:rPr>
          <w:rFonts w:hint="eastAsia" w:ascii="彩虹黑体" w:hAnsi="GulimChe" w:eastAsia="彩虹黑体"/>
          <w:snapToGrid w:val="0"/>
          <w:color w:val="000000" w:themeColor="text1"/>
          <w:kern w:val="0"/>
          <w:sz w:val="32"/>
          <w:szCs w:val="32"/>
          <w14:textFill>
            <w14:solidFill>
              <w14:schemeClr w14:val="tx1"/>
            </w14:solidFill>
          </w14:textFill>
        </w:rPr>
        <w:t>服务供应安排</w:t>
      </w:r>
    </w:p>
    <w:p>
      <w:pPr>
        <w:adjustRightInd w:val="0"/>
        <w:snapToGrid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1、外包公司提供服务工作人员的数量和质量应满足我行对工作质量和时效性的要求。服务期内外包公司有义务对所提供的服务人员数量、工作量标准及工作流程，按照我行业务处理的要求进行合理地调整，以达到服务的优化，同时外包公司应该储备一定比例的备用人员。</w:t>
      </w:r>
    </w:p>
    <w:p>
      <w:pPr>
        <w:adjustRightInd w:val="0"/>
        <w:snapToGrid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 xml:space="preserve">2、供应商需建立人员的试用期机制，1个月内外包人员工作质量标准应达到采购方要求，否则应及时更换人员。供应商需建立日常管理制度，包括对驻行人员的管理要求，落实人员的考勤登记。 </w:t>
      </w:r>
    </w:p>
    <w:p>
      <w:pPr>
        <w:adjustRightInd w:val="0"/>
        <w:snapToGrid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3、供应商必须保证按时足额为员工发放工资，并缴纳保险。 如因供应商发放工资或福利未达到承诺标准而导致员工流失并给采购方造成经济损失的，供应商要全额进行赔偿。为保证人员稳定性，供应商应遵照国家及地方法律法规合理支付用工员工的工资、各项社会保险等各项薪酬待遇。</w:t>
      </w:r>
    </w:p>
    <w:p>
      <w:pPr>
        <w:adjustRightInd w:val="0"/>
        <w:snapToGrid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4、外包公司需进行人员上岗操作前履岗能力培训。外包公司需建立请休假备案制度，严格日常管理。与外包人员签订劳动合同及保密协议。</w:t>
      </w:r>
    </w:p>
    <w:p>
      <w:pPr>
        <w:adjustRightInd w:val="0"/>
        <w:snapToGrid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5、外包服务供应商应建立员工联系制度，掌握员工身份信息、家庭住址、联系方式及家庭成员的联系方式等，建立包含上述信息的员工联系登记表，确保能及时联系相关外包人员。</w:t>
      </w:r>
    </w:p>
    <w:p>
      <w:pPr>
        <w:adjustRightInd w:val="0"/>
        <w:snapToGrid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6、在合作过程中，如遇采购方业务调整等重大事项需暂停本项目工作，供应商应予以配合。</w:t>
      </w:r>
    </w:p>
    <w:p>
      <w:pPr>
        <w:adjustRightInd w:val="0"/>
        <w:snapToGrid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7、外包人员离开外包服务供应商后，不得泄露其所知晓的秘密，如有违反，我行对外包公司保留要求其赔偿经济损失或对其起诉的权利。</w:t>
      </w:r>
    </w:p>
    <w:p>
      <w:pPr>
        <w:pStyle w:val="9"/>
        <w:numPr>
          <w:ilvl w:val="0"/>
          <w:numId w:val="2"/>
        </w:numPr>
        <w:adjustRightInd w:val="0"/>
        <w:snapToGrid w:val="0"/>
        <w:spacing w:line="360" w:lineRule="auto"/>
        <w:ind w:firstLineChars="0"/>
        <w:rPr>
          <w:rFonts w:ascii="彩虹黑体" w:hAnsi="GulimChe" w:eastAsia="彩虹黑体"/>
          <w:snapToGrid w:val="0"/>
          <w:color w:val="000000" w:themeColor="text1"/>
          <w:kern w:val="0"/>
          <w:sz w:val="32"/>
          <w:szCs w:val="32"/>
          <w14:textFill>
            <w14:solidFill>
              <w14:schemeClr w14:val="tx1"/>
            </w14:solidFill>
          </w14:textFill>
        </w:rPr>
      </w:pPr>
      <w:r>
        <w:rPr>
          <w:rFonts w:hint="eastAsia" w:ascii="彩虹黑体" w:hAnsi="GulimChe" w:eastAsia="彩虹黑体"/>
          <w:snapToGrid w:val="0"/>
          <w:color w:val="000000" w:themeColor="text1"/>
          <w:kern w:val="0"/>
          <w:sz w:val="32"/>
          <w:szCs w:val="32"/>
          <w14:textFill>
            <w14:solidFill>
              <w14:schemeClr w14:val="tx1"/>
            </w14:solidFill>
          </w14:textFill>
        </w:rPr>
        <w:t>款项支付要求</w:t>
      </w:r>
    </w:p>
    <w:p>
      <w:pPr>
        <w:adjustRightInd w:val="0"/>
        <w:snapToGrid w:val="0"/>
        <w:spacing w:line="360" w:lineRule="auto"/>
        <w:ind w:firstLine="560" w:firstLineChars="200"/>
        <w:rPr>
          <w:rFonts w:asciiTheme="minorEastAsia" w:hAnsiTheme="minorEastAsia"/>
          <w:sz w:val="28"/>
          <w:szCs w:val="28"/>
        </w:rPr>
      </w:pPr>
      <w:r>
        <w:rPr>
          <w:rFonts w:hint="eastAsia" w:asciiTheme="minorEastAsia" w:hAnsiTheme="minorEastAsia"/>
          <w:sz w:val="28"/>
          <w:szCs w:val="28"/>
        </w:rPr>
        <w:t>按月结算，以采购方实际下单结算。供应商必须提供合法有效的增值税发票，如发现有问题发票，采购方将不予付款。每月</w:t>
      </w:r>
      <w:r>
        <w:rPr>
          <w:rFonts w:asciiTheme="minorEastAsia" w:hAnsiTheme="minorEastAsia"/>
          <w:sz w:val="28"/>
          <w:szCs w:val="28"/>
        </w:rPr>
        <w:t>10</w:t>
      </w:r>
      <w:r>
        <w:rPr>
          <w:rFonts w:hint="eastAsia" w:asciiTheme="minorEastAsia" w:hAnsiTheme="minorEastAsia"/>
          <w:sz w:val="28"/>
          <w:szCs w:val="28"/>
        </w:rPr>
        <w:t>号前供应商必须将上月费用及清单自行核对完毕，</w:t>
      </w:r>
      <w:r>
        <w:rPr>
          <w:rFonts w:asciiTheme="minorEastAsia" w:hAnsiTheme="minorEastAsia"/>
          <w:sz w:val="28"/>
          <w:szCs w:val="28"/>
        </w:rPr>
        <w:t>15</w:t>
      </w:r>
      <w:r>
        <w:rPr>
          <w:rFonts w:hint="eastAsia" w:asciiTheme="minorEastAsia" w:hAnsiTheme="minorEastAsia"/>
          <w:sz w:val="28"/>
          <w:szCs w:val="28"/>
        </w:rPr>
        <w:t>号前必须将所有相关单据及增值税专用发票等交采购方审核，采购方审核无误后按实结算。</w:t>
      </w:r>
    </w:p>
    <w:p>
      <w:pPr>
        <w:adjustRightInd w:val="0"/>
        <w:snapToGrid w:val="0"/>
        <w:spacing w:line="360" w:lineRule="auto"/>
        <w:ind w:firstLine="640" w:firstLineChars="200"/>
        <w:rPr>
          <w:rFonts w:ascii="彩虹黑体" w:eastAsia="彩虹黑体" w:hAnsiTheme="minorEastAsia"/>
          <w:sz w:val="32"/>
          <w:szCs w:val="32"/>
        </w:rPr>
      </w:pPr>
      <w:r>
        <w:rPr>
          <w:rFonts w:hint="eastAsia" w:ascii="彩虹黑体" w:eastAsia="彩虹黑体" w:hAnsiTheme="minorEastAsia"/>
          <w:sz w:val="32"/>
          <w:szCs w:val="32"/>
        </w:rPr>
        <w:t>六、</w:t>
      </w:r>
      <w:r>
        <w:rPr>
          <w:rFonts w:hint="eastAsia" w:ascii="彩虹黑体" w:hAnsi="GulimChe" w:eastAsia="彩虹黑体"/>
          <w:snapToGrid w:val="0"/>
          <w:color w:val="000000" w:themeColor="text1"/>
          <w:kern w:val="0"/>
          <w:sz w:val="32"/>
          <w:szCs w:val="32"/>
          <w14:textFill>
            <w14:solidFill>
              <w14:schemeClr w14:val="tx1"/>
            </w14:solidFill>
          </w14:textFill>
        </w:rPr>
        <w:t>售后服务要求</w:t>
      </w:r>
    </w:p>
    <w:p>
      <w:pPr>
        <w:adjustRightInd w:val="0"/>
        <w:snapToGrid w:val="0"/>
        <w:spacing w:line="360" w:lineRule="auto"/>
        <w:ind w:firstLine="640" w:firstLineChars="200"/>
        <w:rPr>
          <w:rFonts w:asciiTheme="minorEastAsia" w:hAnsiTheme="minorEastAsia"/>
          <w:sz w:val="28"/>
          <w:szCs w:val="28"/>
        </w:rPr>
      </w:pPr>
      <w:r>
        <w:rPr>
          <w:rFonts w:hint="eastAsia" w:ascii="彩虹粗仿宋" w:hAnsi="宋体" w:eastAsia="彩虹粗仿宋"/>
          <w:snapToGrid w:val="0"/>
          <w:color w:val="000000" w:themeColor="text1"/>
          <w:kern w:val="0"/>
          <w:sz w:val="32"/>
          <w:szCs w:val="32"/>
          <w14:textFill>
            <w14:solidFill>
              <w14:schemeClr w14:val="tx1"/>
            </w14:solidFill>
          </w14:textFill>
        </w:rPr>
        <w:tab/>
      </w:r>
      <w:r>
        <w:rPr>
          <w:rFonts w:hint="eastAsia" w:asciiTheme="minorEastAsia" w:hAnsiTheme="minorEastAsia"/>
          <w:sz w:val="28"/>
          <w:szCs w:val="28"/>
        </w:rPr>
        <w:t>因供应商差错或过失，造成采购方和采购方客户损失，供应商承担由此引起的全部责任。业务差错范围如发生变化采购方以书面方式通知供应商，供应商需服从采购方的调整。</w:t>
      </w:r>
    </w:p>
    <w:p>
      <w:pPr>
        <w:adjustRightInd w:val="0"/>
        <w:snapToGrid w:val="0"/>
        <w:spacing w:line="360" w:lineRule="auto"/>
        <w:ind w:firstLine="640" w:firstLineChars="200"/>
        <w:rPr>
          <w:rFonts w:ascii="彩虹黑体" w:hAnsi="宋体" w:eastAsia="彩虹黑体"/>
          <w:snapToGrid w:val="0"/>
          <w:color w:val="000000" w:themeColor="text1"/>
          <w:kern w:val="0"/>
          <w:sz w:val="32"/>
          <w:szCs w:val="32"/>
          <w14:textFill>
            <w14:solidFill>
              <w14:schemeClr w14:val="tx1"/>
            </w14:solidFill>
          </w14:textFill>
        </w:rPr>
      </w:pPr>
      <w:r>
        <w:rPr>
          <w:rFonts w:hint="eastAsia" w:ascii="彩虹黑体" w:hAnsi="宋体" w:eastAsia="彩虹黑体"/>
          <w:snapToGrid w:val="0"/>
          <w:color w:val="000000" w:themeColor="text1"/>
          <w:kern w:val="0"/>
          <w:sz w:val="32"/>
          <w:szCs w:val="32"/>
          <w14:textFill>
            <w14:solidFill>
              <w14:schemeClr w14:val="tx1"/>
            </w14:solidFill>
          </w14:textFill>
        </w:rPr>
        <w:t>七、</w:t>
      </w:r>
      <w:r>
        <w:rPr>
          <w:rFonts w:hint="eastAsia" w:ascii="彩虹黑体" w:hAnsi="GulimChe" w:eastAsia="彩虹黑体" w:cs="Times New Roman"/>
          <w:snapToGrid w:val="0"/>
          <w:color w:val="000000" w:themeColor="text1"/>
          <w:kern w:val="0"/>
          <w:sz w:val="32"/>
          <w:szCs w:val="32"/>
          <w14:textFill>
            <w14:solidFill>
              <w14:schemeClr w14:val="tx1"/>
            </w14:solidFill>
          </w14:textFill>
        </w:rPr>
        <w:t>报价要求</w:t>
      </w:r>
    </w:p>
    <w:p>
      <w:pPr>
        <w:ind w:firstLine="560" w:firstLineChars="200"/>
        <w:rPr>
          <w:rFonts w:asciiTheme="minorEastAsia" w:hAnsiTheme="minorEastAsia"/>
          <w:sz w:val="28"/>
          <w:szCs w:val="28"/>
        </w:rPr>
      </w:pPr>
      <w:r>
        <w:rPr>
          <w:rFonts w:hint="eastAsia" w:asciiTheme="minorEastAsia" w:hAnsiTheme="minorEastAsia"/>
          <w:sz w:val="28"/>
          <w:szCs w:val="28"/>
        </w:rPr>
        <w:t>供应商的报价应包含本项目的所有成本、税金等一切费用，我行无需支付其他任何费用。服务报价以人民币元为单位，保留至角、分位。</w:t>
      </w:r>
    </w:p>
    <w:p/>
    <w:sectPr>
      <w:headerReference r:id="rId3"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0" w:usb3="00000000" w:csb0="0000019F"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GulimChe">
    <w:altName w:val="宋体"/>
    <w:panose1 w:val="020B0609000101010101"/>
    <w:charset w:val="81"/>
    <w:family w:val="modern"/>
    <w:pitch w:val="default"/>
    <w:sig w:usb0="00000000" w:usb1="00000000" w:usb2="00000030" w:usb3="00000000" w:csb0="0008009F" w:csb1="00000000"/>
  </w:font>
  <w:font w:name="彩虹粗仿宋">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A0BFE"/>
    <w:multiLevelType w:val="multilevel"/>
    <w:tmpl w:val="582A0BFE"/>
    <w:lvl w:ilvl="0" w:tentative="0">
      <w:start w:val="5"/>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7F6B78D8"/>
    <w:multiLevelType w:val="multilevel"/>
    <w:tmpl w:val="7F6B78D8"/>
    <w:lvl w:ilvl="0" w:tentative="0">
      <w:start w:val="1"/>
      <w:numFmt w:val="japaneseCounting"/>
      <w:lvlText w:val="%1、"/>
      <w:lvlJc w:val="left"/>
      <w:pPr>
        <w:ind w:left="1430" w:hanging="720"/>
      </w:pPr>
      <w:rPr>
        <w:rFonts w:ascii="彩虹黑体" w:eastAsia="彩虹黑体" w:hAnsiTheme="minorEastAsia" w:cstheme="minorBidi"/>
        <w:b w:val="0"/>
      </w:rPr>
    </w:lvl>
    <w:lvl w:ilvl="1" w:tentative="0">
      <w:start w:val="1"/>
      <w:numFmt w:val="lowerLetter"/>
      <w:lvlText w:val="%2)"/>
      <w:lvlJc w:val="left"/>
      <w:pPr>
        <w:ind w:left="1550" w:hanging="420"/>
      </w:pPr>
    </w:lvl>
    <w:lvl w:ilvl="2" w:tentative="0">
      <w:start w:val="1"/>
      <w:numFmt w:val="lowerRoman"/>
      <w:lvlText w:val="%3."/>
      <w:lvlJc w:val="right"/>
      <w:pPr>
        <w:ind w:left="1970" w:hanging="420"/>
      </w:pPr>
    </w:lvl>
    <w:lvl w:ilvl="3" w:tentative="0">
      <w:start w:val="1"/>
      <w:numFmt w:val="decimal"/>
      <w:lvlText w:val="%4."/>
      <w:lvlJc w:val="left"/>
      <w:pPr>
        <w:ind w:left="2390" w:hanging="420"/>
      </w:pPr>
    </w:lvl>
    <w:lvl w:ilvl="4" w:tentative="0">
      <w:start w:val="1"/>
      <w:numFmt w:val="lowerLetter"/>
      <w:lvlText w:val="%5)"/>
      <w:lvlJc w:val="left"/>
      <w:pPr>
        <w:ind w:left="2810" w:hanging="420"/>
      </w:pPr>
    </w:lvl>
    <w:lvl w:ilvl="5" w:tentative="0">
      <w:start w:val="1"/>
      <w:numFmt w:val="lowerRoman"/>
      <w:lvlText w:val="%6."/>
      <w:lvlJc w:val="right"/>
      <w:pPr>
        <w:ind w:left="3230" w:hanging="420"/>
      </w:pPr>
    </w:lvl>
    <w:lvl w:ilvl="6" w:tentative="0">
      <w:start w:val="1"/>
      <w:numFmt w:val="decimal"/>
      <w:lvlText w:val="%7."/>
      <w:lvlJc w:val="left"/>
      <w:pPr>
        <w:ind w:left="3650" w:hanging="420"/>
      </w:pPr>
    </w:lvl>
    <w:lvl w:ilvl="7" w:tentative="0">
      <w:start w:val="1"/>
      <w:numFmt w:val="lowerLetter"/>
      <w:lvlText w:val="%8)"/>
      <w:lvlJc w:val="left"/>
      <w:pPr>
        <w:ind w:left="4070" w:hanging="420"/>
      </w:pPr>
    </w:lvl>
    <w:lvl w:ilvl="8" w:tentative="0">
      <w:start w:val="1"/>
      <w:numFmt w:val="lowerRoman"/>
      <w:lvlText w:val="%9."/>
      <w:lvlJc w:val="right"/>
      <w:pPr>
        <w:ind w:left="449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74B"/>
    <w:rsid w:val="000E4EBF"/>
    <w:rsid w:val="001D29EF"/>
    <w:rsid w:val="001F32E6"/>
    <w:rsid w:val="002253A9"/>
    <w:rsid w:val="0025174B"/>
    <w:rsid w:val="00294E72"/>
    <w:rsid w:val="003136AE"/>
    <w:rsid w:val="003A7986"/>
    <w:rsid w:val="004049F6"/>
    <w:rsid w:val="00456F94"/>
    <w:rsid w:val="004E67B2"/>
    <w:rsid w:val="0055416B"/>
    <w:rsid w:val="0057077E"/>
    <w:rsid w:val="005C3BED"/>
    <w:rsid w:val="0062559A"/>
    <w:rsid w:val="00636B42"/>
    <w:rsid w:val="00716643"/>
    <w:rsid w:val="00722CF2"/>
    <w:rsid w:val="007618DB"/>
    <w:rsid w:val="007673AF"/>
    <w:rsid w:val="007E761A"/>
    <w:rsid w:val="00834E46"/>
    <w:rsid w:val="00945AF2"/>
    <w:rsid w:val="00953CA2"/>
    <w:rsid w:val="00967F4F"/>
    <w:rsid w:val="00981D94"/>
    <w:rsid w:val="00A26394"/>
    <w:rsid w:val="00AB29B0"/>
    <w:rsid w:val="00AE4E18"/>
    <w:rsid w:val="00B10119"/>
    <w:rsid w:val="00BD3041"/>
    <w:rsid w:val="00C262DC"/>
    <w:rsid w:val="00E03EC9"/>
    <w:rsid w:val="00FA6FDC"/>
    <w:rsid w:val="00FC47F8"/>
    <w:rsid w:val="F993E6FE"/>
    <w:rsid w:val="FEFF2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List Paragraph"/>
    <w:basedOn w:val="1"/>
    <w:qFormat/>
    <w:uiPriority w:val="34"/>
    <w:pPr>
      <w:ind w:firstLine="420" w:firstLineChars="200"/>
    </w:pPr>
  </w:style>
  <w:style w:type="character" w:customStyle="1" w:styleId="10">
    <w:name w:val="页眉 Char"/>
    <w:basedOn w:val="8"/>
    <w:link w:val="6"/>
    <w:qFormat/>
    <w:uiPriority w:val="99"/>
    <w:rPr>
      <w:sz w:val="18"/>
      <w:szCs w:val="18"/>
    </w:rPr>
  </w:style>
  <w:style w:type="character" w:customStyle="1" w:styleId="11">
    <w:name w:val="页脚 Char"/>
    <w:basedOn w:val="8"/>
    <w:link w:val="5"/>
    <w:qFormat/>
    <w:uiPriority w:val="99"/>
    <w:rPr>
      <w:sz w:val="18"/>
      <w:szCs w:val="18"/>
    </w:rPr>
  </w:style>
  <w:style w:type="character" w:customStyle="1" w:styleId="12">
    <w:name w:val="标题 1 Char"/>
    <w:basedOn w:val="8"/>
    <w:link w:val="2"/>
    <w:qFormat/>
    <w:uiPriority w:val="9"/>
    <w:rPr>
      <w:b/>
      <w:bCs/>
      <w:kern w:val="44"/>
      <w:sz w:val="44"/>
      <w:szCs w:val="44"/>
    </w:rPr>
  </w:style>
  <w:style w:type="character" w:customStyle="1" w:styleId="13">
    <w:name w:val="标题 2 Char"/>
    <w:basedOn w:val="8"/>
    <w:link w:val="3"/>
    <w:qFormat/>
    <w:uiPriority w:val="9"/>
    <w:rPr>
      <w:rFonts w:asciiTheme="majorHAnsi" w:hAnsiTheme="majorHAnsi" w:eastAsiaTheme="majorEastAsia" w:cstheme="majorBidi"/>
      <w:b/>
      <w:bCs/>
      <w:sz w:val="32"/>
      <w:szCs w:val="32"/>
    </w:rPr>
  </w:style>
  <w:style w:type="character" w:customStyle="1" w:styleId="14">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202</Words>
  <Characters>1156</Characters>
  <Lines>9</Lines>
  <Paragraphs>2</Paragraphs>
  <TotalTime>129</TotalTime>
  <ScaleCrop>false</ScaleCrop>
  <LinksUpToDate>false</LinksUpToDate>
  <CharactersWithSpaces>1356</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2024-01-31T01:49:00Z</dcterms:created>
  <dc:creator>530634</dc:creator>
  <cp:lastModifiedBy>ccb</cp:lastModifiedBy>
  <cp:lastPrinted>2024-04-03T18:58:00Z</cp:lastPrinted>
  <dcterms:modified xsi:type="dcterms:W3CDTF">2025-02-05T16:53:42Z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67AFE8E6ED9CB1BAED1DA3671937CF03</vt:lpwstr>
  </property>
</Properties>
</file>