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B66C93">
      <w:pPr>
        <w:widowControl/>
        <w:shd w:val="clear" w:color="auto" w:fill="FFFFFF"/>
        <w:tabs>
          <w:tab w:val="left" w:pos="7350"/>
        </w:tabs>
        <w:spacing w:line="24" w:lineRule="atLeast"/>
        <w:jc w:val="left"/>
        <w:rPr>
          <w:rFonts w:ascii="Helvetica" w:hAnsi="Helvetica" w:eastAsia="Helvetica" w:cs="Helvetica"/>
          <w:szCs w:val="21"/>
        </w:rPr>
      </w:pPr>
      <w:r>
        <w:rPr>
          <w:rFonts w:ascii="微软雅黑" w:hAnsi="微软雅黑" w:eastAsia="微软雅黑" w:cs="微软雅黑"/>
          <w:b/>
          <w:bCs/>
          <w:kern w:val="0"/>
          <w:sz w:val="27"/>
          <w:szCs w:val="27"/>
          <w:shd w:val="clear" w:color="auto" w:fill="FFFFFF"/>
          <w:lang w:bidi="ar"/>
        </w:rPr>
        <w:t>一、招标公告内容：</w:t>
      </w:r>
    </w:p>
    <w:p w14:paraId="06D1C8C2">
      <w:pPr>
        <w:widowControl/>
        <w:shd w:val="clear" w:color="auto" w:fill="FFFFFF"/>
        <w:spacing w:line="420" w:lineRule="atLeast"/>
        <w:jc w:val="left"/>
        <w:rPr>
          <w:rFonts w:ascii="Helvetica" w:hAnsi="Helvetica" w:eastAsia="Helvetica" w:cs="Helvetica"/>
          <w:szCs w:val="21"/>
        </w:rPr>
      </w:pPr>
      <w:r>
        <w:rPr>
          <w:rFonts w:ascii="仿宋" w:hAnsi="仿宋" w:eastAsia="仿宋" w:cs="仿宋"/>
          <w:b/>
          <w:bCs/>
          <w:kern w:val="0"/>
          <w:sz w:val="24"/>
          <w:szCs w:val="24"/>
          <w:shd w:val="clear" w:color="auto" w:fill="FFFFFF"/>
          <w:lang w:bidi="ar"/>
        </w:rPr>
        <w:t>（</w:t>
      </w:r>
      <w:r>
        <w:rPr>
          <w:rFonts w:hint="eastAsia" w:ascii="仿宋" w:hAnsi="仿宋" w:eastAsia="仿宋" w:cs="仿宋"/>
          <w:b/>
          <w:bCs/>
          <w:kern w:val="0"/>
          <w:sz w:val="24"/>
          <w:szCs w:val="24"/>
          <w:shd w:val="clear" w:color="auto" w:fill="FFFFFF"/>
          <w:lang w:bidi="ar"/>
        </w:rPr>
        <w:t>1）、招标条件</w:t>
      </w:r>
    </w:p>
    <w:p w14:paraId="65783803">
      <w:pPr>
        <w:widowControl/>
        <w:shd w:val="clear" w:color="auto" w:fill="FFFFFF"/>
        <w:spacing w:line="273" w:lineRule="atLeast"/>
        <w:ind w:firstLine="480"/>
        <w:jc w:val="left"/>
        <w:rPr>
          <w:rFonts w:ascii="Helvetica" w:hAnsi="Helvetica" w:eastAsia="Helvetica" w:cs="Helvetica"/>
          <w:szCs w:val="21"/>
        </w:rPr>
      </w:pPr>
      <w:r>
        <w:rPr>
          <w:rFonts w:hint="eastAsia" w:ascii="仿宋" w:hAnsi="仿宋" w:eastAsia="仿宋" w:cs="仿宋"/>
          <w:kern w:val="0"/>
          <w:sz w:val="24"/>
          <w:szCs w:val="24"/>
          <w:shd w:val="clear" w:color="auto" w:fill="FFFFFF"/>
          <w:lang w:bidi="ar"/>
        </w:rPr>
        <w:t>本项目</w:t>
      </w:r>
      <w:r>
        <w:rPr>
          <w:rFonts w:hint="eastAsia" w:ascii="仿宋" w:hAnsi="仿宋" w:eastAsia="仿宋" w:cs="仿宋"/>
          <w:kern w:val="0"/>
          <w:sz w:val="24"/>
          <w:szCs w:val="24"/>
          <w:u w:val="single"/>
          <w:shd w:val="clear" w:color="auto" w:fill="FFFFFF"/>
          <w:lang w:eastAsia="zh-CN" w:bidi="ar"/>
        </w:rPr>
        <w:t>百年人寿税务咨询项目</w:t>
      </w:r>
      <w:r>
        <w:rPr>
          <w:rFonts w:hint="eastAsia" w:ascii="仿宋" w:hAnsi="仿宋" w:eastAsia="仿宋" w:cs="仿宋"/>
          <w:kern w:val="0"/>
          <w:sz w:val="24"/>
          <w:szCs w:val="24"/>
          <w:shd w:val="clear" w:color="auto" w:fill="FFFFFF"/>
          <w:lang w:bidi="ar"/>
        </w:rPr>
        <w:t>（招标编号：</w:t>
      </w:r>
      <w:r>
        <w:rPr>
          <w:rFonts w:hint="eastAsia" w:ascii="仿宋" w:hAnsi="仿宋" w:eastAsia="仿宋" w:cs="仿宋"/>
          <w:kern w:val="0"/>
          <w:sz w:val="24"/>
          <w:szCs w:val="24"/>
          <w:shd w:val="clear" w:color="auto" w:fill="FFFFFF"/>
          <w:lang w:eastAsia="zh-CN" w:bidi="ar"/>
        </w:rPr>
        <w:t>AEONLIFE–2025–058-CWB</w:t>
      </w:r>
      <w:r>
        <w:rPr>
          <w:rFonts w:hint="eastAsia" w:ascii="仿宋" w:hAnsi="仿宋" w:eastAsia="仿宋" w:cs="仿宋"/>
          <w:kern w:val="0"/>
          <w:sz w:val="24"/>
          <w:szCs w:val="24"/>
          <w:shd w:val="clear" w:color="auto" w:fill="FFFFFF"/>
          <w:lang w:bidi="ar"/>
        </w:rPr>
        <w:t>）已由</w:t>
      </w:r>
      <w:r>
        <w:rPr>
          <w:rFonts w:ascii="Calibri" w:hAnsi="Calibri" w:eastAsia="Helvetica" w:cs="Calibri"/>
          <w:kern w:val="0"/>
          <w:sz w:val="24"/>
          <w:szCs w:val="24"/>
          <w:u w:val="single"/>
          <w:shd w:val="clear" w:color="auto" w:fill="FFFFFF"/>
          <w:lang w:bidi="ar"/>
        </w:rPr>
        <w:t> </w:t>
      </w:r>
      <w:r>
        <w:rPr>
          <w:rFonts w:hint="eastAsia" w:ascii="仿宋" w:hAnsi="仿宋" w:eastAsia="仿宋" w:cs="仿宋"/>
          <w:kern w:val="0"/>
          <w:sz w:val="24"/>
          <w:szCs w:val="24"/>
          <w:u w:val="single"/>
          <w:shd w:val="clear" w:color="auto" w:fill="FFFFFF"/>
          <w:lang w:bidi="ar"/>
        </w:rPr>
        <w:t>百年人寿保险股份有限公司</w:t>
      </w:r>
      <w:r>
        <w:rPr>
          <w:rFonts w:ascii="Calibri" w:hAnsi="Calibri" w:eastAsia="Helvetica" w:cs="Calibri"/>
          <w:kern w:val="0"/>
          <w:sz w:val="24"/>
          <w:szCs w:val="24"/>
          <w:u w:val="single"/>
          <w:shd w:val="clear" w:color="auto" w:fill="FFFFFF"/>
          <w:lang w:bidi="ar"/>
        </w:rPr>
        <w:t> </w:t>
      </w:r>
      <w:r>
        <w:rPr>
          <w:rFonts w:hint="eastAsia" w:ascii="仿宋" w:hAnsi="仿宋" w:eastAsia="仿宋" w:cs="仿宋"/>
          <w:kern w:val="0"/>
          <w:sz w:val="24"/>
          <w:szCs w:val="24"/>
          <w:shd w:val="clear" w:color="auto" w:fill="FFFFFF"/>
          <w:lang w:bidi="ar"/>
        </w:rPr>
        <w:t>（以下简称“招标人”）批准并落实资金，现就本项目进行公开招标，有意向的潜在投标人（以下简称“投标人”）可前来投标。</w:t>
      </w:r>
    </w:p>
    <w:p w14:paraId="4152B600">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（2）、项目概况与招标范围</w:t>
      </w:r>
    </w:p>
    <w:p w14:paraId="60068C1F">
      <w:pPr>
        <w:widowControl/>
        <w:shd w:val="clear" w:color="auto" w:fill="FFFFFF"/>
        <w:spacing w:line="273" w:lineRule="atLeast"/>
        <w:ind w:firstLine="480"/>
        <w:jc w:val="left"/>
        <w:rPr>
          <w:rFonts w:hint="eastAsia" w:ascii="Helvetica" w:hAnsi="Helvetica" w:eastAsia="仿宋" w:cs="Helvetica"/>
          <w:szCs w:val="21"/>
          <w:lang w:eastAsia="zh-CN"/>
        </w:rPr>
      </w:pPr>
      <w:r>
        <w:rPr>
          <w:rFonts w:hint="eastAsia" w:ascii="仿宋" w:hAnsi="仿宋" w:eastAsia="仿宋" w:cs="仿宋"/>
          <w:b/>
          <w:bCs/>
          <w:kern w:val="0"/>
          <w:sz w:val="24"/>
          <w:szCs w:val="24"/>
          <w:shd w:val="clear" w:color="auto" w:fill="FFFFFF"/>
          <w:lang w:bidi="ar"/>
        </w:rPr>
        <w:t>2.1项目名称：</w:t>
      </w:r>
      <w:r>
        <w:rPr>
          <w:rFonts w:hint="eastAsia" w:ascii="仿宋" w:hAnsi="仿宋" w:eastAsia="仿宋" w:cs="仿宋"/>
          <w:kern w:val="0"/>
          <w:sz w:val="24"/>
          <w:szCs w:val="24"/>
          <w:u w:val="single"/>
          <w:shd w:val="clear" w:color="auto" w:fill="FFFFFF"/>
          <w:lang w:eastAsia="zh-CN" w:bidi="ar"/>
        </w:rPr>
        <w:t>百年人寿税务咨询项目</w:t>
      </w:r>
    </w:p>
    <w:p w14:paraId="6C5E48A2">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2.2招标范围：</w:t>
      </w:r>
      <w:r>
        <w:rPr>
          <w:rFonts w:hint="eastAsia" w:ascii="仿宋" w:hAnsi="仿宋" w:eastAsia="仿宋" w:cs="仿宋"/>
          <w:kern w:val="0"/>
          <w:sz w:val="24"/>
          <w:szCs w:val="24"/>
          <w:shd w:val="clear" w:color="auto" w:fill="FFFFFF"/>
          <w:lang w:bidi="ar"/>
        </w:rPr>
        <w:t>本项目拟选定</w:t>
      </w:r>
      <w:r>
        <w:rPr>
          <w:rFonts w:hint="eastAsia" w:ascii="仿宋" w:hAnsi="仿宋" w:eastAsia="仿宋" w:cs="仿宋"/>
          <w:kern w:val="0"/>
          <w:sz w:val="24"/>
          <w:szCs w:val="24"/>
          <w:u w:val="single"/>
          <w:shd w:val="clear" w:color="auto" w:fill="FFFFFF"/>
          <w:lang w:bidi="ar"/>
        </w:rPr>
        <w:t>1家</w:t>
      </w:r>
      <w:r>
        <w:rPr>
          <w:rFonts w:hint="eastAsia" w:ascii="仿宋" w:hAnsi="仿宋" w:eastAsia="仿宋" w:cs="仿宋"/>
          <w:kern w:val="0"/>
          <w:sz w:val="24"/>
          <w:szCs w:val="24"/>
          <w:shd w:val="clear" w:color="auto" w:fill="FFFFFF"/>
          <w:lang w:bidi="ar"/>
        </w:rPr>
        <w:t>供应商，为招标人实施</w:t>
      </w:r>
      <w:r>
        <w:rPr>
          <w:rFonts w:hint="eastAsia" w:ascii="仿宋" w:hAnsi="仿宋" w:eastAsia="仿宋" w:cs="仿宋"/>
          <w:kern w:val="0"/>
          <w:sz w:val="24"/>
          <w:szCs w:val="24"/>
          <w:u w:val="single"/>
          <w:shd w:val="clear" w:color="auto" w:fill="FFFFFF"/>
          <w:lang w:eastAsia="zh-CN" w:bidi="ar"/>
        </w:rPr>
        <w:t>百年人寿税务咨询项目</w:t>
      </w:r>
      <w:r>
        <w:rPr>
          <w:rFonts w:hint="eastAsia" w:ascii="仿宋" w:hAnsi="仿宋" w:eastAsia="仿宋" w:cs="仿宋"/>
          <w:kern w:val="0"/>
          <w:sz w:val="24"/>
          <w:szCs w:val="24"/>
          <w:shd w:val="clear" w:color="auto" w:fill="FFFFFF"/>
          <w:lang w:bidi="ar"/>
        </w:rPr>
        <w:t>。</w:t>
      </w:r>
    </w:p>
    <w:p w14:paraId="64B59567">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hint="eastAsia" w:ascii="仿宋" w:hAnsi="仿宋" w:eastAsia="微软雅黑" w:cs="仿宋"/>
          <w:kern w:val="0"/>
          <w:sz w:val="24"/>
          <w:szCs w:val="24"/>
          <w:shd w:val="clear" w:color="auto" w:fill="FFFFFF"/>
          <w:lang w:val="en-US" w:eastAsia="zh-CN" w:bidi="ar"/>
        </w:rPr>
      </w:pPr>
      <w:r>
        <w:rPr>
          <w:rFonts w:hint="eastAsia" w:ascii="仿宋" w:hAnsi="仿宋" w:eastAsia="仿宋" w:cs="仿宋"/>
          <w:b/>
          <w:bCs/>
          <w:kern w:val="0"/>
          <w:sz w:val="24"/>
          <w:szCs w:val="24"/>
          <w:shd w:val="clear" w:color="auto" w:fill="FFFFFF"/>
          <w:lang w:bidi="ar"/>
        </w:rPr>
        <w:t>2.</w:t>
      </w:r>
      <w:r>
        <w:rPr>
          <w:rFonts w:hint="eastAsia" w:ascii="仿宋" w:hAnsi="仿宋" w:eastAsia="仿宋" w:cs="仿宋"/>
          <w:b/>
          <w:bCs/>
          <w:kern w:val="0"/>
          <w:sz w:val="24"/>
          <w:szCs w:val="24"/>
          <w:shd w:val="clear" w:color="auto" w:fill="FFFFFF"/>
          <w:lang w:val="en-US" w:eastAsia="zh-CN" w:bidi="ar"/>
        </w:rPr>
        <w:t>3采购</w:t>
      </w:r>
      <w:r>
        <w:rPr>
          <w:rFonts w:hint="eastAsia" w:ascii="仿宋" w:hAnsi="仿宋" w:eastAsia="仿宋" w:cs="仿宋"/>
          <w:b/>
          <w:bCs/>
          <w:kern w:val="0"/>
          <w:sz w:val="24"/>
          <w:szCs w:val="24"/>
          <w:shd w:val="clear" w:color="auto" w:fill="FFFFFF"/>
          <w:lang w:bidi="ar"/>
        </w:rPr>
        <w:t>需求</w:t>
      </w:r>
      <w:r>
        <w:rPr>
          <w:rFonts w:hint="eastAsia" w:ascii="仿宋" w:hAnsi="仿宋" w:eastAsia="仿宋" w:cs="仿宋"/>
          <w:kern w:val="0"/>
          <w:sz w:val="24"/>
          <w:szCs w:val="24"/>
          <w:shd w:val="clear" w:color="auto" w:fill="FFFFFF"/>
          <w:lang w:eastAsia="zh-CN" w:bidi="ar"/>
        </w:rPr>
        <w:t>：</w:t>
      </w:r>
      <w:r>
        <w:rPr>
          <w:rFonts w:hint="eastAsia" w:ascii="微软雅黑" w:hAnsi="微软雅黑" w:eastAsia="微软雅黑"/>
          <w:color w:val="000000"/>
        </w:rPr>
        <w:t xml:space="preserve"> </w:t>
      </w:r>
      <w:r>
        <w:rPr>
          <w:rFonts w:hint="eastAsia" w:ascii="仿宋" w:hAnsi="仿宋" w:eastAsia="仿宋" w:cs="仿宋"/>
          <w:kern w:val="0"/>
          <w:sz w:val="24"/>
          <w:szCs w:val="24"/>
          <w:shd w:val="clear" w:color="auto" w:fill="FFFFFF"/>
          <w:lang w:bidi="ar"/>
        </w:rPr>
        <w:t>全税种税务健康检查服务</w:t>
      </w:r>
      <w:r>
        <w:rPr>
          <w:rFonts w:hint="eastAsia" w:ascii="仿宋" w:hAnsi="仿宋" w:eastAsia="仿宋" w:cs="仿宋"/>
          <w:kern w:val="0"/>
          <w:sz w:val="24"/>
          <w:szCs w:val="24"/>
          <w:shd w:val="clear" w:color="auto" w:fill="FFFFFF"/>
          <w:lang w:eastAsia="zh-CN" w:bidi="ar"/>
        </w:rPr>
        <w:t>、</w:t>
      </w:r>
      <w:r>
        <w:rPr>
          <w:rFonts w:hint="eastAsia" w:ascii="仿宋" w:hAnsi="仿宋" w:eastAsia="仿宋" w:cs="仿宋"/>
          <w:kern w:val="0"/>
          <w:sz w:val="24"/>
          <w:szCs w:val="24"/>
          <w:shd w:val="clear" w:color="auto" w:fill="FFFFFF"/>
          <w:lang w:bidi="ar"/>
        </w:rPr>
        <w:t>日常税务咨询</w:t>
      </w:r>
      <w:r>
        <w:rPr>
          <w:rFonts w:hint="eastAsia" w:ascii="仿宋" w:hAnsi="仿宋" w:eastAsia="仿宋" w:cs="仿宋"/>
          <w:kern w:val="0"/>
          <w:sz w:val="24"/>
          <w:szCs w:val="24"/>
          <w:shd w:val="clear" w:color="auto" w:fill="FFFFFF"/>
          <w:lang w:eastAsia="zh-CN" w:bidi="ar"/>
        </w:rPr>
        <w:t>、</w:t>
      </w:r>
      <w:r>
        <w:rPr>
          <w:rFonts w:hint="eastAsia" w:ascii="仿宋" w:hAnsi="仿宋" w:eastAsia="仿宋" w:cs="仿宋"/>
          <w:kern w:val="0"/>
          <w:sz w:val="24"/>
          <w:szCs w:val="24"/>
          <w:shd w:val="clear" w:color="auto" w:fill="FFFFFF"/>
          <w:lang w:bidi="ar"/>
        </w:rPr>
        <w:t>企业所得税汇算清缴</w:t>
      </w:r>
    </w:p>
    <w:p w14:paraId="38881157">
      <w:pPr>
        <w:widowControl/>
        <w:shd w:val="clear" w:color="auto" w:fill="FFFFFF"/>
        <w:spacing w:line="273" w:lineRule="atLeast"/>
        <w:ind w:firstLine="480"/>
        <w:jc w:val="left"/>
        <w:rPr>
          <w:rFonts w:hint="default" w:ascii="仿宋" w:hAnsi="仿宋" w:eastAsia="仿宋" w:cs="仿宋"/>
          <w:b/>
          <w:bCs/>
          <w:kern w:val="0"/>
          <w:sz w:val="24"/>
          <w:szCs w:val="24"/>
          <w:shd w:val="clear" w:color="auto" w:fill="FFFFFF"/>
          <w:lang w:val="en-US" w:eastAsia="zh-CN" w:bidi="ar"/>
        </w:rPr>
      </w:pPr>
      <w:r>
        <w:rPr>
          <w:rFonts w:hint="eastAsia" w:ascii="仿宋" w:hAnsi="仿宋" w:eastAsia="仿宋" w:cs="仿宋"/>
          <w:b/>
          <w:bCs/>
          <w:kern w:val="0"/>
          <w:sz w:val="24"/>
          <w:szCs w:val="24"/>
          <w:shd w:val="clear" w:color="auto" w:fill="FFFFFF"/>
          <w:lang w:val="en-US" w:eastAsia="zh-CN" w:bidi="ar"/>
        </w:rPr>
        <w:t>2.4项目需求：</w:t>
      </w:r>
    </w:p>
    <w:p w14:paraId="1423E888">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u w:val="single"/>
          <w:shd w:val="clear" w:color="auto" w:fill="FFFFFF"/>
          <w:lang w:val="en-US" w:eastAsia="zh-CN" w:bidi="ar"/>
        </w:rPr>
        <w:t>2.4.1</w:t>
      </w:r>
      <w:r>
        <w:rPr>
          <w:rFonts w:hint="eastAsia" w:ascii="仿宋" w:hAnsi="仿宋" w:eastAsia="仿宋" w:cs="仿宋"/>
          <w:kern w:val="0"/>
          <w:sz w:val="24"/>
          <w:szCs w:val="24"/>
          <w:u w:val="single"/>
          <w:shd w:val="clear" w:color="auto" w:fill="FFFFFF"/>
          <w:lang w:bidi="ar"/>
        </w:rPr>
        <w:t>全税种税务健康检查服务</w:t>
      </w:r>
    </w:p>
    <w:p w14:paraId="4B456417">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bidi="ar"/>
        </w:rPr>
        <w:t>针对近三年（2022至2024年）各主要税种（企业所得税、增值税、印花税、个人所得税、房产税、土地使用税等）进行健康检查。</w:t>
      </w:r>
    </w:p>
    <w:p w14:paraId="7ED88DC2">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2.4.1.1</w:t>
      </w:r>
      <w:r>
        <w:rPr>
          <w:rFonts w:hint="eastAsia" w:ascii="仿宋" w:hAnsi="仿宋" w:eastAsia="仿宋" w:cs="仿宋"/>
          <w:kern w:val="0"/>
          <w:sz w:val="24"/>
          <w:szCs w:val="24"/>
          <w:shd w:val="clear" w:color="auto" w:fill="FFFFFF"/>
          <w:lang w:bidi="ar"/>
        </w:rPr>
        <w:t>具体服务需求：</w:t>
      </w:r>
    </w:p>
    <w:p w14:paraId="157FEB76">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①</w:t>
      </w:r>
      <w:r>
        <w:rPr>
          <w:rFonts w:hint="eastAsia" w:ascii="仿宋" w:hAnsi="仿宋" w:eastAsia="仿宋" w:cs="仿宋"/>
          <w:kern w:val="0"/>
          <w:sz w:val="24"/>
          <w:szCs w:val="24"/>
          <w:shd w:val="clear" w:color="auto" w:fill="FFFFFF"/>
          <w:lang w:bidi="ar"/>
        </w:rPr>
        <w:t>依约定对总公司及不少于两家选定分公司实施各税种遵从度与合规性评估。</w:t>
      </w:r>
    </w:p>
    <w:p w14:paraId="63F8DB6C">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②</w:t>
      </w:r>
      <w:r>
        <w:rPr>
          <w:rFonts w:hint="eastAsia" w:ascii="仿宋" w:hAnsi="仿宋" w:eastAsia="仿宋" w:cs="仿宋"/>
          <w:kern w:val="0"/>
          <w:sz w:val="24"/>
          <w:szCs w:val="24"/>
          <w:shd w:val="clear" w:color="auto" w:fill="FFFFFF"/>
          <w:lang w:bidi="ar"/>
        </w:rPr>
        <w:t>核查被查单位涉税资料及发票管理的规范性，涵盖财务信息、账目明细、纳税申报、发票制度等。</w:t>
      </w:r>
    </w:p>
    <w:p w14:paraId="5D069B25">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③</w:t>
      </w:r>
      <w:r>
        <w:rPr>
          <w:rFonts w:hint="eastAsia" w:ascii="仿宋" w:hAnsi="仿宋" w:eastAsia="仿宋" w:cs="仿宋"/>
          <w:kern w:val="0"/>
          <w:sz w:val="24"/>
          <w:szCs w:val="24"/>
          <w:shd w:val="clear" w:color="auto" w:fill="FFFFFF"/>
          <w:lang w:bidi="ar"/>
        </w:rPr>
        <w:t>着重评估保险及投资业务涉税计算的准确性，识别潜在涉税风险。</w:t>
      </w:r>
    </w:p>
    <w:p w14:paraId="617ABD45">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④</w:t>
      </w:r>
      <w:r>
        <w:rPr>
          <w:rFonts w:hint="eastAsia" w:ascii="仿宋" w:hAnsi="仿宋" w:eastAsia="仿宋" w:cs="仿宋"/>
          <w:kern w:val="0"/>
          <w:sz w:val="24"/>
          <w:szCs w:val="24"/>
          <w:shd w:val="clear" w:color="auto" w:fill="FFFFFF"/>
          <w:lang w:bidi="ar"/>
        </w:rPr>
        <w:t>量化筛查中发现的税务风险点可能造成的具体影响，并形成测算底稿。</w:t>
      </w:r>
    </w:p>
    <w:p w14:paraId="3CBBF04F">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⑤</w:t>
      </w:r>
      <w:r>
        <w:rPr>
          <w:rFonts w:hint="eastAsia" w:ascii="仿宋" w:hAnsi="仿宋" w:eastAsia="仿宋" w:cs="仿宋"/>
          <w:kern w:val="0"/>
          <w:sz w:val="24"/>
          <w:szCs w:val="24"/>
          <w:shd w:val="clear" w:color="auto" w:fill="FFFFFF"/>
          <w:lang w:bidi="ar"/>
        </w:rPr>
        <w:t>审查税务计算、复核、申报等流程是否存在系统性缺陷。</w:t>
      </w:r>
    </w:p>
    <w:p w14:paraId="10FEE44A">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⑥</w:t>
      </w:r>
      <w:r>
        <w:rPr>
          <w:rFonts w:hint="eastAsia" w:ascii="仿宋" w:hAnsi="仿宋" w:eastAsia="仿宋" w:cs="仿宋"/>
          <w:kern w:val="0"/>
          <w:sz w:val="24"/>
          <w:szCs w:val="24"/>
          <w:shd w:val="clear" w:color="auto" w:fill="FFFFFF"/>
          <w:lang w:bidi="ar"/>
        </w:rPr>
        <w:t>分析重要涉税风险点，形成健康检查报告，并针对性地提出改进建议。</w:t>
      </w:r>
    </w:p>
    <w:p w14:paraId="1D889957">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⑦</w:t>
      </w:r>
      <w:r>
        <w:rPr>
          <w:rFonts w:hint="eastAsia" w:ascii="仿宋" w:hAnsi="仿宋" w:eastAsia="仿宋" w:cs="仿宋"/>
          <w:kern w:val="0"/>
          <w:sz w:val="24"/>
          <w:szCs w:val="24"/>
          <w:shd w:val="clear" w:color="auto" w:fill="FFFFFF"/>
          <w:lang w:bidi="ar"/>
        </w:rPr>
        <w:t>报告中需明确各项风险的整改或优化方案，若发现可行的节税点，也一并提出。</w:t>
      </w:r>
    </w:p>
    <w:p w14:paraId="3E99F379">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u w:val="none"/>
          <w:shd w:val="clear" w:color="auto" w:fill="FFFFFF"/>
          <w:lang w:bidi="ar"/>
        </w:rPr>
      </w:pPr>
      <w:r>
        <w:rPr>
          <w:rFonts w:hint="eastAsia" w:ascii="仿宋" w:hAnsi="仿宋" w:eastAsia="仿宋" w:cs="仿宋"/>
          <w:kern w:val="0"/>
          <w:sz w:val="24"/>
          <w:szCs w:val="24"/>
          <w:u w:val="none"/>
          <w:shd w:val="clear" w:color="auto" w:fill="FFFFFF"/>
          <w:lang w:val="en-US" w:eastAsia="zh-CN" w:bidi="ar"/>
        </w:rPr>
        <w:t>2.4.1.2</w:t>
      </w:r>
      <w:r>
        <w:rPr>
          <w:rFonts w:hint="eastAsia" w:ascii="仿宋" w:hAnsi="仿宋" w:eastAsia="仿宋" w:cs="仿宋"/>
          <w:kern w:val="0"/>
          <w:sz w:val="24"/>
          <w:szCs w:val="24"/>
          <w:u w:val="none"/>
          <w:shd w:val="clear" w:color="auto" w:fill="FFFFFF"/>
          <w:lang w:bidi="ar"/>
        </w:rPr>
        <w:t>核查方法要求</w:t>
      </w:r>
    </w:p>
    <w:p w14:paraId="331E4A71">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①</w:t>
      </w:r>
      <w:r>
        <w:rPr>
          <w:rFonts w:hint="eastAsia" w:ascii="仿宋" w:hAnsi="仿宋" w:eastAsia="仿宋" w:cs="仿宋"/>
          <w:kern w:val="0"/>
          <w:sz w:val="24"/>
          <w:szCs w:val="24"/>
          <w:shd w:val="clear" w:color="auto" w:fill="FFFFFF"/>
          <w:lang w:bidi="ar"/>
        </w:rPr>
        <w:t>重点审查：对总公司及随机抽取的不少于两家分公司，通过访谈、凭证抽查、资料审核等方式进行重点审查。</w:t>
      </w:r>
    </w:p>
    <w:p w14:paraId="2C1A9097">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②</w:t>
      </w:r>
      <w:r>
        <w:rPr>
          <w:rFonts w:hint="eastAsia" w:ascii="仿宋" w:hAnsi="仿宋" w:eastAsia="仿宋" w:cs="仿宋"/>
          <w:kern w:val="0"/>
          <w:sz w:val="24"/>
          <w:szCs w:val="24"/>
          <w:shd w:val="clear" w:color="auto" w:fill="FFFFFF"/>
          <w:lang w:bidi="ar"/>
        </w:rPr>
        <w:t>风险识别与自查：基于重点审查发现，编制税务风险清单及自查问卷。其余分公司据此开展自我核查。</w:t>
      </w:r>
    </w:p>
    <w:p w14:paraId="565765D2">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u w:val="single"/>
          <w:shd w:val="clear" w:color="auto" w:fill="FFFFFF"/>
          <w:lang w:val="en-US" w:eastAsia="zh-CN" w:bidi="ar"/>
        </w:rPr>
      </w:pPr>
      <w:r>
        <w:rPr>
          <w:rFonts w:hint="eastAsia" w:ascii="仿宋" w:hAnsi="仿宋" w:eastAsia="仿宋" w:cs="仿宋"/>
          <w:kern w:val="0"/>
          <w:sz w:val="24"/>
          <w:szCs w:val="24"/>
          <w:u w:val="single"/>
          <w:shd w:val="clear" w:color="auto" w:fill="FFFFFF"/>
          <w:lang w:val="en-US" w:eastAsia="zh-CN" w:bidi="ar"/>
        </w:rPr>
        <w:t>2.4.2日常税务咨询</w:t>
      </w:r>
    </w:p>
    <w:p w14:paraId="5A790C5C">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2.4.2.1解析甲方日常涉税疑问，尤其重点税务事项提供法规依据、技术支持或行业惯例参考。</w:t>
      </w:r>
    </w:p>
    <w:p w14:paraId="70DC07CD">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2.4.2.2定期举行专项会议或电话沟通，就日常工作中发现的重要涉税问题提供专业意见。</w:t>
      </w:r>
    </w:p>
    <w:p w14:paraId="44243045">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2.4.2.3结合甲方业务特点及培训需求，定制化设计税务培训（每年不少于2次）。</w:t>
      </w:r>
    </w:p>
    <w:p w14:paraId="3B5C9704">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2.4.2.4在甲方接受税务检查时，协助进行应对策略分析，评估问题定性及政策引用的合规性；对税局认定存疑事项，提供技术支持。</w:t>
      </w:r>
    </w:p>
    <w:p w14:paraId="044F4E5A">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2.4.2.5定期提供中国财税法规更新、热点解析及专题研究报告等资料。</w:t>
      </w:r>
    </w:p>
    <w:p w14:paraId="3D3047DC">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2.4.2.6提供业务赋能相关支持，比如针对代理人、客户的税收政策指导性支持。</w:t>
      </w:r>
    </w:p>
    <w:p w14:paraId="5154D204">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u w:val="single"/>
          <w:shd w:val="clear" w:color="auto" w:fill="FFFFFF"/>
          <w:lang w:val="en-US" w:eastAsia="zh-CN" w:bidi="ar"/>
        </w:rPr>
        <w:t>2.4.3企业所得税汇算清缴</w:t>
      </w:r>
    </w:p>
    <w:p w14:paraId="0228F7A8">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协助甲方按照税务机关要求，在规定时间内，完成2025年度企业所得税纳税申报，编制年度纳税申报表及其工作底稿、总分公司纳税调整明细表以及其他申报资料；对2025年度企业所得税纳税申报相关的信息和事宜予以审核，并出具企业所得税汇算清缴鉴证报告书。</w:t>
      </w:r>
    </w:p>
    <w:p w14:paraId="78B188D9">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2.4.3.1根据甲方2025年度审计报告，对企业所得税申报相关的财务数据和会计处理进行计算和复核，通过调查收集审阅补充资料，对税务处理和税务凭证进行抽样测试。</w:t>
      </w:r>
    </w:p>
    <w:p w14:paraId="4DDBDC1A">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2.4.3.2对甲方2025年度企业所得税纳税申报所涉及重大税务事项进行审验。</w:t>
      </w:r>
    </w:p>
    <w:p w14:paraId="3CB0FDF5">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2.4.3.3对甲方享受的税收优惠事项、金额及备查资料进行审核，确保甲方充分利用各项优惠政策。</w:t>
      </w:r>
    </w:p>
    <w:p w14:paraId="1B34B577">
      <w:pPr>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（3）、投标人资格要求</w:t>
      </w:r>
    </w:p>
    <w:p w14:paraId="78FB82D9">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3.1注册资本金：</w:t>
      </w:r>
      <w:r>
        <w:rPr>
          <w:rFonts w:hint="eastAsia" w:ascii="仿宋" w:hAnsi="仿宋" w:eastAsia="仿宋" w:cs="仿宋"/>
          <w:kern w:val="0"/>
          <w:sz w:val="24"/>
          <w:szCs w:val="24"/>
          <w:u w:val="single"/>
          <w:shd w:val="clear" w:color="auto" w:fill="FFFFFF"/>
          <w:lang w:val="en-US" w:eastAsia="zh-CN" w:bidi="ar"/>
        </w:rPr>
        <w:t>100万元</w:t>
      </w:r>
      <w:r>
        <w:rPr>
          <w:rFonts w:hint="eastAsia" w:ascii="仿宋" w:hAnsi="仿宋" w:eastAsia="仿宋" w:cs="仿宋"/>
          <w:kern w:val="0"/>
          <w:sz w:val="24"/>
          <w:szCs w:val="24"/>
          <w:shd w:val="clear" w:color="auto" w:fill="FFFFFF"/>
          <w:lang w:val="en-US" w:eastAsia="zh-CN" w:bidi="ar"/>
        </w:rPr>
        <w:t>及以上</w:t>
      </w:r>
    </w:p>
    <w:p w14:paraId="3F09541B">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3.2经营年限：工商登记日期至投标报名日期，满</w:t>
      </w:r>
      <w:r>
        <w:rPr>
          <w:rFonts w:hint="eastAsia" w:ascii="仿宋" w:hAnsi="仿宋" w:eastAsia="仿宋" w:cs="仿宋"/>
          <w:kern w:val="0"/>
          <w:sz w:val="24"/>
          <w:szCs w:val="24"/>
          <w:u w:val="single"/>
          <w:shd w:val="clear" w:color="auto" w:fill="FFFFFF"/>
          <w:lang w:val="en-US" w:eastAsia="zh-CN" w:bidi="ar"/>
        </w:rPr>
        <w:t>5年</w:t>
      </w:r>
      <w:r>
        <w:rPr>
          <w:rFonts w:hint="eastAsia" w:ascii="仿宋" w:hAnsi="仿宋" w:eastAsia="仿宋" w:cs="仿宋"/>
          <w:kern w:val="0"/>
          <w:sz w:val="24"/>
          <w:szCs w:val="24"/>
          <w:shd w:val="clear" w:color="auto" w:fill="FFFFFF"/>
          <w:lang w:val="en-US" w:eastAsia="zh-CN" w:bidi="ar"/>
        </w:rPr>
        <w:t>及以上（含）</w:t>
      </w:r>
    </w:p>
    <w:p w14:paraId="25039F28">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3.3需提供近两年财务报告（2023、2024均应提供），如供应商未聘请外部审计机构，应提供加盖公章的财务报表及加盖公章的未经审计说明</w:t>
      </w:r>
    </w:p>
    <w:p w14:paraId="04749B13">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3.4投标人近三年在国家企业信用信息公示系统中无行政处罚记录和未被列入经营异常名录</w:t>
      </w:r>
    </w:p>
    <w:p w14:paraId="31837AB2">
      <w:pPr>
        <w:widowControl/>
        <w:shd w:val="clear" w:color="auto" w:fill="FFFFFF"/>
        <w:spacing w:line="273" w:lineRule="atLeast"/>
        <w:ind w:firstLine="480"/>
        <w:jc w:val="left"/>
        <w:rPr>
          <w:rFonts w:hint="default" w:ascii="仿宋" w:hAnsi="仿宋" w:eastAsia="仿宋" w:cs="仿宋"/>
          <w:b/>
          <w:bCs/>
          <w:kern w:val="0"/>
          <w:sz w:val="24"/>
          <w:szCs w:val="24"/>
          <w:u w:val="none"/>
          <w:shd w:val="clear" w:color="auto" w:fill="FFFFFF"/>
          <w:lang w:val="en-US" w:eastAsia="zh-CN" w:bidi="ar"/>
        </w:rPr>
      </w:pPr>
      <w:r>
        <w:rPr>
          <w:rFonts w:hint="eastAsia" w:ascii="仿宋" w:hAnsi="仿宋" w:eastAsia="仿宋" w:cs="仿宋"/>
          <w:b w:val="0"/>
          <w:bCs w:val="0"/>
          <w:kern w:val="0"/>
          <w:sz w:val="24"/>
          <w:szCs w:val="24"/>
          <w:u w:val="none"/>
          <w:shd w:val="clear" w:color="auto" w:fill="FFFFFF"/>
          <w:lang w:val="en-US" w:eastAsia="zh-CN" w:bidi="ar"/>
        </w:rPr>
        <w:t>3.5需有金融行业（保险、银行、证券）的税务咨询或税务健康检查服务案例，需提供合同复印件加盖投标单位公章，</w:t>
      </w:r>
      <w:r>
        <w:rPr>
          <w:rFonts w:hint="eastAsia" w:ascii="仿宋" w:hAnsi="仿宋" w:eastAsia="仿宋" w:cs="仿宋"/>
          <w:b/>
          <w:bCs/>
          <w:kern w:val="0"/>
          <w:sz w:val="24"/>
          <w:szCs w:val="24"/>
          <w:u w:val="none"/>
          <w:shd w:val="clear" w:color="auto" w:fill="FFFFFF"/>
          <w:lang w:val="en-US" w:eastAsia="zh-CN" w:bidi="ar"/>
        </w:rPr>
        <w:t>未提供证明材料不能准入</w:t>
      </w:r>
    </w:p>
    <w:p w14:paraId="1C881C06">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（4）、资格审查方法</w:t>
      </w:r>
    </w:p>
    <w:p w14:paraId="682DAABE">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本项目采用资格预审的方式，资格审查标准和内容见“投标人资格要求”。凡未通过资格预审的投标人，其报名将被否决。投标人需在</w:t>
      </w:r>
      <w:r>
        <w:rPr>
          <w:rFonts w:hint="eastAsia" w:ascii="仿宋" w:hAnsi="仿宋" w:eastAsia="仿宋" w:cs="仿宋"/>
          <w:b/>
          <w:bCs/>
          <w:kern w:val="0"/>
          <w:sz w:val="24"/>
          <w:szCs w:val="24"/>
          <w:highlight w:val="none"/>
          <w:shd w:val="clear" w:color="auto" w:fill="FFFFFF"/>
          <w:lang w:val="en-US" w:eastAsia="zh-CN" w:bidi="ar"/>
        </w:rPr>
        <w:t>8月22日</w:t>
      </w:r>
      <w:r>
        <w:rPr>
          <w:rFonts w:hint="eastAsia" w:ascii="仿宋" w:hAnsi="仿宋" w:eastAsia="仿宋" w:cs="仿宋"/>
          <w:b/>
          <w:bCs/>
          <w:kern w:val="0"/>
          <w:sz w:val="24"/>
          <w:szCs w:val="24"/>
          <w:shd w:val="clear" w:color="auto" w:fill="FFFFFF"/>
          <w:lang w:val="en-US" w:eastAsia="zh-CN" w:bidi="ar"/>
        </w:rPr>
        <w:t>14:00前</w:t>
      </w:r>
      <w:r>
        <w:rPr>
          <w:rFonts w:hint="eastAsia" w:ascii="仿宋" w:hAnsi="仿宋" w:eastAsia="仿宋" w:cs="仿宋"/>
          <w:kern w:val="0"/>
          <w:sz w:val="24"/>
          <w:szCs w:val="24"/>
          <w:shd w:val="clear" w:color="auto" w:fill="FFFFFF"/>
          <w:lang w:val="en-US" w:eastAsia="zh-CN" w:bidi="ar"/>
        </w:rPr>
        <w:t>将电子版资质证明材料发送至邮箱lvdelin@ailifang100.com，并且邮件中标注</w:t>
      </w:r>
      <w:r>
        <w:rPr>
          <w:rFonts w:hint="eastAsia" w:ascii="仿宋" w:hAnsi="仿宋" w:eastAsia="仿宋" w:cs="仿宋"/>
          <w:kern w:val="0"/>
          <w:sz w:val="24"/>
          <w:szCs w:val="24"/>
          <w:u w:val="single"/>
          <w:shd w:val="clear" w:color="auto" w:fill="FFFFFF"/>
          <w:lang w:val="en-US" w:eastAsia="zh-CN" w:bidi="ar"/>
        </w:rPr>
        <w:t>报名项目名称、项目编号、项目负责人及联系方式。</w:t>
      </w:r>
      <w:bookmarkStart w:id="0" w:name="_GoBack"/>
      <w:bookmarkEnd w:id="0"/>
    </w:p>
    <w:p w14:paraId="76C4FC59">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（5）、招标文件的获取</w:t>
      </w:r>
    </w:p>
    <w:p w14:paraId="06F3367A">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5.1时间：每天上午9:00至11:30，下午13:30至16:30（北京时间，法定节假日除外）。</w:t>
      </w:r>
    </w:p>
    <w:p w14:paraId="10503FD3">
      <w:pPr>
        <w:widowControl/>
        <w:shd w:val="clear" w:color="auto" w:fill="FFFFFF"/>
        <w:spacing w:line="273" w:lineRule="atLeast"/>
        <w:ind w:firstLine="480"/>
        <w:jc w:val="left"/>
        <w:textAlignment w:val="baseline"/>
        <w:rPr>
          <w:rFonts w:hint="default" w:ascii="Helvetica" w:hAnsi="Helvetica" w:eastAsia="仿宋" w:cs="Helvetica"/>
          <w:szCs w:val="21"/>
          <w:lang w:val="en-US" w:eastAsia="zh-CN"/>
        </w:rPr>
      </w:pPr>
      <w:r>
        <w:rPr>
          <w:rFonts w:hint="eastAsia" w:ascii="仿宋" w:hAnsi="仿宋" w:eastAsia="仿宋" w:cs="仿宋"/>
          <w:kern w:val="0"/>
          <w:sz w:val="24"/>
          <w:szCs w:val="24"/>
          <w:shd w:val="clear" w:color="auto" w:fill="FFFFFF"/>
          <w:lang w:bidi="ar"/>
        </w:rPr>
        <w:t>5.2地点：</w:t>
      </w:r>
      <w:r>
        <w:rPr>
          <w:rFonts w:hint="eastAsia" w:ascii="仿宋" w:hAnsi="仿宋" w:eastAsia="仿宋" w:cs="仿宋"/>
          <w:kern w:val="0"/>
          <w:sz w:val="24"/>
          <w:szCs w:val="24"/>
          <w:shd w:val="clear" w:color="auto" w:fill="FFFFFF"/>
          <w:lang w:val="en-US" w:eastAsia="zh-CN" w:bidi="ar"/>
        </w:rPr>
        <w:t>无实体地点，以邮件为准。</w:t>
      </w:r>
    </w:p>
    <w:p w14:paraId="21E9EA44">
      <w:pPr>
        <w:widowControl/>
        <w:shd w:val="clear" w:color="auto" w:fill="FFFFFF"/>
        <w:spacing w:line="273" w:lineRule="atLeast"/>
        <w:ind w:firstLine="480"/>
        <w:jc w:val="left"/>
        <w:rPr>
          <w:rFonts w:ascii="Helvetica" w:hAnsi="Helvetica" w:eastAsia="Helvetica" w:cs="Helvetica"/>
          <w:szCs w:val="21"/>
        </w:rPr>
      </w:pPr>
      <w:r>
        <w:rPr>
          <w:rFonts w:hint="eastAsia" w:ascii="仿宋" w:hAnsi="仿宋" w:eastAsia="仿宋" w:cs="仿宋"/>
          <w:kern w:val="0"/>
          <w:sz w:val="24"/>
          <w:szCs w:val="24"/>
          <w:shd w:val="clear" w:color="auto" w:fill="FFFFFF"/>
          <w:lang w:bidi="ar"/>
        </w:rPr>
        <w:t>5.3领取方式：邮件获取。</w:t>
      </w:r>
    </w:p>
    <w:p w14:paraId="17741FA8">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5.4申请招标文件的供应商</w:t>
      </w:r>
      <w:r>
        <w:rPr>
          <w:rFonts w:hint="eastAsia" w:ascii="仿宋" w:hAnsi="仿宋" w:eastAsia="仿宋" w:cs="仿宋"/>
          <w:kern w:val="0"/>
          <w:sz w:val="24"/>
          <w:szCs w:val="24"/>
          <w:shd w:val="clear" w:color="auto" w:fill="FFFFFF"/>
          <w:lang w:val="en-US" w:eastAsia="zh-CN" w:bidi="ar"/>
        </w:rPr>
        <w:t>应</w:t>
      </w:r>
      <w:r>
        <w:rPr>
          <w:rFonts w:hint="eastAsia" w:ascii="仿宋" w:hAnsi="仿宋" w:eastAsia="仿宋" w:cs="仿宋"/>
          <w:kern w:val="0"/>
          <w:sz w:val="24"/>
          <w:szCs w:val="24"/>
          <w:shd w:val="clear" w:color="auto" w:fill="FFFFFF"/>
          <w:lang w:bidi="ar"/>
        </w:rPr>
        <w:t>将</w:t>
      </w:r>
      <w:r>
        <w:rPr>
          <w:rFonts w:hint="eastAsia" w:ascii="仿宋" w:hAnsi="仿宋" w:eastAsia="仿宋" w:cs="仿宋"/>
          <w:kern w:val="0"/>
          <w:sz w:val="24"/>
          <w:szCs w:val="24"/>
          <w:shd w:val="clear" w:color="auto" w:fill="FFFFFF"/>
          <w:lang w:val="en-US" w:eastAsia="zh-CN" w:bidi="ar"/>
        </w:rPr>
        <w:t>以下说明的资质等材料发送至邮箱，经预审报名材料审核通过后，将以邮件</w:t>
      </w:r>
      <w:r>
        <w:rPr>
          <w:rFonts w:hint="eastAsia" w:ascii="仿宋" w:hAnsi="仿宋" w:eastAsia="仿宋" w:cs="仿宋"/>
          <w:kern w:val="0"/>
          <w:sz w:val="24"/>
          <w:szCs w:val="24"/>
          <w:shd w:val="clear" w:color="auto" w:fill="FFFFFF"/>
          <w:lang w:bidi="ar"/>
        </w:rPr>
        <w:t>方式回复标书模板至报名邮箱。 </w:t>
      </w:r>
      <w:r>
        <w:rPr>
          <w:rFonts w:ascii="Calibri" w:hAnsi="Calibri" w:eastAsia="Helvetica" w:cs="Calibri"/>
          <w:kern w:val="0"/>
          <w:sz w:val="24"/>
          <w:szCs w:val="24"/>
          <w:shd w:val="clear" w:color="auto" w:fill="FFFFFF"/>
          <w:lang w:bidi="ar"/>
        </w:rPr>
        <w:t> </w:t>
      </w:r>
    </w:p>
    <w:p w14:paraId="3218985D">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5.4.1</w:t>
      </w:r>
      <w:r>
        <w:rPr>
          <w:rFonts w:hint="eastAsia" w:ascii="仿宋" w:hAnsi="仿宋" w:eastAsia="仿宋" w:cs="仿宋"/>
          <w:kern w:val="0"/>
          <w:sz w:val="24"/>
          <w:szCs w:val="24"/>
          <w:shd w:val="clear" w:color="auto" w:fill="FFFFFF"/>
          <w:lang w:bidi="ar"/>
        </w:rPr>
        <w:t>营业执照副本（复印件）</w:t>
      </w:r>
    </w:p>
    <w:p w14:paraId="72F846F2">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5.4.2</w:t>
      </w:r>
      <w:r>
        <w:rPr>
          <w:rFonts w:hint="eastAsia" w:ascii="仿宋" w:hAnsi="仿宋" w:eastAsia="仿宋" w:cs="仿宋"/>
          <w:kern w:val="0"/>
          <w:sz w:val="24"/>
          <w:szCs w:val="24"/>
          <w:shd w:val="clear" w:color="auto" w:fill="FFFFFF"/>
          <w:lang w:bidi="ar"/>
        </w:rPr>
        <w:t>法定代表人授权委托书（加盖公章及法人章原件）</w:t>
      </w:r>
    </w:p>
    <w:p w14:paraId="27A3185B">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5.4.3</w:t>
      </w:r>
      <w:r>
        <w:rPr>
          <w:rFonts w:hint="eastAsia" w:ascii="仿宋" w:hAnsi="仿宋" w:eastAsia="仿宋" w:cs="仿宋"/>
          <w:kern w:val="0"/>
          <w:sz w:val="24"/>
          <w:szCs w:val="24"/>
          <w:shd w:val="clear" w:color="auto" w:fill="FFFFFF"/>
          <w:lang w:bidi="ar"/>
        </w:rPr>
        <w:t>项目负责人</w:t>
      </w:r>
      <w:r>
        <w:rPr>
          <w:rFonts w:hint="eastAsia" w:ascii="仿宋" w:hAnsi="仿宋" w:eastAsia="仿宋" w:cs="仿宋"/>
          <w:kern w:val="0"/>
          <w:sz w:val="24"/>
          <w:szCs w:val="24"/>
          <w:shd w:val="clear" w:color="auto" w:fill="FFFFFF"/>
          <w:lang w:val="en-US" w:eastAsia="zh-CN" w:bidi="ar"/>
        </w:rPr>
        <w:t>姓名及</w:t>
      </w:r>
      <w:r>
        <w:rPr>
          <w:rFonts w:hint="eastAsia" w:ascii="仿宋" w:hAnsi="仿宋" w:eastAsia="仿宋" w:cs="仿宋"/>
          <w:kern w:val="0"/>
          <w:sz w:val="24"/>
          <w:szCs w:val="24"/>
          <w:shd w:val="clear" w:color="auto" w:fill="FFFFFF"/>
          <w:lang w:bidi="ar"/>
        </w:rPr>
        <w:t>联系方式</w:t>
      </w:r>
    </w:p>
    <w:p w14:paraId="77EEA1A4">
      <w:pPr>
        <w:widowControl/>
        <w:shd w:val="clear" w:color="auto" w:fill="FFFFFF"/>
        <w:spacing w:line="273" w:lineRule="atLeast"/>
        <w:ind w:firstLine="480"/>
        <w:jc w:val="left"/>
        <w:textAlignment w:val="baseline"/>
        <w:rPr>
          <w:rFonts w:hint="eastAsia" w:ascii="仿宋" w:hAnsi="仿宋" w:eastAsia="仿宋" w:cs="仿宋"/>
          <w:kern w:val="0"/>
          <w:sz w:val="24"/>
          <w:szCs w:val="24"/>
          <w:shd w:val="clear" w:color="auto" w:fill="FFFFFF"/>
          <w:lang w:bidi="ar"/>
        </w:rPr>
      </w:pPr>
      <w:r>
        <w:rPr>
          <w:rFonts w:hint="eastAsia" w:ascii="仿宋" w:hAnsi="仿宋" w:eastAsia="仿宋" w:cs="仿宋"/>
          <w:kern w:val="0"/>
          <w:sz w:val="24"/>
          <w:szCs w:val="24"/>
          <w:shd w:val="clear" w:color="auto" w:fill="FFFFFF"/>
          <w:lang w:val="en-US" w:eastAsia="zh-CN" w:bidi="ar"/>
        </w:rPr>
        <w:t>5.4.4近两年财务报告（2023、2024均应提供），如供应商未聘请外部审计机构，应提供加盖公章的财务报表及加盖公章的未经审计说明</w:t>
      </w:r>
    </w:p>
    <w:p w14:paraId="6E1EA2DD">
      <w:pPr>
        <w:widowControl/>
        <w:shd w:val="clear" w:color="auto" w:fill="FFFFFF"/>
        <w:spacing w:line="273" w:lineRule="atLeast"/>
        <w:ind w:firstLine="480"/>
        <w:jc w:val="left"/>
        <w:rPr>
          <w:rFonts w:hint="eastAsia"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5.4.5投标人近三年在国家企业信用信息公示系统中无行政处罚记录和未被列入经营异常名录证明</w:t>
      </w:r>
    </w:p>
    <w:p w14:paraId="095C5FEE">
      <w:pPr>
        <w:widowControl/>
        <w:shd w:val="clear" w:color="auto" w:fill="FFFFFF"/>
        <w:spacing w:line="273" w:lineRule="atLeast"/>
        <w:ind w:firstLine="480"/>
        <w:jc w:val="left"/>
        <w:rPr>
          <w:rFonts w:hint="default" w:ascii="仿宋" w:hAnsi="仿宋" w:eastAsia="仿宋" w:cs="仿宋"/>
          <w:kern w:val="0"/>
          <w:sz w:val="24"/>
          <w:szCs w:val="24"/>
          <w:shd w:val="clear" w:color="auto" w:fill="FFFFFF"/>
          <w:lang w:val="en-US" w:eastAsia="zh-CN" w:bidi="ar"/>
        </w:rPr>
      </w:pPr>
      <w:r>
        <w:rPr>
          <w:rFonts w:hint="eastAsia" w:ascii="仿宋" w:hAnsi="仿宋" w:eastAsia="仿宋" w:cs="仿宋"/>
          <w:kern w:val="0"/>
          <w:sz w:val="24"/>
          <w:szCs w:val="24"/>
          <w:shd w:val="clear" w:color="auto" w:fill="FFFFFF"/>
          <w:lang w:val="en-US" w:eastAsia="zh-CN" w:bidi="ar"/>
        </w:rPr>
        <w:t>5.4.6</w:t>
      </w:r>
      <w:r>
        <w:rPr>
          <w:rFonts w:hint="eastAsia" w:ascii="仿宋" w:hAnsi="仿宋" w:eastAsia="仿宋" w:cs="仿宋"/>
          <w:b w:val="0"/>
          <w:bCs w:val="0"/>
          <w:kern w:val="0"/>
          <w:sz w:val="24"/>
          <w:szCs w:val="24"/>
          <w:u w:val="none"/>
          <w:shd w:val="clear" w:color="auto" w:fill="FFFFFF"/>
          <w:lang w:val="en-US" w:eastAsia="zh-CN" w:bidi="ar"/>
        </w:rPr>
        <w:t>金融行业（保险、银行、证券）的税务咨询或税务健康检查服务案例，需提供合同复印件加盖投标单位公章</w:t>
      </w:r>
    </w:p>
    <w:p w14:paraId="4D4AB107">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（6）、投标文件的递交</w:t>
      </w:r>
    </w:p>
    <w:p w14:paraId="2CB0594B">
      <w:pPr>
        <w:widowControl/>
        <w:shd w:val="clear" w:color="auto" w:fill="FFFFFF"/>
        <w:spacing w:line="273" w:lineRule="atLeast"/>
        <w:ind w:firstLine="480"/>
        <w:jc w:val="left"/>
        <w:textAlignment w:val="baseline"/>
        <w:rPr>
          <w:rFonts w:hint="default" w:ascii="Helvetica" w:hAnsi="Helvetica" w:eastAsia="仿宋" w:cs="Helvetica"/>
          <w:szCs w:val="21"/>
          <w:lang w:val="en-US" w:eastAsia="zh-CN"/>
        </w:rPr>
      </w:pPr>
      <w:r>
        <w:rPr>
          <w:rFonts w:hint="eastAsia" w:ascii="仿宋" w:hAnsi="仿宋" w:eastAsia="仿宋" w:cs="仿宋"/>
          <w:kern w:val="0"/>
          <w:sz w:val="24"/>
          <w:szCs w:val="24"/>
          <w:shd w:val="clear" w:color="auto" w:fill="FFFFFF"/>
          <w:lang w:bidi="ar"/>
        </w:rPr>
        <w:t>6.1递交投标文件的截止时间为：即投标截止时间</w:t>
      </w:r>
      <w:r>
        <w:rPr>
          <w:rFonts w:hint="eastAsia" w:ascii="仿宋" w:hAnsi="仿宋" w:eastAsia="仿宋" w:cs="仿宋"/>
          <w:kern w:val="0"/>
          <w:sz w:val="24"/>
          <w:szCs w:val="24"/>
          <w:shd w:val="clear" w:color="auto" w:fill="FFFFFF"/>
          <w:lang w:eastAsia="zh-CN" w:bidi="ar"/>
        </w:rPr>
        <w:t>（</w:t>
      </w:r>
      <w:r>
        <w:rPr>
          <w:rFonts w:hint="eastAsia" w:ascii="仿宋" w:hAnsi="仿宋" w:eastAsia="仿宋" w:cs="仿宋"/>
          <w:kern w:val="0"/>
          <w:sz w:val="24"/>
          <w:szCs w:val="24"/>
          <w:shd w:val="clear" w:color="auto" w:fill="FFFFFF"/>
          <w:lang w:val="en-US" w:eastAsia="zh-CN" w:bidi="ar"/>
        </w:rPr>
        <w:t>通过资质预审后详见招标书）</w:t>
      </w:r>
    </w:p>
    <w:p w14:paraId="453E3F84">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投标文件递交地点：</w:t>
      </w:r>
    </w:p>
    <w:p w14:paraId="76488021">
      <w:pPr>
        <w:widowControl/>
        <w:shd w:val="clear" w:color="auto" w:fill="FFFFFF"/>
        <w:spacing w:line="273" w:lineRule="atLeast"/>
        <w:ind w:firstLine="482"/>
        <w:jc w:val="left"/>
        <w:textAlignment w:val="baseline"/>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6.1.1一正二副一电子版</w:t>
      </w:r>
      <w:r>
        <w:rPr>
          <w:rFonts w:hint="eastAsia" w:ascii="仿宋" w:hAnsi="仿宋" w:eastAsia="仿宋" w:cs="仿宋"/>
          <w:b/>
          <w:bCs/>
          <w:kern w:val="0"/>
          <w:sz w:val="24"/>
          <w:szCs w:val="24"/>
          <w:shd w:val="clear" w:color="auto" w:fill="FFFFFF"/>
          <w:lang w:eastAsia="zh-CN" w:bidi="ar"/>
        </w:rPr>
        <w:t>（</w:t>
      </w:r>
      <w:r>
        <w:rPr>
          <w:rFonts w:hint="eastAsia" w:ascii="仿宋" w:hAnsi="仿宋" w:eastAsia="仿宋" w:cs="仿宋"/>
          <w:b/>
          <w:bCs/>
          <w:kern w:val="0"/>
          <w:sz w:val="24"/>
          <w:szCs w:val="24"/>
          <w:shd w:val="clear" w:color="auto" w:fill="FFFFFF"/>
          <w:lang w:val="en-US" w:eastAsia="zh-CN" w:bidi="ar"/>
        </w:rPr>
        <w:t>电子版投标文件不得加密）</w:t>
      </w:r>
      <w:r>
        <w:rPr>
          <w:rFonts w:hint="eastAsia" w:ascii="仿宋" w:hAnsi="仿宋" w:eastAsia="仿宋" w:cs="仿宋"/>
          <w:b/>
          <w:bCs/>
          <w:kern w:val="0"/>
          <w:sz w:val="24"/>
          <w:szCs w:val="24"/>
          <w:shd w:val="clear" w:color="auto" w:fill="FFFFFF"/>
          <w:lang w:bidi="ar"/>
        </w:rPr>
        <w:t>邮寄地址：大连市沙河口区体坛路22号诺德大厦2F</w:t>
      </w:r>
    </w:p>
    <w:p w14:paraId="3FF56BA8">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w:t>
      </w:r>
      <w:r>
        <w:rPr>
          <w:rFonts w:hint="eastAsia" w:ascii="仿宋" w:hAnsi="仿宋" w:eastAsia="仿宋" w:cs="仿宋"/>
          <w:kern w:val="0"/>
          <w:sz w:val="24"/>
          <w:szCs w:val="24"/>
          <w:shd w:val="clear" w:color="auto" w:fill="FFFFFF"/>
          <w:lang w:val="en-US" w:eastAsia="zh-CN" w:bidi="ar"/>
        </w:rPr>
        <w:t>2</w:t>
      </w:r>
      <w:r>
        <w:rPr>
          <w:rFonts w:hint="eastAsia" w:ascii="仿宋" w:hAnsi="仿宋" w:eastAsia="仿宋" w:cs="仿宋"/>
          <w:kern w:val="0"/>
          <w:sz w:val="24"/>
          <w:szCs w:val="24"/>
          <w:shd w:val="clear" w:color="auto" w:fill="FFFFFF"/>
          <w:lang w:bidi="ar"/>
        </w:rPr>
        <w:t>出现以下情形之一时，招标人/招标代理机构不予接收投标文件：</w:t>
      </w:r>
    </w:p>
    <w:p w14:paraId="7D5F0A95">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w:t>
      </w:r>
      <w:r>
        <w:rPr>
          <w:rFonts w:hint="eastAsia" w:ascii="仿宋" w:hAnsi="仿宋" w:eastAsia="仿宋" w:cs="仿宋"/>
          <w:kern w:val="0"/>
          <w:sz w:val="24"/>
          <w:szCs w:val="24"/>
          <w:shd w:val="clear" w:color="auto" w:fill="FFFFFF"/>
          <w:lang w:val="en-US" w:eastAsia="zh-CN" w:bidi="ar"/>
        </w:rPr>
        <w:t>2</w:t>
      </w:r>
      <w:r>
        <w:rPr>
          <w:rFonts w:hint="eastAsia" w:ascii="仿宋" w:hAnsi="仿宋" w:eastAsia="仿宋" w:cs="仿宋"/>
          <w:kern w:val="0"/>
          <w:sz w:val="24"/>
          <w:szCs w:val="24"/>
          <w:shd w:val="clear" w:color="auto" w:fill="FFFFFF"/>
          <w:lang w:bidi="ar"/>
        </w:rPr>
        <w:t>.1</w:t>
      </w:r>
      <w:r>
        <w:rPr>
          <w:rFonts w:ascii="Calibri" w:hAnsi="Calibri" w:eastAsia="Helvetica" w:cs="Calibri"/>
          <w:kern w:val="0"/>
          <w:sz w:val="24"/>
          <w:szCs w:val="24"/>
          <w:shd w:val="clear" w:color="auto" w:fill="FFFFFF"/>
          <w:lang w:bidi="ar"/>
        </w:rPr>
        <w:t>  </w:t>
      </w:r>
      <w:r>
        <w:rPr>
          <w:rFonts w:hint="eastAsia" w:ascii="仿宋" w:hAnsi="仿宋" w:eastAsia="仿宋" w:cs="仿宋"/>
          <w:kern w:val="0"/>
          <w:sz w:val="24"/>
          <w:szCs w:val="24"/>
          <w:shd w:val="clear" w:color="auto" w:fill="FFFFFF"/>
          <w:lang w:bidi="ar"/>
        </w:rPr>
        <w:t>逾期送达或者未送达指定地点的；</w:t>
      </w:r>
    </w:p>
    <w:p w14:paraId="2941ED50">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w:t>
      </w:r>
      <w:r>
        <w:rPr>
          <w:rFonts w:hint="eastAsia" w:ascii="仿宋" w:hAnsi="仿宋" w:eastAsia="仿宋" w:cs="仿宋"/>
          <w:kern w:val="0"/>
          <w:sz w:val="24"/>
          <w:szCs w:val="24"/>
          <w:shd w:val="clear" w:color="auto" w:fill="FFFFFF"/>
          <w:lang w:val="en-US" w:eastAsia="zh-CN" w:bidi="ar"/>
        </w:rPr>
        <w:t>2</w:t>
      </w:r>
      <w:r>
        <w:rPr>
          <w:rFonts w:hint="eastAsia" w:ascii="仿宋" w:hAnsi="仿宋" w:eastAsia="仿宋" w:cs="仿宋"/>
          <w:kern w:val="0"/>
          <w:sz w:val="24"/>
          <w:szCs w:val="24"/>
          <w:shd w:val="clear" w:color="auto" w:fill="FFFFFF"/>
          <w:lang w:bidi="ar"/>
        </w:rPr>
        <w:t>.2</w:t>
      </w:r>
      <w:r>
        <w:rPr>
          <w:rFonts w:ascii="Calibri" w:hAnsi="Calibri" w:eastAsia="Helvetica" w:cs="Calibri"/>
          <w:kern w:val="0"/>
          <w:sz w:val="24"/>
          <w:szCs w:val="24"/>
          <w:shd w:val="clear" w:color="auto" w:fill="FFFFFF"/>
          <w:lang w:bidi="ar"/>
        </w:rPr>
        <w:t>  </w:t>
      </w:r>
      <w:r>
        <w:rPr>
          <w:rFonts w:hint="eastAsia" w:ascii="仿宋" w:hAnsi="仿宋" w:eastAsia="仿宋" w:cs="仿宋"/>
          <w:kern w:val="0"/>
          <w:sz w:val="24"/>
          <w:szCs w:val="24"/>
          <w:shd w:val="clear" w:color="auto" w:fill="FFFFFF"/>
          <w:lang w:bidi="ar"/>
        </w:rPr>
        <w:t>未按照招标文件要求密封的；</w:t>
      </w:r>
    </w:p>
    <w:p w14:paraId="198F6999">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6.</w:t>
      </w:r>
      <w:r>
        <w:rPr>
          <w:rFonts w:hint="eastAsia" w:ascii="仿宋" w:hAnsi="仿宋" w:eastAsia="仿宋" w:cs="仿宋"/>
          <w:kern w:val="0"/>
          <w:sz w:val="24"/>
          <w:szCs w:val="24"/>
          <w:shd w:val="clear" w:color="auto" w:fill="FFFFFF"/>
          <w:lang w:val="en-US" w:eastAsia="zh-CN" w:bidi="ar"/>
        </w:rPr>
        <w:t>2</w:t>
      </w:r>
      <w:r>
        <w:rPr>
          <w:rFonts w:hint="eastAsia" w:ascii="仿宋" w:hAnsi="仿宋" w:eastAsia="仿宋" w:cs="仿宋"/>
          <w:kern w:val="0"/>
          <w:sz w:val="24"/>
          <w:szCs w:val="24"/>
          <w:shd w:val="clear" w:color="auto" w:fill="FFFFFF"/>
          <w:lang w:bidi="ar"/>
        </w:rPr>
        <w:t>.3</w:t>
      </w:r>
      <w:r>
        <w:rPr>
          <w:rFonts w:ascii="Calibri" w:hAnsi="Calibri" w:eastAsia="Helvetica" w:cs="Calibri"/>
          <w:kern w:val="0"/>
          <w:sz w:val="24"/>
          <w:szCs w:val="24"/>
          <w:shd w:val="clear" w:color="auto" w:fill="FFFFFF"/>
          <w:lang w:bidi="ar"/>
        </w:rPr>
        <w:t>  </w:t>
      </w:r>
      <w:r>
        <w:rPr>
          <w:rFonts w:hint="eastAsia" w:ascii="仿宋" w:hAnsi="仿宋" w:eastAsia="仿宋" w:cs="仿宋"/>
          <w:kern w:val="0"/>
          <w:sz w:val="24"/>
          <w:szCs w:val="24"/>
          <w:shd w:val="clear" w:color="auto" w:fill="FFFFFF"/>
          <w:lang w:bidi="ar"/>
        </w:rPr>
        <w:t>未按照本公告要求获得本项目招标文件的。</w:t>
      </w:r>
    </w:p>
    <w:p w14:paraId="42BC9F15">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（7）、联系方式</w:t>
      </w:r>
    </w:p>
    <w:p w14:paraId="0FE95CCC">
      <w:pPr>
        <w:widowControl/>
        <w:shd w:val="clear" w:color="auto" w:fill="FFFFFF"/>
        <w:spacing w:line="273" w:lineRule="atLeast"/>
        <w:ind w:firstLine="482"/>
        <w:jc w:val="left"/>
        <w:textAlignment w:val="baseline"/>
        <w:rPr>
          <w:rFonts w:hint="eastAsia" w:ascii="仿宋" w:hAnsi="仿宋" w:eastAsia="仿宋" w:cs="仿宋"/>
          <w:b/>
          <w:bCs/>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招标人：百年人寿保险股份有限公司</w:t>
      </w:r>
    </w:p>
    <w:p w14:paraId="69E16F25">
      <w:pPr>
        <w:widowControl/>
        <w:shd w:val="clear" w:color="auto" w:fill="FFFFFF"/>
        <w:spacing w:line="273" w:lineRule="atLeast"/>
        <w:ind w:firstLine="482"/>
        <w:jc w:val="left"/>
        <w:textAlignment w:val="baseline"/>
        <w:rPr>
          <w:rFonts w:hint="eastAsia" w:ascii="仿宋" w:hAnsi="仿宋" w:eastAsia="仿宋" w:cs="仿宋"/>
          <w:b/>
          <w:bCs/>
          <w:kern w:val="0"/>
          <w:sz w:val="24"/>
          <w:szCs w:val="24"/>
          <w:shd w:val="clear" w:color="auto" w:fill="FFFFFF"/>
          <w:lang w:bidi="ar"/>
        </w:rPr>
      </w:pPr>
      <w:r>
        <w:rPr>
          <w:rFonts w:hint="eastAsia" w:ascii="仿宋" w:hAnsi="仿宋" w:eastAsia="仿宋" w:cs="仿宋"/>
          <w:b/>
          <w:bCs/>
          <w:kern w:val="0"/>
          <w:sz w:val="24"/>
          <w:szCs w:val="24"/>
          <w:shd w:val="clear" w:color="auto" w:fill="FFFFFF"/>
          <w:lang w:bidi="ar"/>
        </w:rPr>
        <w:t>招标代理人：大连爱立方健康管理有限公司</w:t>
      </w:r>
    </w:p>
    <w:p w14:paraId="6B107B74">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联系人：吕先生</w:t>
      </w:r>
    </w:p>
    <w:p w14:paraId="6692D8B9">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地址：</w:t>
      </w:r>
      <w:r>
        <w:rPr>
          <w:rFonts w:hint="eastAsia" w:ascii="仿宋" w:hAnsi="仿宋" w:eastAsia="仿宋" w:cs="仿宋"/>
          <w:b/>
          <w:bCs/>
          <w:kern w:val="0"/>
          <w:sz w:val="24"/>
          <w:szCs w:val="24"/>
          <w:shd w:val="clear" w:color="auto" w:fill="FFFFFF"/>
          <w:lang w:bidi="ar"/>
        </w:rPr>
        <w:t>大连市沙河口区体坛路22号诺德大厦2F</w:t>
      </w:r>
    </w:p>
    <w:p w14:paraId="7FB5FC9D">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联系电话：13342277326、0411-39875136</w:t>
      </w:r>
    </w:p>
    <w:p w14:paraId="3CF4BCE8">
      <w:pPr>
        <w:widowControl/>
        <w:shd w:val="clear" w:color="auto" w:fill="FFFFFF"/>
        <w:spacing w:line="420" w:lineRule="atLeast"/>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（8）、其他说明</w:t>
      </w:r>
    </w:p>
    <w:p w14:paraId="67EF4856">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8.1领取招标文件后，投标人不得无故放弃参加本项目。若确有实际原因不能参加本项目，请最迟在</w:t>
      </w:r>
      <w:r>
        <w:rPr>
          <w:rFonts w:hint="eastAsia" w:ascii="仿宋" w:hAnsi="仿宋" w:eastAsia="仿宋" w:cs="仿宋"/>
          <w:kern w:val="0"/>
          <w:sz w:val="24"/>
          <w:szCs w:val="24"/>
          <w:u w:val="single"/>
          <w:shd w:val="clear" w:color="auto" w:fill="FFFFFF"/>
          <w:lang w:bidi="ar"/>
        </w:rPr>
        <w:t>本项目递交投标文件截止时间3天前</w:t>
      </w:r>
      <w:r>
        <w:rPr>
          <w:rFonts w:hint="eastAsia" w:ascii="仿宋" w:hAnsi="仿宋" w:eastAsia="仿宋" w:cs="仿宋"/>
          <w:kern w:val="0"/>
          <w:sz w:val="24"/>
          <w:szCs w:val="24"/>
          <w:shd w:val="clear" w:color="auto" w:fill="FFFFFF"/>
          <w:lang w:bidi="ar"/>
        </w:rPr>
        <w:t>以书面方式通知（加盖公章的扫描件发送至邮件）。</w:t>
      </w:r>
    </w:p>
    <w:p w14:paraId="7014B9A9">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8.2投标人应承担参加本项目相关的所有费用。不论本项目的结果如何，招标人均无义务和责任承担这些费用。</w:t>
      </w:r>
    </w:p>
    <w:p w14:paraId="02ACFA4F">
      <w:pPr>
        <w:widowControl/>
        <w:shd w:val="clear" w:color="auto" w:fill="FFFFFF"/>
        <w:spacing w:line="273" w:lineRule="atLeast"/>
        <w:ind w:firstLine="426"/>
        <w:jc w:val="left"/>
        <w:rPr>
          <w:rFonts w:ascii="Helvetica" w:hAnsi="Helvetica" w:eastAsia="Helvetica" w:cs="Helvetica"/>
          <w:szCs w:val="21"/>
        </w:rPr>
      </w:pPr>
      <w:r>
        <w:rPr>
          <w:rFonts w:hint="eastAsia" w:ascii="仿宋" w:hAnsi="仿宋" w:eastAsia="仿宋" w:cs="仿宋"/>
          <w:b/>
          <w:bCs/>
          <w:kern w:val="0"/>
          <w:sz w:val="24"/>
          <w:szCs w:val="24"/>
          <w:shd w:val="clear" w:color="auto" w:fill="FFFFFF"/>
          <w:lang w:bidi="ar"/>
        </w:rPr>
        <w:t>※特别说明：根据《转发辽宁省财政厅关于公布2018-2019年度辽宁省政府集中采购目录及采购限额标准的通知》（大财采【2017】1016号）规定，本项目属于自行采购的项目，应由采购单位自行组织采购，不纳入财政部门监管范围，不属于政府采购项目。凡涉及与自行采购项目有关的询问、质疑、投诉、举报等事宜，相关供应商应向代理机构（如有）、采购单位或其上级行政主管部门反映情况。</w:t>
      </w:r>
    </w:p>
    <w:p w14:paraId="2ADBB9AB">
      <w:pPr>
        <w:widowControl/>
        <w:shd w:val="clear" w:color="auto" w:fill="FFFFFF"/>
        <w:spacing w:line="273" w:lineRule="atLeast"/>
        <w:ind w:firstLine="480"/>
        <w:jc w:val="left"/>
        <w:textAlignment w:val="baseline"/>
        <w:rPr>
          <w:rFonts w:ascii="Helvetica" w:hAnsi="Helvetica" w:eastAsia="Helvetica" w:cs="Helvetica"/>
          <w:szCs w:val="21"/>
        </w:rPr>
      </w:pPr>
      <w:r>
        <w:rPr>
          <w:rFonts w:hint="eastAsia" w:ascii="仿宋" w:hAnsi="仿宋" w:eastAsia="仿宋" w:cs="仿宋"/>
          <w:kern w:val="0"/>
          <w:sz w:val="24"/>
          <w:szCs w:val="24"/>
          <w:shd w:val="clear" w:color="auto" w:fill="FFFFFF"/>
          <w:lang w:bidi="ar"/>
        </w:rPr>
        <w:t>招标人：百年人寿保险股份有限公司</w:t>
      </w:r>
    </w:p>
    <w:p w14:paraId="0C348F03">
      <w:pPr>
        <w:widowControl/>
        <w:shd w:val="clear" w:color="auto" w:fill="FFFFFF"/>
        <w:spacing w:line="273" w:lineRule="atLeast"/>
        <w:jc w:val="left"/>
        <w:rPr>
          <w:rFonts w:hint="eastAsia"/>
        </w:rPr>
      </w:pPr>
      <w:r>
        <w:rPr>
          <w:rFonts w:hint="eastAsia" w:ascii="仿宋" w:hAnsi="仿宋" w:eastAsia="仿宋" w:cs="仿宋"/>
          <w:kern w:val="0"/>
          <w:sz w:val="24"/>
          <w:szCs w:val="24"/>
          <w:shd w:val="clear" w:color="auto" w:fill="FFFFFF"/>
          <w:lang w:bidi="ar"/>
        </w:rPr>
        <w:t>            2025年</w:t>
      </w:r>
      <w:r>
        <w:rPr>
          <w:rFonts w:hint="eastAsia" w:ascii="仿宋" w:hAnsi="仿宋" w:eastAsia="仿宋" w:cs="仿宋"/>
          <w:kern w:val="0"/>
          <w:sz w:val="24"/>
          <w:szCs w:val="24"/>
          <w:shd w:val="clear" w:color="auto" w:fill="FFFFFF"/>
          <w:lang w:val="en-US" w:eastAsia="zh-CN" w:bidi="ar"/>
        </w:rPr>
        <w:t>8</w:t>
      </w:r>
      <w:r>
        <w:rPr>
          <w:rFonts w:hint="eastAsia" w:ascii="仿宋" w:hAnsi="仿宋" w:eastAsia="仿宋" w:cs="仿宋"/>
          <w:kern w:val="0"/>
          <w:sz w:val="24"/>
          <w:szCs w:val="24"/>
          <w:shd w:val="clear" w:color="auto" w:fill="FFFFFF"/>
          <w:lang w:bidi="ar"/>
        </w:rPr>
        <w:t>月</w:t>
      </w:r>
      <w:r>
        <w:rPr>
          <w:rFonts w:hint="eastAsia" w:ascii="仿宋" w:hAnsi="仿宋" w:eastAsia="仿宋" w:cs="仿宋"/>
          <w:kern w:val="0"/>
          <w:sz w:val="24"/>
          <w:szCs w:val="24"/>
          <w:shd w:val="clear" w:color="auto" w:fill="FFFFFF"/>
          <w:lang w:val="en-US" w:eastAsia="zh-CN" w:bidi="ar"/>
        </w:rPr>
        <w:t>18</w:t>
      </w:r>
      <w:r>
        <w:rPr>
          <w:rFonts w:hint="eastAsia" w:ascii="仿宋" w:hAnsi="仿宋" w:eastAsia="仿宋" w:cs="仿宋"/>
          <w:kern w:val="0"/>
          <w:sz w:val="24"/>
          <w:szCs w:val="24"/>
          <w:shd w:val="clear" w:color="auto" w:fill="FFFFFF"/>
          <w:lang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hNGI4NTVmNTUzYzQ1OTBmOTQ1ZDY4YWI3YThhMTUifQ=="/>
  </w:docVars>
  <w:rsids>
    <w:rsidRoot w:val="000941A1"/>
    <w:rsid w:val="000941A1"/>
    <w:rsid w:val="001C6014"/>
    <w:rsid w:val="00311403"/>
    <w:rsid w:val="003728CE"/>
    <w:rsid w:val="003763B6"/>
    <w:rsid w:val="003B3ED1"/>
    <w:rsid w:val="007E33EB"/>
    <w:rsid w:val="008529D7"/>
    <w:rsid w:val="00D26D9F"/>
    <w:rsid w:val="00D61A3A"/>
    <w:rsid w:val="00DB6668"/>
    <w:rsid w:val="04151023"/>
    <w:rsid w:val="06BF3F53"/>
    <w:rsid w:val="08F35116"/>
    <w:rsid w:val="09D80AD3"/>
    <w:rsid w:val="0C1B5A9E"/>
    <w:rsid w:val="0CDB1DC5"/>
    <w:rsid w:val="0FD3485E"/>
    <w:rsid w:val="116C3A55"/>
    <w:rsid w:val="11817653"/>
    <w:rsid w:val="126D7095"/>
    <w:rsid w:val="169A78CA"/>
    <w:rsid w:val="17530574"/>
    <w:rsid w:val="1B284259"/>
    <w:rsid w:val="1B371328"/>
    <w:rsid w:val="2114528A"/>
    <w:rsid w:val="26331017"/>
    <w:rsid w:val="2A88034A"/>
    <w:rsid w:val="2E3A2F02"/>
    <w:rsid w:val="32985CB1"/>
    <w:rsid w:val="34FF745B"/>
    <w:rsid w:val="35570927"/>
    <w:rsid w:val="359462C1"/>
    <w:rsid w:val="388A1EF2"/>
    <w:rsid w:val="3B98045A"/>
    <w:rsid w:val="3C472FAC"/>
    <w:rsid w:val="3D803103"/>
    <w:rsid w:val="41061935"/>
    <w:rsid w:val="417F7261"/>
    <w:rsid w:val="4651711C"/>
    <w:rsid w:val="472F082D"/>
    <w:rsid w:val="49F40F24"/>
    <w:rsid w:val="4DD3292B"/>
    <w:rsid w:val="4E3E0EF8"/>
    <w:rsid w:val="50512320"/>
    <w:rsid w:val="526861E8"/>
    <w:rsid w:val="543744C9"/>
    <w:rsid w:val="55654C60"/>
    <w:rsid w:val="565C13C1"/>
    <w:rsid w:val="57FC7308"/>
    <w:rsid w:val="59587BE8"/>
    <w:rsid w:val="5B1213E7"/>
    <w:rsid w:val="5B44356A"/>
    <w:rsid w:val="5B9D0B7E"/>
    <w:rsid w:val="5C5872CD"/>
    <w:rsid w:val="5C612A23"/>
    <w:rsid w:val="5D0E3E30"/>
    <w:rsid w:val="5D7D4F78"/>
    <w:rsid w:val="64E77440"/>
    <w:rsid w:val="679B2764"/>
    <w:rsid w:val="6C0E1756"/>
    <w:rsid w:val="6FE95CFA"/>
    <w:rsid w:val="70A37328"/>
    <w:rsid w:val="727E5B59"/>
    <w:rsid w:val="731A258E"/>
    <w:rsid w:val="76F21CBB"/>
    <w:rsid w:val="771B22FF"/>
    <w:rsid w:val="77B41AD9"/>
    <w:rsid w:val="793D1D39"/>
    <w:rsid w:val="7DE25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2 字符"/>
    <w:basedOn w:val="7"/>
    <w:link w:val="2"/>
    <w:qFormat/>
    <w:uiPriority w:val="9"/>
    <w:rPr>
      <w:rFonts w:ascii="宋体" w:hAnsi="宋体" w:eastAsia="宋体" w:cs="宋体"/>
      <w:b/>
      <w:bCs/>
      <w:kern w:val="0"/>
      <w:sz w:val="36"/>
      <w:szCs w:val="36"/>
    </w:rPr>
  </w:style>
  <w:style w:type="character" w:customStyle="1" w:styleId="12">
    <w:name w:val="font31"/>
    <w:basedOn w:val="7"/>
    <w:qFormat/>
    <w:uiPriority w:val="0"/>
    <w:rPr>
      <w:rFonts w:hint="eastAsia" w:ascii="宋体" w:hAnsi="宋体" w:eastAsia="宋体" w:cs="宋体"/>
      <w:color w:val="000000"/>
      <w:sz w:val="20"/>
      <w:szCs w:val="20"/>
      <w:u w:val="none"/>
    </w:rPr>
  </w:style>
  <w:style w:type="paragraph" w:customStyle="1" w:styleId="13">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4">
    <w:name w:val="font61"/>
    <w:basedOn w:val="7"/>
    <w:qFormat/>
    <w:uiPriority w:val="0"/>
    <w:rPr>
      <w:rFonts w:hint="eastAsia" w:ascii="宋体" w:hAnsi="宋体" w:eastAsia="宋体" w:cs="宋体"/>
      <w:color w:val="FF0000"/>
      <w:sz w:val="20"/>
      <w:szCs w:val="20"/>
      <w:u w:val="none"/>
    </w:rPr>
  </w:style>
  <w:style w:type="paragraph" w:customStyle="1" w:styleId="15">
    <w:name w:val="A正文"/>
    <w:basedOn w:val="1"/>
    <w:qFormat/>
    <w:uiPriority w:val="0"/>
    <w:pPr>
      <w:tabs>
        <w:tab w:val="left" w:pos="893"/>
      </w:tabs>
      <w:spacing w:line="360" w:lineRule="auto"/>
      <w:ind w:firstLine="480" w:firstLineChars="200"/>
    </w:pPr>
    <w:rPr>
      <w:snapToGrid w:val="0"/>
      <w:lang w:val="zh-CN"/>
    </w:rPr>
  </w:style>
  <w:style w:type="paragraph" w:styleId="1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2375</Words>
  <Characters>2661</Characters>
  <Lines>199</Lines>
  <Paragraphs>259</Paragraphs>
  <TotalTime>149</TotalTime>
  <ScaleCrop>false</ScaleCrop>
  <LinksUpToDate>false</LinksUpToDate>
  <CharactersWithSpaces>2684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2025-04-24T13:19:00Z</dcterms:created>
  <dc:creator>罗德惠</dc:creator>
  <cp:lastModifiedBy>爱立方</cp:lastModifiedBy>
  <dcterms:modified xsi:type="dcterms:W3CDTF">2025-08-18T01:58:54Z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E4084FB869D24F6AB3EE55C8C604DB47_12</vt:lpwstr>
  </property>
  <property fmtid="{D5CDD505-2E9C-101B-9397-08002B2CF9AE}" pid="4" name="KSOTemplateDocerSaveRecord">
    <vt:lpwstr>eyJoZGlkIjoiYzhhNGI4NTVmNTUzYzQ1OTBmOTQ1ZDY4YWI3YThhMTUiLCJ1c2VySWQiOiIxMjE4MjY4NzA3In0=</vt:lpwstr>
  </property>
</Properties>
</file>