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21E66D">
      <w:pPr>
        <w:pStyle w:val="3"/>
        <w:spacing w:before="0" w:beforeLines="0" w:after="0" w:afterLines="0" w:line="480" w:lineRule="auto"/>
        <w:rPr>
          <w:rFonts w:hint="eastAsia" w:ascii="仿宋" w:hAnsi="仿宋" w:cs="宋体"/>
          <w:color w:val="auto"/>
          <w:sz w:val="28"/>
          <w:szCs w:val="24"/>
        </w:rPr>
      </w:pPr>
      <w:bookmarkStart w:id="0" w:name="_Toc14796"/>
      <w:bookmarkEnd w:id="0"/>
      <w:bookmarkStart w:id="1" w:name="_Toc9649"/>
      <w:bookmarkEnd w:id="1"/>
      <w:bookmarkStart w:id="2" w:name="_Toc9208"/>
      <w:bookmarkEnd w:id="2"/>
      <w:bookmarkStart w:id="3" w:name="_Toc7914"/>
      <w:bookmarkEnd w:id="3"/>
      <w:bookmarkStart w:id="4" w:name="_Toc65682912"/>
      <w:bookmarkEnd w:id="4"/>
      <w:bookmarkStart w:id="5" w:name="_Toc10574"/>
      <w:bookmarkEnd w:id="5"/>
      <w:bookmarkStart w:id="6" w:name="_Toc10903"/>
      <w:bookmarkEnd w:id="6"/>
      <w:bookmarkStart w:id="7" w:name="_Toc17450"/>
      <w:bookmarkEnd w:id="7"/>
      <w:bookmarkStart w:id="8" w:name="_Toc109124222"/>
      <w:r>
        <w:rPr>
          <w:rFonts w:hint="eastAsia" w:ascii="仿宋" w:hAnsi="仿宋" w:cs="宋体"/>
          <w:color w:val="auto"/>
          <w:sz w:val="28"/>
          <w:szCs w:val="24"/>
        </w:rPr>
        <w:t>常州市分公司2026年至2028年法律服务律师库采购项目</w:t>
      </w:r>
      <w:bookmarkStart w:id="25" w:name="_GoBack"/>
      <w:bookmarkEnd w:id="25"/>
      <w:r>
        <w:rPr>
          <w:rFonts w:hint="eastAsia" w:ascii="仿宋" w:hAnsi="仿宋" w:cs="宋体"/>
          <w:color w:val="auto"/>
          <w:sz w:val="28"/>
          <w:szCs w:val="24"/>
        </w:rPr>
        <w:t>招标公告</w:t>
      </w:r>
      <w:bookmarkEnd w:id="8"/>
    </w:p>
    <w:p w14:paraId="3616E4C7">
      <w:pPr>
        <w:pStyle w:val="4"/>
        <w:rPr>
          <w:rFonts w:hint="eastAsia" w:ascii="仿宋" w:hAnsi="仿宋" w:eastAsia="仿宋" w:cs="宋体"/>
          <w:color w:val="auto"/>
          <w:sz w:val="24"/>
          <w:szCs w:val="24"/>
        </w:rPr>
      </w:pPr>
      <w:bookmarkStart w:id="9" w:name="_Toc15620"/>
      <w:bookmarkStart w:id="10" w:name="_Toc19812"/>
      <w:r>
        <w:rPr>
          <w:rFonts w:hint="eastAsia" w:ascii="仿宋" w:hAnsi="仿宋" w:eastAsia="仿宋" w:cs="宋体"/>
          <w:color w:val="auto"/>
          <w:sz w:val="24"/>
          <w:szCs w:val="24"/>
        </w:rPr>
        <w:t>一、招标条件</w:t>
      </w:r>
      <w:bookmarkEnd w:id="9"/>
      <w:bookmarkEnd w:id="10"/>
    </w:p>
    <w:p w14:paraId="7F5AB03B">
      <w:pPr>
        <w:wordWrap w:val="0"/>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本招标项目</w:t>
      </w:r>
      <w:r>
        <w:rPr>
          <w:rFonts w:hint="eastAsia" w:ascii="仿宋" w:hAnsi="仿宋" w:eastAsia="仿宋" w:cs="宋体"/>
          <w:color w:val="auto"/>
          <w:sz w:val="24"/>
          <w:szCs w:val="24"/>
          <w:u w:val="single"/>
        </w:rPr>
        <w:t>常州市分公司2026年至2028年法律服务律师库采购项目</w:t>
      </w:r>
      <w:r>
        <w:rPr>
          <w:rFonts w:hint="eastAsia" w:ascii="仿宋" w:hAnsi="仿宋" w:eastAsia="仿宋" w:cs="宋体"/>
          <w:color w:val="auto"/>
          <w:sz w:val="24"/>
          <w:szCs w:val="24"/>
        </w:rPr>
        <w:t>（招标代理项目编号：GXTC-C-25720256）由</w:t>
      </w:r>
      <w:r>
        <w:rPr>
          <w:rFonts w:hint="eastAsia" w:ascii="仿宋" w:hAnsi="仿宋" w:eastAsia="仿宋" w:cs="宋体"/>
          <w:color w:val="auto"/>
          <w:sz w:val="24"/>
          <w:szCs w:val="24"/>
          <w:u w:val="single"/>
        </w:rPr>
        <w:t>中国人民财产保险股份有限公司常州市分公司</w:t>
      </w:r>
      <w:r>
        <w:rPr>
          <w:rFonts w:hint="eastAsia" w:ascii="仿宋" w:hAnsi="仿宋" w:eastAsia="仿宋" w:cs="宋体"/>
          <w:color w:val="auto"/>
          <w:sz w:val="24"/>
          <w:szCs w:val="24"/>
        </w:rPr>
        <w:t>（以下简称“招标人”）</w:t>
      </w:r>
      <w:r>
        <w:rPr>
          <w:rFonts w:hint="eastAsia" w:ascii="仿宋" w:hAnsi="仿宋" w:eastAsia="仿宋" w:cs="仿宋"/>
          <w:color w:val="auto"/>
          <w:sz w:val="24"/>
          <w:szCs w:val="24"/>
        </w:rPr>
        <w:t>批准并落实资金，</w:t>
      </w:r>
      <w:r>
        <w:rPr>
          <w:rFonts w:hint="eastAsia" w:ascii="仿宋" w:hAnsi="仿宋" w:eastAsia="仿宋" w:cs="宋体"/>
          <w:color w:val="auto"/>
          <w:sz w:val="24"/>
          <w:szCs w:val="24"/>
        </w:rPr>
        <w:t>组织本项目的相关招标工作，采购合同由</w:t>
      </w:r>
      <w:r>
        <w:rPr>
          <w:rFonts w:hint="eastAsia" w:ascii="仿宋" w:hAnsi="仿宋" w:eastAsia="仿宋" w:cs="宋体"/>
          <w:color w:val="auto"/>
          <w:sz w:val="24"/>
          <w:szCs w:val="24"/>
          <w:u w:val="single"/>
        </w:rPr>
        <w:t>中国人民财产保险股份有限公司常州市分公司</w:t>
      </w:r>
      <w:r>
        <w:rPr>
          <w:rFonts w:hint="eastAsia" w:ascii="仿宋" w:hAnsi="仿宋" w:eastAsia="仿宋" w:cs="宋体"/>
          <w:color w:val="auto"/>
          <w:sz w:val="24"/>
          <w:szCs w:val="24"/>
        </w:rPr>
        <w:t>（以下简称“招标人”）根据中标结果与中标人签署。现委托</w:t>
      </w:r>
      <w:r>
        <w:rPr>
          <w:rFonts w:hint="eastAsia" w:ascii="仿宋" w:hAnsi="仿宋" w:eastAsia="仿宋" w:cs="宋体"/>
          <w:color w:val="auto"/>
          <w:sz w:val="24"/>
          <w:szCs w:val="24"/>
          <w:u w:val="single"/>
        </w:rPr>
        <w:t xml:space="preserve">国信招标集团股份有限公司 </w:t>
      </w:r>
      <w:r>
        <w:rPr>
          <w:rFonts w:hint="eastAsia" w:ascii="仿宋" w:hAnsi="仿宋" w:eastAsia="仿宋" w:cs="宋体"/>
          <w:color w:val="auto"/>
          <w:sz w:val="24"/>
          <w:szCs w:val="24"/>
        </w:rPr>
        <w:t>（以下简称“招标代理机构”）进行公开招标，有意向且具有提供标的物能力的潜在投标人（以下简称“投标人”）可前来投标。</w:t>
      </w:r>
    </w:p>
    <w:p w14:paraId="14A65C65">
      <w:pPr>
        <w:pStyle w:val="4"/>
        <w:rPr>
          <w:rFonts w:hint="eastAsia" w:ascii="仿宋" w:hAnsi="仿宋" w:eastAsia="仿宋" w:cs="宋体"/>
          <w:color w:val="auto"/>
          <w:sz w:val="24"/>
          <w:szCs w:val="24"/>
        </w:rPr>
      </w:pPr>
      <w:bookmarkStart w:id="11" w:name="_Toc11069"/>
      <w:bookmarkStart w:id="12" w:name="_Toc24628"/>
      <w:r>
        <w:rPr>
          <w:rFonts w:hint="eastAsia" w:ascii="仿宋" w:hAnsi="仿宋" w:eastAsia="仿宋" w:cs="宋体"/>
          <w:color w:val="auto"/>
          <w:sz w:val="24"/>
          <w:szCs w:val="24"/>
        </w:rPr>
        <w:t>二、项目概况与招标范围</w:t>
      </w:r>
      <w:bookmarkEnd w:id="11"/>
      <w:bookmarkEnd w:id="12"/>
    </w:p>
    <w:p w14:paraId="3E4D0F69">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2.1项目名称：</w:t>
      </w:r>
      <w:r>
        <w:rPr>
          <w:rFonts w:hint="eastAsia" w:ascii="仿宋" w:hAnsi="仿宋" w:eastAsia="仿宋" w:cs="宋体"/>
          <w:color w:val="auto"/>
          <w:sz w:val="24"/>
          <w:szCs w:val="24"/>
          <w:u w:val="single"/>
        </w:rPr>
        <w:t>常州市分公司2026年至2028年法律服务律师库采购项目</w:t>
      </w:r>
      <w:r>
        <w:rPr>
          <w:rFonts w:hint="eastAsia" w:ascii="仿宋" w:hAnsi="仿宋" w:eastAsia="仿宋" w:cs="宋体"/>
          <w:color w:val="auto"/>
          <w:sz w:val="24"/>
          <w:szCs w:val="24"/>
        </w:rPr>
        <w:t>。</w:t>
      </w:r>
    </w:p>
    <w:p w14:paraId="2D6607C1">
      <w:pPr>
        <w:spacing w:line="360" w:lineRule="auto"/>
        <w:ind w:firstLine="480" w:firstLineChars="200"/>
        <w:textAlignment w:val="baseline"/>
        <w:rPr>
          <w:rFonts w:hint="eastAsia" w:ascii="仿宋" w:hAnsi="仿宋" w:eastAsia="仿宋" w:cs="宋体"/>
          <w:color w:val="auto"/>
          <w:kern w:val="0"/>
          <w:sz w:val="24"/>
          <w:szCs w:val="24"/>
          <w:lang w:bidi="ar"/>
        </w:rPr>
      </w:pPr>
      <w:r>
        <w:rPr>
          <w:rFonts w:hint="eastAsia" w:ascii="仿宋" w:hAnsi="仿宋" w:eastAsia="仿宋" w:cs="宋体"/>
          <w:color w:val="auto"/>
          <w:sz w:val="24"/>
          <w:szCs w:val="24"/>
        </w:rPr>
        <w:t>2.2招标范围：拟通过公开招标方式选取供应商为人保常州市分公司提供法律服务。具体内容及要求见招标文件第五章技术规范书</w:t>
      </w:r>
      <w:r>
        <w:rPr>
          <w:rFonts w:hint="eastAsia" w:ascii="仿宋" w:hAnsi="仿宋" w:eastAsia="仿宋" w:cs="宋体"/>
          <w:color w:val="auto"/>
          <w:kern w:val="0"/>
          <w:sz w:val="24"/>
          <w:szCs w:val="24"/>
          <w:lang w:bidi="ar"/>
        </w:rPr>
        <w:t>。</w:t>
      </w:r>
    </w:p>
    <w:p w14:paraId="53BFDE11">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2.3项目性质：服务。</w:t>
      </w:r>
    </w:p>
    <w:p w14:paraId="0980E3A3">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2.4标段划分：本项目划分三个标段，情况如下：</w:t>
      </w:r>
    </w:p>
    <w:tbl>
      <w:tblPr>
        <w:tblStyle w:val="7"/>
        <w:tblW w:w="498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0"/>
        <w:gridCol w:w="1612"/>
        <w:gridCol w:w="1614"/>
        <w:gridCol w:w="1157"/>
        <w:gridCol w:w="2470"/>
        <w:gridCol w:w="1321"/>
      </w:tblGrid>
      <w:tr w14:paraId="0BB71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jc w:val="center"/>
        </w:trPr>
        <w:tc>
          <w:tcPr>
            <w:tcW w:w="36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81101C9">
            <w:pPr>
              <w:widowControl/>
              <w:spacing w:line="240" w:lineRule="auto"/>
              <w:jc w:val="center"/>
              <w:rPr>
                <w:rFonts w:hint="eastAsia" w:ascii="仿宋" w:hAnsi="仿宋" w:eastAsia="仿宋" w:cs="宋体"/>
                <w:b/>
                <w:color w:val="auto"/>
                <w:kern w:val="0"/>
                <w:sz w:val="24"/>
                <w:szCs w:val="24"/>
              </w:rPr>
            </w:pPr>
            <w:r>
              <w:rPr>
                <w:rFonts w:hint="eastAsia" w:ascii="仿宋" w:hAnsi="仿宋" w:eastAsia="仿宋" w:cs="宋体"/>
                <w:b/>
                <w:color w:val="auto"/>
                <w:kern w:val="0"/>
                <w:sz w:val="24"/>
                <w:szCs w:val="24"/>
              </w:rPr>
              <w:t>序号</w:t>
            </w:r>
          </w:p>
        </w:tc>
        <w:tc>
          <w:tcPr>
            <w:tcW w:w="91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CAABC48">
            <w:pPr>
              <w:widowControl/>
              <w:spacing w:line="240" w:lineRule="auto"/>
              <w:jc w:val="center"/>
              <w:rPr>
                <w:rFonts w:hint="eastAsia" w:ascii="仿宋" w:hAnsi="仿宋" w:eastAsia="仿宋" w:cs="宋体"/>
                <w:b/>
                <w:color w:val="auto"/>
                <w:sz w:val="24"/>
                <w:szCs w:val="24"/>
              </w:rPr>
            </w:pPr>
            <w:r>
              <w:rPr>
                <w:rFonts w:hint="eastAsia" w:ascii="仿宋" w:hAnsi="仿宋" w:eastAsia="仿宋" w:cs="宋体"/>
                <w:b/>
                <w:color w:val="auto"/>
                <w:kern w:val="0"/>
                <w:sz w:val="24"/>
                <w:szCs w:val="24"/>
              </w:rPr>
              <w:t>标段名称</w:t>
            </w:r>
          </w:p>
        </w:tc>
        <w:tc>
          <w:tcPr>
            <w:tcW w:w="91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0608287">
            <w:pPr>
              <w:widowControl/>
              <w:spacing w:line="240" w:lineRule="auto"/>
              <w:jc w:val="center"/>
              <w:rPr>
                <w:rFonts w:hint="eastAsia" w:ascii="仿宋" w:hAnsi="仿宋" w:eastAsia="仿宋" w:cs="宋体"/>
                <w:b/>
                <w:color w:val="auto"/>
                <w:kern w:val="0"/>
                <w:sz w:val="24"/>
                <w:szCs w:val="24"/>
              </w:rPr>
            </w:pPr>
            <w:r>
              <w:rPr>
                <w:rFonts w:hint="eastAsia" w:ascii="仿宋" w:hAnsi="仿宋" w:eastAsia="仿宋" w:cs="宋体"/>
                <w:b/>
                <w:color w:val="auto"/>
                <w:kern w:val="0"/>
                <w:sz w:val="24"/>
                <w:szCs w:val="24"/>
              </w:rPr>
              <w:t>标段内容</w:t>
            </w:r>
          </w:p>
        </w:tc>
        <w:tc>
          <w:tcPr>
            <w:tcW w:w="2054"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22C5510A">
            <w:pPr>
              <w:widowControl/>
              <w:spacing w:line="240" w:lineRule="auto"/>
              <w:jc w:val="center"/>
              <w:rPr>
                <w:rFonts w:hint="eastAsia" w:ascii="仿宋" w:hAnsi="仿宋" w:eastAsia="仿宋" w:cs="宋体"/>
                <w:b/>
                <w:color w:val="auto"/>
                <w:kern w:val="0"/>
                <w:sz w:val="24"/>
                <w:szCs w:val="24"/>
              </w:rPr>
            </w:pPr>
            <w:r>
              <w:rPr>
                <w:rFonts w:hint="eastAsia" w:ascii="仿宋" w:hAnsi="仿宋" w:eastAsia="仿宋" w:cs="宋体"/>
                <w:b/>
                <w:color w:val="auto"/>
                <w:kern w:val="0"/>
                <w:sz w:val="24"/>
                <w:szCs w:val="24"/>
              </w:rPr>
              <w:t>标段最高限价（含税）</w:t>
            </w:r>
          </w:p>
        </w:tc>
        <w:tc>
          <w:tcPr>
            <w:tcW w:w="74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B1CEE08">
            <w:pPr>
              <w:widowControl/>
              <w:spacing w:line="240" w:lineRule="auto"/>
              <w:jc w:val="center"/>
              <w:rPr>
                <w:rFonts w:hint="eastAsia" w:ascii="仿宋" w:hAnsi="仿宋" w:eastAsia="仿宋" w:cs="宋体"/>
                <w:b/>
                <w:color w:val="auto"/>
                <w:kern w:val="0"/>
                <w:sz w:val="24"/>
                <w:szCs w:val="24"/>
              </w:rPr>
            </w:pPr>
            <w:r>
              <w:rPr>
                <w:rFonts w:hint="eastAsia" w:ascii="仿宋" w:hAnsi="仿宋" w:eastAsia="仿宋" w:cs="宋体"/>
                <w:b/>
                <w:color w:val="auto"/>
                <w:kern w:val="0"/>
                <w:sz w:val="24"/>
                <w:szCs w:val="24"/>
              </w:rPr>
              <w:t>入围/中标供应商数量</w:t>
            </w:r>
          </w:p>
        </w:tc>
      </w:tr>
      <w:tr w14:paraId="4EC790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7" w:hRule="atLeast"/>
          <w:jc w:val="center"/>
        </w:trPr>
        <w:tc>
          <w:tcPr>
            <w:tcW w:w="368"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2C194834">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1</w:t>
            </w:r>
          </w:p>
        </w:tc>
        <w:tc>
          <w:tcPr>
            <w:tcW w:w="913"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16C7C1C6">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sz w:val="24"/>
                <w:szCs w:val="24"/>
                <w:u w:val="single"/>
              </w:rPr>
              <w:t>常州市分公司2026年至2028年法律服务律师库采购项目</w:t>
            </w:r>
            <w:r>
              <w:rPr>
                <w:rFonts w:hint="eastAsia" w:ascii="仿宋" w:hAnsi="仿宋" w:eastAsia="仿宋" w:cs="宋体"/>
                <w:color w:val="auto"/>
                <w:kern w:val="0"/>
                <w:sz w:val="24"/>
                <w:szCs w:val="24"/>
              </w:rPr>
              <w:t>（标段一）</w:t>
            </w:r>
          </w:p>
        </w:tc>
        <w:tc>
          <w:tcPr>
            <w:tcW w:w="914"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6CAA813">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提供车险（含电动自行车类保险）各类案件的法律服务</w:t>
            </w:r>
          </w:p>
        </w:tc>
        <w:tc>
          <w:tcPr>
            <w:tcW w:w="655"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3B5BAE9B">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（1）</w:t>
            </w:r>
          </w:p>
          <w:p w14:paraId="04B25AA2">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基础代理费</w:t>
            </w:r>
          </w:p>
        </w:tc>
        <w:tc>
          <w:tcPr>
            <w:tcW w:w="139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9AB4E3A">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代理电动自行车类保险类案件（最高限价400-500元）</w:t>
            </w:r>
          </w:p>
        </w:tc>
        <w:tc>
          <w:tcPr>
            <w:tcW w:w="748"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76338B66">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入围供应商数量为10家；如有效供应商数量少于15家，本标段将重新组织招标。</w:t>
            </w:r>
          </w:p>
        </w:tc>
      </w:tr>
      <w:tr w14:paraId="3988F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7" w:hRule="atLeast"/>
          <w:jc w:val="center"/>
        </w:trPr>
        <w:tc>
          <w:tcPr>
            <w:tcW w:w="36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6BCC930">
            <w:pPr>
              <w:widowControl/>
              <w:spacing w:line="240" w:lineRule="auto"/>
              <w:jc w:val="center"/>
              <w:rPr>
                <w:rFonts w:hint="eastAsia" w:ascii="仿宋" w:hAnsi="仿宋" w:eastAsia="仿宋" w:cs="宋体"/>
                <w:color w:val="auto"/>
                <w:kern w:val="0"/>
                <w:sz w:val="24"/>
                <w:szCs w:val="24"/>
              </w:rPr>
            </w:pPr>
          </w:p>
        </w:tc>
        <w:tc>
          <w:tcPr>
            <w:tcW w:w="913"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7B9077A">
            <w:pPr>
              <w:widowControl/>
              <w:spacing w:line="240" w:lineRule="auto"/>
              <w:jc w:val="center"/>
              <w:rPr>
                <w:rFonts w:hint="eastAsia" w:ascii="仿宋" w:hAnsi="仿宋" w:eastAsia="仿宋" w:cs="宋体"/>
                <w:color w:val="auto"/>
                <w:kern w:val="0"/>
                <w:sz w:val="24"/>
                <w:szCs w:val="24"/>
              </w:rPr>
            </w:pPr>
          </w:p>
        </w:tc>
        <w:tc>
          <w:tcPr>
            <w:tcW w:w="91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D13DE2C">
            <w:pPr>
              <w:widowControl/>
              <w:spacing w:line="240" w:lineRule="auto"/>
              <w:jc w:val="center"/>
              <w:rPr>
                <w:rFonts w:hint="eastAsia" w:ascii="仿宋" w:hAnsi="仿宋" w:eastAsia="仿宋" w:cs="宋体"/>
                <w:color w:val="auto"/>
                <w:kern w:val="0"/>
                <w:sz w:val="24"/>
                <w:szCs w:val="24"/>
              </w:rPr>
            </w:pPr>
          </w:p>
        </w:tc>
        <w:tc>
          <w:tcPr>
            <w:tcW w:w="655"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3081529">
            <w:pPr>
              <w:widowControl/>
              <w:spacing w:line="240" w:lineRule="auto"/>
              <w:jc w:val="center"/>
              <w:rPr>
                <w:rFonts w:hint="eastAsia" w:ascii="仿宋" w:hAnsi="仿宋" w:eastAsia="仿宋" w:cs="宋体"/>
                <w:color w:val="auto"/>
                <w:kern w:val="0"/>
                <w:sz w:val="24"/>
                <w:szCs w:val="24"/>
              </w:rPr>
            </w:pPr>
          </w:p>
        </w:tc>
        <w:tc>
          <w:tcPr>
            <w:tcW w:w="139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7BE9BC9">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代理机动车类保险案件（最高限价判决：600-700元</w:t>
            </w:r>
          </w:p>
          <w:p w14:paraId="55CB5F94">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调解：800-900元）</w:t>
            </w:r>
          </w:p>
        </w:tc>
        <w:tc>
          <w:tcPr>
            <w:tcW w:w="74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5881A2C">
            <w:pPr>
              <w:widowControl/>
              <w:spacing w:line="240" w:lineRule="auto"/>
              <w:jc w:val="center"/>
              <w:rPr>
                <w:rFonts w:hint="eastAsia" w:ascii="仿宋" w:hAnsi="仿宋" w:eastAsia="仿宋" w:cs="宋体"/>
                <w:color w:val="auto"/>
                <w:kern w:val="0"/>
                <w:sz w:val="24"/>
                <w:szCs w:val="24"/>
              </w:rPr>
            </w:pPr>
          </w:p>
        </w:tc>
      </w:tr>
      <w:tr w14:paraId="4108D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7" w:hRule="atLeast"/>
          <w:jc w:val="center"/>
        </w:trPr>
        <w:tc>
          <w:tcPr>
            <w:tcW w:w="36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54C03E1">
            <w:pPr>
              <w:widowControl/>
              <w:spacing w:line="240" w:lineRule="auto"/>
              <w:jc w:val="center"/>
              <w:rPr>
                <w:rFonts w:hint="eastAsia" w:ascii="仿宋" w:hAnsi="仿宋" w:eastAsia="仿宋" w:cs="宋体"/>
                <w:color w:val="auto"/>
                <w:kern w:val="0"/>
                <w:sz w:val="24"/>
                <w:szCs w:val="24"/>
              </w:rPr>
            </w:pPr>
          </w:p>
        </w:tc>
        <w:tc>
          <w:tcPr>
            <w:tcW w:w="913"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F8807D1">
            <w:pPr>
              <w:widowControl/>
              <w:spacing w:line="240" w:lineRule="auto"/>
              <w:jc w:val="center"/>
              <w:rPr>
                <w:rFonts w:hint="eastAsia" w:ascii="仿宋" w:hAnsi="仿宋" w:eastAsia="仿宋" w:cs="宋体"/>
                <w:color w:val="auto"/>
                <w:kern w:val="0"/>
                <w:sz w:val="24"/>
                <w:szCs w:val="24"/>
              </w:rPr>
            </w:pPr>
          </w:p>
        </w:tc>
        <w:tc>
          <w:tcPr>
            <w:tcW w:w="91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1ACB51EE">
            <w:pPr>
              <w:widowControl/>
              <w:spacing w:line="240" w:lineRule="auto"/>
              <w:jc w:val="center"/>
              <w:rPr>
                <w:rFonts w:hint="eastAsia" w:ascii="仿宋" w:hAnsi="仿宋" w:eastAsia="仿宋" w:cs="宋体"/>
                <w:color w:val="auto"/>
                <w:kern w:val="0"/>
                <w:sz w:val="24"/>
                <w:szCs w:val="24"/>
              </w:rPr>
            </w:pPr>
          </w:p>
        </w:tc>
        <w:tc>
          <w:tcPr>
            <w:tcW w:w="65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00A7C61C">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（2）</w:t>
            </w:r>
          </w:p>
          <w:p w14:paraId="1536ACE0">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减损奖励费用</w:t>
            </w:r>
          </w:p>
        </w:tc>
        <w:tc>
          <w:tcPr>
            <w:tcW w:w="139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3B02E79">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减损金额=招标人预审金额－判调金额</w:t>
            </w:r>
          </w:p>
          <w:p w14:paraId="5DA9632D">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（减损奖励不超过减损金额的6-10%）</w:t>
            </w:r>
          </w:p>
        </w:tc>
        <w:tc>
          <w:tcPr>
            <w:tcW w:w="74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43EEDEF3">
            <w:pPr>
              <w:widowControl/>
              <w:spacing w:line="240" w:lineRule="auto"/>
              <w:jc w:val="center"/>
              <w:rPr>
                <w:rFonts w:hint="eastAsia" w:ascii="仿宋" w:hAnsi="仿宋" w:eastAsia="仿宋" w:cs="宋体"/>
                <w:color w:val="auto"/>
                <w:kern w:val="0"/>
                <w:sz w:val="24"/>
                <w:szCs w:val="24"/>
              </w:rPr>
            </w:pPr>
          </w:p>
        </w:tc>
      </w:tr>
      <w:tr w14:paraId="7ECCB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7" w:hRule="atLeast"/>
          <w:jc w:val="center"/>
        </w:trPr>
        <w:tc>
          <w:tcPr>
            <w:tcW w:w="36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DE1AC76">
            <w:pPr>
              <w:widowControl/>
              <w:spacing w:line="240" w:lineRule="auto"/>
              <w:jc w:val="center"/>
              <w:rPr>
                <w:rFonts w:hint="eastAsia" w:ascii="仿宋" w:hAnsi="仿宋" w:eastAsia="仿宋" w:cs="宋体"/>
                <w:color w:val="auto"/>
                <w:kern w:val="0"/>
                <w:sz w:val="24"/>
                <w:szCs w:val="24"/>
              </w:rPr>
            </w:pPr>
          </w:p>
        </w:tc>
        <w:tc>
          <w:tcPr>
            <w:tcW w:w="913"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813BBF7">
            <w:pPr>
              <w:widowControl/>
              <w:spacing w:line="240" w:lineRule="auto"/>
              <w:jc w:val="center"/>
              <w:rPr>
                <w:rFonts w:hint="eastAsia" w:ascii="仿宋" w:hAnsi="仿宋" w:eastAsia="仿宋" w:cs="宋体"/>
                <w:color w:val="auto"/>
                <w:kern w:val="0"/>
                <w:sz w:val="24"/>
                <w:szCs w:val="24"/>
              </w:rPr>
            </w:pPr>
          </w:p>
        </w:tc>
        <w:tc>
          <w:tcPr>
            <w:tcW w:w="91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05344C9">
            <w:pPr>
              <w:widowControl/>
              <w:spacing w:line="240" w:lineRule="auto"/>
              <w:jc w:val="center"/>
              <w:rPr>
                <w:rFonts w:hint="eastAsia" w:ascii="仿宋" w:hAnsi="仿宋" w:eastAsia="仿宋" w:cs="宋体"/>
                <w:color w:val="auto"/>
                <w:kern w:val="0"/>
                <w:sz w:val="24"/>
                <w:szCs w:val="24"/>
              </w:rPr>
            </w:pPr>
          </w:p>
        </w:tc>
        <w:tc>
          <w:tcPr>
            <w:tcW w:w="65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BD6EB34">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（3）</w:t>
            </w:r>
          </w:p>
          <w:p w14:paraId="5D850D07">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纯风险代理费</w:t>
            </w:r>
          </w:p>
        </w:tc>
        <w:tc>
          <w:tcPr>
            <w:tcW w:w="139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4B12180">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采用纯风险代理的，风险代理费不超过追回金额或减损金额的8-12%</w:t>
            </w:r>
          </w:p>
        </w:tc>
        <w:tc>
          <w:tcPr>
            <w:tcW w:w="74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0A45CC9B">
            <w:pPr>
              <w:widowControl/>
              <w:spacing w:line="240" w:lineRule="auto"/>
              <w:jc w:val="center"/>
              <w:rPr>
                <w:rFonts w:hint="eastAsia" w:ascii="仿宋" w:hAnsi="仿宋" w:eastAsia="仿宋" w:cs="宋体"/>
                <w:color w:val="auto"/>
                <w:kern w:val="0"/>
                <w:sz w:val="24"/>
                <w:szCs w:val="24"/>
              </w:rPr>
            </w:pPr>
          </w:p>
        </w:tc>
      </w:tr>
      <w:tr w14:paraId="0BA18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5" w:hRule="atLeast"/>
          <w:jc w:val="center"/>
        </w:trPr>
        <w:tc>
          <w:tcPr>
            <w:tcW w:w="368"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5F039D59">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2</w:t>
            </w:r>
          </w:p>
        </w:tc>
        <w:tc>
          <w:tcPr>
            <w:tcW w:w="913"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ADF6E80">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sz w:val="24"/>
                <w:szCs w:val="24"/>
                <w:u w:val="single"/>
              </w:rPr>
              <w:t>常州市分公司2026年至2028年法律服务律师库采购项目</w:t>
            </w:r>
            <w:r>
              <w:rPr>
                <w:rFonts w:hint="eastAsia" w:ascii="仿宋" w:hAnsi="仿宋" w:eastAsia="仿宋" w:cs="宋体"/>
                <w:color w:val="auto"/>
                <w:kern w:val="0"/>
                <w:sz w:val="24"/>
                <w:szCs w:val="24"/>
              </w:rPr>
              <w:t>（标段二）</w:t>
            </w:r>
          </w:p>
        </w:tc>
        <w:tc>
          <w:tcPr>
            <w:tcW w:w="914"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0EC8B274">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①非车险各类案件的法律服务；</w:t>
            </w:r>
          </w:p>
          <w:p w14:paraId="3C24512A">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fldChar w:fldCharType="begin"/>
            </w:r>
            <w:r>
              <w:rPr>
                <w:rFonts w:hint="eastAsia" w:ascii="仿宋" w:hAnsi="仿宋" w:eastAsia="仿宋" w:cs="宋体"/>
                <w:color w:val="auto"/>
                <w:kern w:val="0"/>
                <w:sz w:val="24"/>
                <w:szCs w:val="24"/>
              </w:rPr>
              <w:instrText xml:space="preserve">= 2 \* GB3</w:instrText>
            </w:r>
            <w:r>
              <w:rPr>
                <w:rFonts w:hint="eastAsia" w:ascii="仿宋" w:hAnsi="仿宋" w:eastAsia="仿宋" w:cs="宋体"/>
                <w:color w:val="auto"/>
                <w:kern w:val="0"/>
                <w:sz w:val="24"/>
                <w:szCs w:val="24"/>
              </w:rPr>
              <w:fldChar w:fldCharType="separate"/>
            </w:r>
            <w:r>
              <w:rPr>
                <w:rFonts w:hint="eastAsia" w:ascii="仿宋" w:hAnsi="仿宋" w:eastAsia="仿宋" w:cs="宋体"/>
                <w:color w:val="auto"/>
                <w:kern w:val="0"/>
                <w:sz w:val="24"/>
                <w:szCs w:val="24"/>
              </w:rPr>
              <w:t>②</w:t>
            </w:r>
            <w:r>
              <w:rPr>
                <w:rFonts w:hint="eastAsia" w:ascii="仿宋" w:hAnsi="仿宋" w:eastAsia="仿宋" w:cs="宋体"/>
                <w:color w:val="auto"/>
                <w:kern w:val="0"/>
                <w:sz w:val="24"/>
                <w:szCs w:val="24"/>
              </w:rPr>
              <w:fldChar w:fldCharType="end"/>
            </w:r>
            <w:r>
              <w:rPr>
                <w:rFonts w:hint="eastAsia" w:ascii="仿宋" w:hAnsi="仿宋" w:eastAsia="仿宋" w:cs="宋体"/>
                <w:color w:val="auto"/>
                <w:kern w:val="0"/>
                <w:sz w:val="24"/>
                <w:szCs w:val="24"/>
              </w:rPr>
              <w:t>非保险类其他案件的法律服务。</w:t>
            </w:r>
          </w:p>
        </w:tc>
        <w:tc>
          <w:tcPr>
            <w:tcW w:w="65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18CDC5BF">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（1）</w:t>
            </w:r>
          </w:p>
          <w:p w14:paraId="329CC39F">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基础代理费</w:t>
            </w:r>
          </w:p>
        </w:tc>
        <w:tc>
          <w:tcPr>
            <w:tcW w:w="139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A68CA9E">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代理非车险类案件（最高限价1000-1500元）</w:t>
            </w:r>
          </w:p>
        </w:tc>
        <w:tc>
          <w:tcPr>
            <w:tcW w:w="748" w:type="pct"/>
            <w:vMerge w:val="restart"/>
            <w:tcBorders>
              <w:top w:val="single" w:color="auto" w:sz="4" w:space="0"/>
              <w:left w:val="single" w:color="auto" w:sz="4" w:space="0"/>
              <w:bottom w:val="single" w:color="auto" w:sz="4" w:space="0"/>
              <w:right w:val="single" w:color="auto" w:sz="4" w:space="0"/>
              <w:tl2br w:val="nil"/>
              <w:tr2bl w:val="nil"/>
            </w:tcBorders>
            <w:noWrap w:val="0"/>
            <w:vAlign w:val="center"/>
          </w:tcPr>
          <w:p w14:paraId="67C70889">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入围供应商数量为8家；如有效供应商数量少于12家，本标段将重新组织招标。</w:t>
            </w:r>
          </w:p>
        </w:tc>
      </w:tr>
      <w:tr w14:paraId="0ED8E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5" w:hRule="atLeast"/>
          <w:jc w:val="center"/>
        </w:trPr>
        <w:tc>
          <w:tcPr>
            <w:tcW w:w="36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7B3011C1">
            <w:pPr>
              <w:widowControl/>
              <w:spacing w:line="240" w:lineRule="auto"/>
              <w:jc w:val="center"/>
              <w:rPr>
                <w:rFonts w:hint="eastAsia" w:ascii="仿宋" w:hAnsi="仿宋" w:eastAsia="仿宋" w:cs="宋体"/>
                <w:color w:val="auto"/>
                <w:kern w:val="0"/>
                <w:sz w:val="24"/>
                <w:szCs w:val="24"/>
              </w:rPr>
            </w:pPr>
          </w:p>
        </w:tc>
        <w:tc>
          <w:tcPr>
            <w:tcW w:w="913"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37D3DEB">
            <w:pPr>
              <w:widowControl/>
              <w:spacing w:line="240" w:lineRule="auto"/>
              <w:jc w:val="center"/>
              <w:rPr>
                <w:rFonts w:hint="eastAsia" w:ascii="仿宋" w:hAnsi="仿宋" w:eastAsia="仿宋" w:cs="宋体"/>
                <w:color w:val="auto"/>
                <w:kern w:val="0"/>
                <w:sz w:val="24"/>
                <w:szCs w:val="24"/>
              </w:rPr>
            </w:pPr>
          </w:p>
        </w:tc>
        <w:tc>
          <w:tcPr>
            <w:tcW w:w="91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B740ED2">
            <w:pPr>
              <w:widowControl/>
              <w:spacing w:line="240" w:lineRule="auto"/>
              <w:jc w:val="center"/>
              <w:rPr>
                <w:rFonts w:hint="eastAsia" w:ascii="仿宋" w:hAnsi="仿宋" w:eastAsia="仿宋" w:cs="宋体"/>
                <w:color w:val="auto"/>
                <w:kern w:val="0"/>
                <w:sz w:val="24"/>
                <w:szCs w:val="24"/>
              </w:rPr>
            </w:pPr>
          </w:p>
        </w:tc>
        <w:tc>
          <w:tcPr>
            <w:tcW w:w="65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4FB2036A">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（2）</w:t>
            </w:r>
          </w:p>
          <w:p w14:paraId="2CA10323">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减损奖励费用</w:t>
            </w:r>
          </w:p>
        </w:tc>
        <w:tc>
          <w:tcPr>
            <w:tcW w:w="139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F498E8F">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减损金额=招标人预审金额－判调金额</w:t>
            </w:r>
          </w:p>
          <w:p w14:paraId="40EAD070">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（减损奖励不超过减损金额的6-10%）</w:t>
            </w:r>
          </w:p>
        </w:tc>
        <w:tc>
          <w:tcPr>
            <w:tcW w:w="74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D6C939D">
            <w:pPr>
              <w:widowControl/>
              <w:spacing w:line="240" w:lineRule="auto"/>
              <w:jc w:val="center"/>
              <w:rPr>
                <w:rFonts w:hint="eastAsia" w:ascii="仿宋" w:hAnsi="仿宋" w:eastAsia="仿宋" w:cs="宋体"/>
                <w:color w:val="auto"/>
                <w:kern w:val="0"/>
                <w:sz w:val="24"/>
                <w:szCs w:val="24"/>
              </w:rPr>
            </w:pPr>
          </w:p>
        </w:tc>
      </w:tr>
      <w:tr w14:paraId="4E6BE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5" w:hRule="atLeast"/>
          <w:jc w:val="center"/>
        </w:trPr>
        <w:tc>
          <w:tcPr>
            <w:tcW w:w="36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6481363F">
            <w:pPr>
              <w:widowControl/>
              <w:spacing w:line="240" w:lineRule="auto"/>
              <w:jc w:val="center"/>
              <w:rPr>
                <w:rFonts w:hint="eastAsia" w:ascii="仿宋" w:hAnsi="仿宋" w:eastAsia="仿宋" w:cs="宋体"/>
                <w:color w:val="auto"/>
                <w:kern w:val="0"/>
                <w:sz w:val="24"/>
                <w:szCs w:val="24"/>
              </w:rPr>
            </w:pPr>
          </w:p>
        </w:tc>
        <w:tc>
          <w:tcPr>
            <w:tcW w:w="913"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2E213AB7">
            <w:pPr>
              <w:widowControl/>
              <w:spacing w:line="240" w:lineRule="auto"/>
              <w:jc w:val="center"/>
              <w:rPr>
                <w:rFonts w:hint="eastAsia" w:ascii="仿宋" w:hAnsi="仿宋" w:eastAsia="仿宋" w:cs="宋体"/>
                <w:color w:val="auto"/>
                <w:kern w:val="0"/>
                <w:sz w:val="24"/>
                <w:szCs w:val="24"/>
              </w:rPr>
            </w:pPr>
          </w:p>
        </w:tc>
        <w:tc>
          <w:tcPr>
            <w:tcW w:w="914"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55AE7ED5">
            <w:pPr>
              <w:widowControl/>
              <w:spacing w:line="240" w:lineRule="auto"/>
              <w:jc w:val="center"/>
              <w:rPr>
                <w:rFonts w:hint="eastAsia" w:ascii="仿宋" w:hAnsi="仿宋" w:eastAsia="仿宋" w:cs="宋体"/>
                <w:color w:val="auto"/>
                <w:kern w:val="0"/>
                <w:sz w:val="24"/>
                <w:szCs w:val="24"/>
              </w:rPr>
            </w:pPr>
          </w:p>
        </w:tc>
        <w:tc>
          <w:tcPr>
            <w:tcW w:w="655" w:type="pct"/>
            <w:tcBorders>
              <w:top w:val="single" w:color="auto" w:sz="4" w:space="0"/>
              <w:left w:val="single" w:color="auto" w:sz="4" w:space="0"/>
              <w:bottom w:val="single" w:color="auto" w:sz="4" w:space="0"/>
              <w:right w:val="single" w:color="auto" w:sz="4" w:space="0"/>
              <w:tl2br w:val="nil"/>
              <w:tr2bl w:val="nil"/>
            </w:tcBorders>
            <w:noWrap w:val="0"/>
            <w:vAlign w:val="center"/>
          </w:tcPr>
          <w:p w14:paraId="3549474B">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（3）</w:t>
            </w:r>
          </w:p>
          <w:p w14:paraId="6DA9CB69">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纯风险代理费</w:t>
            </w:r>
          </w:p>
        </w:tc>
        <w:tc>
          <w:tcPr>
            <w:tcW w:w="1399"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9B7ECDA">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采用纯风险代理的，风险代理费不超过追回金额或减损金额的8-12%</w:t>
            </w:r>
          </w:p>
        </w:tc>
        <w:tc>
          <w:tcPr>
            <w:tcW w:w="748" w:type="pct"/>
            <w:vMerge w:val="continue"/>
            <w:tcBorders>
              <w:top w:val="single" w:color="auto" w:sz="4" w:space="0"/>
              <w:left w:val="single" w:color="auto" w:sz="4" w:space="0"/>
              <w:bottom w:val="single" w:color="auto" w:sz="4" w:space="0"/>
              <w:right w:val="single" w:color="auto" w:sz="4" w:space="0"/>
              <w:tl2br w:val="nil"/>
              <w:tr2bl w:val="nil"/>
            </w:tcBorders>
            <w:noWrap w:val="0"/>
            <w:vAlign w:val="center"/>
          </w:tcPr>
          <w:p w14:paraId="3D16E213">
            <w:pPr>
              <w:widowControl/>
              <w:spacing w:line="240" w:lineRule="auto"/>
              <w:jc w:val="center"/>
              <w:rPr>
                <w:rFonts w:hint="eastAsia" w:ascii="仿宋" w:hAnsi="仿宋" w:eastAsia="仿宋" w:cs="宋体"/>
                <w:color w:val="auto"/>
                <w:kern w:val="0"/>
                <w:sz w:val="24"/>
                <w:szCs w:val="24"/>
              </w:rPr>
            </w:pPr>
          </w:p>
        </w:tc>
      </w:tr>
      <w:tr w14:paraId="0026C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67" w:hRule="atLeast"/>
          <w:jc w:val="center"/>
        </w:trPr>
        <w:tc>
          <w:tcPr>
            <w:tcW w:w="36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027E05D">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3</w:t>
            </w:r>
          </w:p>
        </w:tc>
        <w:tc>
          <w:tcPr>
            <w:tcW w:w="913" w:type="pct"/>
            <w:tcBorders>
              <w:top w:val="single" w:color="auto" w:sz="4" w:space="0"/>
              <w:left w:val="single" w:color="auto" w:sz="4" w:space="0"/>
              <w:bottom w:val="single" w:color="auto" w:sz="4" w:space="0"/>
              <w:right w:val="single" w:color="auto" w:sz="4" w:space="0"/>
              <w:tl2br w:val="nil"/>
              <w:tr2bl w:val="nil"/>
            </w:tcBorders>
            <w:noWrap w:val="0"/>
            <w:vAlign w:val="center"/>
          </w:tcPr>
          <w:p w14:paraId="5C674F3B">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sz w:val="24"/>
                <w:szCs w:val="24"/>
                <w:u w:val="single"/>
              </w:rPr>
              <w:t>常州市分公司2026年至2028年法律服务律师库采购项目</w:t>
            </w:r>
            <w:r>
              <w:rPr>
                <w:rFonts w:hint="eastAsia" w:ascii="仿宋" w:hAnsi="仿宋" w:eastAsia="仿宋" w:cs="宋体"/>
                <w:color w:val="auto"/>
                <w:kern w:val="0"/>
                <w:sz w:val="24"/>
                <w:szCs w:val="24"/>
              </w:rPr>
              <w:t>（标段三）</w:t>
            </w:r>
          </w:p>
        </w:tc>
        <w:tc>
          <w:tcPr>
            <w:tcW w:w="914" w:type="pct"/>
            <w:tcBorders>
              <w:top w:val="single" w:color="auto" w:sz="4" w:space="0"/>
              <w:left w:val="single" w:color="auto" w:sz="4" w:space="0"/>
              <w:bottom w:val="single" w:color="auto" w:sz="4" w:space="0"/>
              <w:right w:val="single" w:color="auto" w:sz="4" w:space="0"/>
              <w:tl2br w:val="nil"/>
              <w:tr2bl w:val="nil"/>
            </w:tcBorders>
            <w:noWrap w:val="0"/>
            <w:vAlign w:val="center"/>
          </w:tcPr>
          <w:p w14:paraId="66480CC0">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法律顾问类服务</w:t>
            </w:r>
          </w:p>
        </w:tc>
        <w:tc>
          <w:tcPr>
            <w:tcW w:w="2054" w:type="pct"/>
            <w:gridSpan w:val="2"/>
            <w:tcBorders>
              <w:top w:val="single" w:color="auto" w:sz="4" w:space="0"/>
              <w:left w:val="single" w:color="auto" w:sz="4" w:space="0"/>
              <w:bottom w:val="single" w:color="auto" w:sz="4" w:space="0"/>
              <w:right w:val="single" w:color="auto" w:sz="4" w:space="0"/>
              <w:tl2br w:val="nil"/>
              <w:tr2bl w:val="nil"/>
            </w:tcBorders>
            <w:noWrap w:val="0"/>
            <w:vAlign w:val="center"/>
          </w:tcPr>
          <w:p w14:paraId="67160B6A">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6.5万元</w:t>
            </w:r>
          </w:p>
        </w:tc>
        <w:tc>
          <w:tcPr>
            <w:tcW w:w="748" w:type="pct"/>
            <w:tcBorders>
              <w:top w:val="single" w:color="auto" w:sz="4" w:space="0"/>
              <w:left w:val="single" w:color="auto" w:sz="4" w:space="0"/>
              <w:bottom w:val="single" w:color="auto" w:sz="4" w:space="0"/>
              <w:right w:val="single" w:color="auto" w:sz="4" w:space="0"/>
              <w:tl2br w:val="nil"/>
              <w:tr2bl w:val="nil"/>
            </w:tcBorders>
            <w:noWrap w:val="0"/>
            <w:vAlign w:val="center"/>
          </w:tcPr>
          <w:p w14:paraId="2F5B9859">
            <w:pPr>
              <w:widowControl/>
              <w:spacing w:line="240" w:lineRule="auto"/>
              <w:jc w:val="center"/>
              <w:rPr>
                <w:rFonts w:hint="eastAsia" w:ascii="仿宋" w:hAnsi="仿宋" w:eastAsia="仿宋" w:cs="宋体"/>
                <w:color w:val="auto"/>
                <w:kern w:val="0"/>
                <w:sz w:val="24"/>
                <w:szCs w:val="24"/>
              </w:rPr>
            </w:pPr>
            <w:r>
              <w:rPr>
                <w:rFonts w:hint="eastAsia" w:ascii="仿宋" w:hAnsi="仿宋" w:eastAsia="仿宋" w:cs="宋体"/>
                <w:color w:val="auto"/>
                <w:kern w:val="0"/>
                <w:sz w:val="24"/>
                <w:szCs w:val="24"/>
              </w:rPr>
              <w:t>中标供应商数量为1家；如有效供应商数量少于3家，本标段将重新组织招标。</w:t>
            </w:r>
          </w:p>
        </w:tc>
      </w:tr>
    </w:tbl>
    <w:p w14:paraId="50C3E4DC">
      <w:pPr>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2.6服务地点：招标人指定地点。</w:t>
      </w:r>
    </w:p>
    <w:p w14:paraId="435BC17C">
      <w:pPr>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2.7服务时间：自服务合同签订之日起三年。具体代理事宜可由招标人及其下属单位委派。</w:t>
      </w:r>
    </w:p>
    <w:p w14:paraId="568446F2">
      <w:pPr>
        <w:numPr>
          <w:ilvl w:val="0"/>
          <w:numId w:val="0"/>
        </w:numPr>
        <w:spacing w:line="360" w:lineRule="auto"/>
        <w:ind w:firstLine="482" w:firstLineChars="200"/>
        <w:textAlignment w:val="baseline"/>
        <w:rPr>
          <w:rFonts w:hint="eastAsia" w:ascii="仿宋" w:hAnsi="仿宋" w:eastAsia="仿宋" w:cs="宋体"/>
          <w:b/>
          <w:color w:val="auto"/>
          <w:sz w:val="24"/>
          <w:szCs w:val="24"/>
        </w:rPr>
      </w:pPr>
      <w:r>
        <w:rPr>
          <w:rFonts w:hint="eastAsia" w:ascii="仿宋" w:hAnsi="仿宋" w:eastAsia="仿宋" w:cs="宋体"/>
          <w:b/>
          <w:color w:val="auto"/>
          <w:sz w:val="24"/>
          <w:szCs w:val="24"/>
        </w:rPr>
        <w:t>注：投标人可选择其中任意标段投标，也可所有标段兼投，开标顺序为标段一至标段三。</w:t>
      </w:r>
    </w:p>
    <w:p w14:paraId="13AF111E">
      <w:pPr>
        <w:pStyle w:val="4"/>
        <w:numPr>
          <w:ilvl w:val="0"/>
          <w:numId w:val="0"/>
        </w:numPr>
        <w:rPr>
          <w:rFonts w:hint="eastAsia" w:ascii="仿宋" w:hAnsi="仿宋" w:eastAsia="仿宋" w:cs="宋体"/>
          <w:color w:val="auto"/>
          <w:sz w:val="24"/>
          <w:szCs w:val="24"/>
        </w:rPr>
      </w:pPr>
      <w:bookmarkStart w:id="13" w:name="_Toc14758"/>
      <w:bookmarkStart w:id="14" w:name="_Toc25759"/>
      <w:r>
        <w:rPr>
          <w:rFonts w:hint="eastAsia" w:ascii="仿宋" w:hAnsi="仿宋" w:eastAsia="仿宋" w:cs="宋体"/>
          <w:color w:val="auto"/>
          <w:sz w:val="24"/>
          <w:szCs w:val="24"/>
        </w:rPr>
        <w:t>三、投标人资格要求</w:t>
      </w:r>
      <w:bookmarkEnd w:id="13"/>
      <w:bookmarkEnd w:id="14"/>
    </w:p>
    <w:p w14:paraId="2986CA70">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3.1投标人须为中华人民共和国境内合法注册的律师事务所，连续经营1年以上，未受过律师主管部门的行政处罚和客户投诉。（投标人应提供省级司法部门颁发的律师事务所执业许可证复印件,加盖投标人公章）</w:t>
      </w:r>
    </w:p>
    <w:p w14:paraId="5232BD32">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3.2遵守国家有关法律、法规，具有良好的商业信誉和健全的财务会计制度。（提供2024年度财务报告或报表）</w:t>
      </w:r>
    </w:p>
    <w:p w14:paraId="7A6335E1">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3.3投标人应具有依法缴纳税收和社会保障资金的良好记录。（提供近半年中任意三个月的纳税和社保缴纳证明材料）</w:t>
      </w:r>
    </w:p>
    <w:p w14:paraId="08AC99D3">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3.4总、分律师事务所不能同时参与本项目投标；</w:t>
      </w:r>
    </w:p>
    <w:p w14:paraId="4D44F9EA">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3.5法律、行政法规规定的其他条件；</w:t>
      </w:r>
    </w:p>
    <w:p w14:paraId="12E6586A">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3.6本项目不接受联合体投标；（提供承诺函）</w:t>
      </w:r>
    </w:p>
    <w:p w14:paraId="5FB32648">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3.7其他资格要求：</w:t>
      </w:r>
    </w:p>
    <w:p w14:paraId="5EDA0838">
      <w:pPr>
        <w:pStyle w:val="2"/>
        <w:spacing w:beforeLines="0" w:afterLines="0"/>
        <w:ind w:left="0" w:right="-51" w:firstLine="0"/>
        <w:rPr>
          <w:rFonts w:hint="eastAsia" w:ascii="仿宋" w:hAnsi="仿宋" w:eastAsia="仿宋" w:cs="宋体"/>
          <w:b/>
          <w:color w:val="auto"/>
          <w:sz w:val="24"/>
          <w:szCs w:val="24"/>
        </w:rPr>
      </w:pPr>
      <w:r>
        <w:rPr>
          <w:rFonts w:hint="eastAsia" w:ascii="仿宋" w:hAnsi="仿宋" w:eastAsia="仿宋" w:cs="宋体"/>
          <w:b/>
          <w:color w:val="auto"/>
          <w:sz w:val="24"/>
          <w:szCs w:val="24"/>
        </w:rPr>
        <w:t>标段一：</w:t>
      </w:r>
    </w:p>
    <w:p w14:paraId="1F91B4D1">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①投标人应承诺合作期内，本项目入库律师团队成员不得在招标人作为一方当事人的任何案件中担任相对方的代理人以及其他影响为招标人提供服务的情况。（提供承诺函，加盖投标人公章）</w:t>
      </w:r>
    </w:p>
    <w:p w14:paraId="256384B0">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②投标人应提供至少一名具有较强的业务能力、具有保险纠纷业务领域方面的专长且具有5年（含）以上执业经历的资深律师作为本项目负责人,并承诺合作期间亲自代理不少于3件案子。</w:t>
      </w:r>
    </w:p>
    <w:p w14:paraId="00DB37F5">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必须同时提供以下证明资料方可有效：</w:t>
      </w:r>
    </w:p>
    <w:p w14:paraId="648FAC9A">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（1）律师执业证书复印件，加盖投标人公章；</w:t>
      </w:r>
    </w:p>
    <w:p w14:paraId="25B6740B">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（2）提供代理案件或从业经历简述予以证明。（提供的案件应为本次投标律师事务所推荐律师代理的案件）</w:t>
      </w:r>
    </w:p>
    <w:p w14:paraId="648AC7EF">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（3）提供项目负责人在合作期间亲自代理不少于3件案子的承诺书。</w:t>
      </w:r>
    </w:p>
    <w:p w14:paraId="40A002B0">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③投标人能够组建包括项目负责人在内的不少于3人的优秀律师团队，以保证法律服务的时间和质量；律师团队所有成员均应具有1年以上职业经历，至少有2人具有3年以上执业经历（提供律师执业证书复印件，加盖投标人公章）</w:t>
      </w:r>
    </w:p>
    <w:p w14:paraId="6589AABC">
      <w:pPr>
        <w:pStyle w:val="2"/>
        <w:spacing w:beforeLines="0" w:afterLines="0"/>
        <w:ind w:left="0" w:right="-51" w:firstLine="0"/>
        <w:rPr>
          <w:rFonts w:hint="eastAsia" w:ascii="仿宋" w:hAnsi="仿宋" w:eastAsia="仿宋" w:cs="宋体"/>
          <w:b/>
          <w:color w:val="auto"/>
          <w:sz w:val="24"/>
          <w:szCs w:val="24"/>
        </w:rPr>
      </w:pPr>
      <w:r>
        <w:rPr>
          <w:rFonts w:hint="eastAsia" w:ascii="仿宋" w:hAnsi="仿宋" w:eastAsia="仿宋" w:cs="宋体"/>
          <w:b/>
          <w:color w:val="auto"/>
          <w:sz w:val="24"/>
          <w:szCs w:val="24"/>
        </w:rPr>
        <w:t>标段二：</w:t>
      </w:r>
    </w:p>
    <w:p w14:paraId="19C7207B">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①投标人应承诺合作期内，本项目入库律师团队成员不得在招标人作为一方当事人的任何案件中担任相对方的代理人以及其他影响为招标人提供服务的情况。（承诺书，加盖投标人公章）</w:t>
      </w:r>
    </w:p>
    <w:p w14:paraId="43DDA22E">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②投标人应提供至少一名具有较强的业务能力、具有5年（含）以上执业经历的资深律师作为本项目负责人,并承诺合作期间亲自代理不少于3件案子。</w:t>
      </w:r>
    </w:p>
    <w:p w14:paraId="09A6292F">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必须同时提供以下证明资料方可有效：</w:t>
      </w:r>
    </w:p>
    <w:p w14:paraId="42B44EDC">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（1）律师执业证书复印件，加盖投标人公章；</w:t>
      </w:r>
    </w:p>
    <w:p w14:paraId="34E76274">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（2）提供代理案件或从业经历简述予以证明。（提供的案件应为本次投标律师事务所推荐律师代理的案件。）</w:t>
      </w:r>
    </w:p>
    <w:p w14:paraId="7D005BC7">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（3）提供项目负责人在合作期间亲自代理不少于3件案子的承诺书。</w:t>
      </w:r>
    </w:p>
    <w:p w14:paraId="737A7FD5">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③投标人能够组建包括项目负责人在内的不少于3人的优秀律师团队，以保证法律服务的时间和质量；律师团队所有成员均应具有2年以上职业经历，至少有1人具有5年以上执业经历（提供律师执业证书复印件，加盖投标人公章）。</w:t>
      </w:r>
    </w:p>
    <w:p w14:paraId="5A1BAC06">
      <w:pPr>
        <w:pStyle w:val="2"/>
        <w:spacing w:beforeLines="0" w:afterLines="0"/>
        <w:ind w:left="0" w:right="-51" w:firstLine="0"/>
        <w:rPr>
          <w:rFonts w:hint="eastAsia" w:ascii="仿宋" w:hAnsi="仿宋" w:eastAsia="仿宋" w:cs="宋体"/>
          <w:b/>
          <w:color w:val="auto"/>
          <w:sz w:val="24"/>
          <w:szCs w:val="24"/>
        </w:rPr>
      </w:pPr>
      <w:r>
        <w:rPr>
          <w:rFonts w:hint="eastAsia" w:ascii="仿宋" w:hAnsi="仿宋" w:eastAsia="仿宋" w:cs="宋体"/>
          <w:b/>
          <w:color w:val="auto"/>
          <w:sz w:val="24"/>
          <w:szCs w:val="24"/>
        </w:rPr>
        <w:t>标段三：</w:t>
      </w:r>
    </w:p>
    <w:p w14:paraId="20CF1CAF">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①投标人应承诺合作期内，本项目入库律师团队成员不得在招标人作为一方当事人的任何案件中担任相对方的代理人以及其他影响为招标人提供服务的情况。（承诺书，加盖投标人公章）</w:t>
      </w:r>
    </w:p>
    <w:p w14:paraId="3C34CD2B">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②投标人应熟悉保险公司经营管理活动，对保险公司法律顾问工作目标和内容理解充分，近三年（2023年1月1日至开标日）有受聘于地方政府、其他保险主体或市内重点企业单位法律顾问经历的。（必须同时提供合作单位顾问合同）</w:t>
      </w:r>
    </w:p>
    <w:p w14:paraId="3F34B631">
      <w:pPr>
        <w:numPr>
          <w:ilvl w:val="0"/>
          <w:numId w:val="0"/>
        </w:numPr>
        <w:spacing w:beforeLines="0" w:afterLines="0"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③投标人能够组建包括项目负责人在内的不少于5人的优秀律师团队，以保证法律服务的时间和质量；律师团队所有成员均应具有2年以上职业经历，至少有1人具有5年以上执业经历（提供律师执业证书复印件，加盖投标人公章）。</w:t>
      </w:r>
    </w:p>
    <w:p w14:paraId="12251090">
      <w:pPr>
        <w:numPr>
          <w:ilvl w:val="0"/>
          <w:numId w:val="0"/>
        </w:numPr>
        <w:spacing w:line="360" w:lineRule="auto"/>
        <w:ind w:firstLine="482" w:firstLineChars="200"/>
        <w:textAlignment w:val="baseline"/>
        <w:rPr>
          <w:rFonts w:hint="default"/>
          <w:b/>
          <w:color w:val="auto"/>
          <w:sz w:val="21"/>
          <w:szCs w:val="24"/>
        </w:rPr>
      </w:pPr>
      <w:r>
        <w:rPr>
          <w:rFonts w:hint="eastAsia" w:ascii="仿宋" w:hAnsi="仿宋" w:eastAsia="仿宋" w:cs="宋体"/>
          <w:b/>
          <w:color w:val="auto"/>
          <w:sz w:val="24"/>
          <w:szCs w:val="24"/>
        </w:rPr>
        <w:t>注：如在中标后或签订合作协议后，招标人发现投标时中标人有虚假资料或不满足上述单个或部分要求的，招标人有权取消投标人中标资格或单方面解除协议。</w:t>
      </w:r>
    </w:p>
    <w:p w14:paraId="536A5623">
      <w:pPr>
        <w:pStyle w:val="4"/>
        <w:rPr>
          <w:rFonts w:hint="eastAsia" w:ascii="仿宋" w:hAnsi="仿宋" w:eastAsia="仿宋" w:cs="宋体"/>
          <w:color w:val="auto"/>
          <w:sz w:val="24"/>
          <w:szCs w:val="24"/>
        </w:rPr>
      </w:pPr>
      <w:bookmarkStart w:id="15" w:name="_Toc26240"/>
      <w:bookmarkStart w:id="16" w:name="_Toc2010"/>
      <w:r>
        <w:rPr>
          <w:rFonts w:hint="eastAsia" w:ascii="仿宋" w:hAnsi="仿宋" w:eastAsia="仿宋" w:cs="宋体"/>
          <w:color w:val="auto"/>
          <w:sz w:val="24"/>
          <w:szCs w:val="24"/>
        </w:rPr>
        <w:t>四、资格审查方法</w:t>
      </w:r>
      <w:bookmarkEnd w:id="15"/>
      <w:bookmarkEnd w:id="16"/>
    </w:p>
    <w:p w14:paraId="1A40980B">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本项目将进行资格后审，资格审查方法为合格制，资格审查标准和内容见招标文件第三章“评标办法”。未通过资格后审的投标人，投标将被否决。</w:t>
      </w:r>
    </w:p>
    <w:p w14:paraId="7FC116C7">
      <w:pPr>
        <w:pStyle w:val="4"/>
        <w:rPr>
          <w:rFonts w:hint="eastAsia" w:ascii="仿宋" w:hAnsi="仿宋" w:eastAsia="仿宋" w:cs="宋体"/>
          <w:color w:val="auto"/>
          <w:sz w:val="24"/>
          <w:szCs w:val="24"/>
        </w:rPr>
      </w:pPr>
      <w:bookmarkStart w:id="17" w:name="_Toc10208"/>
      <w:bookmarkStart w:id="18" w:name="_Toc23908"/>
      <w:r>
        <w:rPr>
          <w:rFonts w:hint="eastAsia" w:ascii="仿宋" w:hAnsi="仿宋" w:eastAsia="仿宋" w:cs="宋体"/>
          <w:color w:val="auto"/>
          <w:sz w:val="24"/>
          <w:szCs w:val="24"/>
        </w:rPr>
        <w:t>五、招标文件的获取</w:t>
      </w:r>
      <w:bookmarkEnd w:id="17"/>
      <w:bookmarkEnd w:id="18"/>
    </w:p>
    <w:p w14:paraId="58326958">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5.1招标文件获取时间：</w:t>
      </w:r>
      <w:r>
        <w:rPr>
          <w:rFonts w:hint="eastAsia" w:ascii="仿宋" w:hAnsi="仿宋" w:eastAsia="仿宋" w:cs="仿宋"/>
          <w:b/>
          <w:color w:val="auto"/>
          <w:sz w:val="24"/>
          <w:szCs w:val="24"/>
          <w:u w:val="single"/>
        </w:rPr>
        <w:t>2025年10月28日</w:t>
      </w:r>
      <w:r>
        <w:rPr>
          <w:rFonts w:hint="eastAsia" w:ascii="仿宋" w:hAnsi="仿宋" w:eastAsia="仿宋" w:cs="仿宋"/>
          <w:b/>
          <w:color w:val="auto"/>
          <w:sz w:val="24"/>
          <w:szCs w:val="24"/>
        </w:rPr>
        <w:t>至</w:t>
      </w:r>
      <w:r>
        <w:rPr>
          <w:rFonts w:hint="eastAsia" w:ascii="仿宋" w:hAnsi="仿宋" w:eastAsia="仿宋" w:cs="仿宋"/>
          <w:b/>
          <w:color w:val="auto"/>
          <w:sz w:val="24"/>
          <w:szCs w:val="24"/>
          <w:u w:val="single"/>
        </w:rPr>
        <w:t>2025年11月3日，</w:t>
      </w:r>
      <w:r>
        <w:rPr>
          <w:rFonts w:hint="eastAsia" w:ascii="仿宋" w:hAnsi="仿宋" w:eastAsia="仿宋" w:cs="仿宋"/>
          <w:color w:val="auto"/>
          <w:sz w:val="24"/>
          <w:szCs w:val="24"/>
        </w:rPr>
        <w:t>上午09时至11时，下午13时至17时（北京时间，下同）。</w:t>
      </w:r>
    </w:p>
    <w:p w14:paraId="348549CC">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5.2 招标文件获取方式：</w:t>
      </w:r>
    </w:p>
    <w:p w14:paraId="51C28D18">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5.2.1供应商应在代理机构业务系统中点击下方链接注册完善供应商信息http://user.gxzb.com.cn/ztb/unit/login/register.jsp（上述网址仅限电脑端浏览器使用，手机等移动端无法使用）。请供应商尽快完成注册（已注册过的无需重复注册）。</w:t>
      </w:r>
    </w:p>
    <w:p w14:paraId="007EEFC9">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5.2.2注册成功后提交如下材料报名：</w:t>
      </w:r>
    </w:p>
    <w:p w14:paraId="5B931E1C">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（1）投标供应商的营业执照副本复印件；</w:t>
      </w:r>
    </w:p>
    <w:p w14:paraId="44B0A476">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（2）投标供应商法定代表人授权委托书原件、法定代表人身份证复印件和委托代理人的身份证复印件（需备注联系人及电话）；</w:t>
      </w:r>
    </w:p>
    <w:p w14:paraId="1FA8129B">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（3）投标单位购买招标文件款项汇款凭证复印件（公司汇款，不接受个人汇款）；</w:t>
      </w:r>
    </w:p>
    <w:p w14:paraId="4357DDE6">
      <w:pPr>
        <w:wordWrap w:val="0"/>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5.2.3凡愿参加投标的合格供应商可在上述时间内将资料扫描件发送到508342897@qq.com。（邮件主题：项目编号+标段号+供应商全称。）购买招标文件并按照招标文件要求参加招投标活动。</w:t>
      </w:r>
    </w:p>
    <w:p w14:paraId="28B7E78A">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5.2.4获取招标文件其他说明：</w:t>
      </w:r>
    </w:p>
    <w:p w14:paraId="697C7901">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（1）招标文件工本费：500元/标段，售后不退。凡愿参加投标的合格供应商应在上述规定的时间内按照规定获取招标文件，逾期不再办理。未按规定获取招标文件的投标将被拒绝。</w:t>
      </w:r>
    </w:p>
    <w:p w14:paraId="419BDB66">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获得购买招标文件资格的投标单位将购买招标文件款项电汇至以下账户：</w:t>
      </w:r>
    </w:p>
    <w:p w14:paraId="7263E478">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账户名称：国信招标集团股份有限公司江苏分公司</w:t>
      </w:r>
    </w:p>
    <w:p w14:paraId="4A0743D4">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开户银行：招商银行南京奥体支行</w:t>
      </w:r>
    </w:p>
    <w:p w14:paraId="50FF4150">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标段一账号：1259101419106012500015835</w:t>
      </w:r>
    </w:p>
    <w:p w14:paraId="3495CECC">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标段二账号：1259101419106012500015837</w:t>
      </w:r>
    </w:p>
    <w:p w14:paraId="354F14C4">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标段三账号：1259101419106012500015839</w:t>
      </w:r>
    </w:p>
    <w:p w14:paraId="7237D111">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注：请投标人在汇款时务必注明所投标项目的招标编号及款项用途，否则，因款项用途不明导致投标无效等后果由投标人自行承担。</w:t>
      </w:r>
    </w:p>
    <w:p w14:paraId="0C9A815F">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（2）投标人须保证报名及获得招标文件需提交的资料和所填写内容真实、完整、有效、一致，如因投标人递交虚假材料或填写信息错误导致的与本项目有关的任何损失由投标人承担。</w:t>
      </w:r>
    </w:p>
    <w:p w14:paraId="4F4DDA6D">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（3）招标代理机构将拒绝接受非正式报名投标人的投标文件。</w:t>
      </w:r>
    </w:p>
    <w:p w14:paraId="4F7D0442">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（4）为保证本项目信息采集，请参与本项目的潜在投标人在投标截止时间前进行“人保e采”外网(https://ec.picc.com/)项目供应商征集，即通过“人保e采”管理系统完成供应商注册入库即可。</w:t>
      </w:r>
    </w:p>
    <w:p w14:paraId="2535878F">
      <w:pPr>
        <w:spacing w:line="360" w:lineRule="auto"/>
        <w:ind w:firstLine="480" w:firstLineChars="200"/>
        <w:textAlignment w:val="baseline"/>
        <w:rPr>
          <w:rFonts w:hint="eastAsia" w:ascii="仿宋" w:hAnsi="仿宋" w:eastAsia="仿宋" w:cs="仿宋"/>
          <w:color w:val="auto"/>
          <w:sz w:val="24"/>
          <w:szCs w:val="24"/>
        </w:rPr>
      </w:pPr>
      <w:r>
        <w:rPr>
          <w:rFonts w:hint="eastAsia" w:ascii="仿宋" w:hAnsi="仿宋" w:eastAsia="仿宋" w:cs="仿宋"/>
          <w:color w:val="auto"/>
          <w:sz w:val="24"/>
          <w:szCs w:val="24"/>
        </w:rPr>
        <w:t>注:“人保e采”管理系统供应商注册入库详情可在登录采购门户后查阅《人保e采管理系统供应商入库操作指南》。</w:t>
      </w:r>
    </w:p>
    <w:p w14:paraId="7F8B7689">
      <w:pPr>
        <w:pStyle w:val="4"/>
        <w:rPr>
          <w:rFonts w:hint="eastAsia" w:ascii="仿宋" w:hAnsi="仿宋" w:eastAsia="仿宋" w:cs="宋体"/>
          <w:color w:val="auto"/>
          <w:sz w:val="24"/>
          <w:szCs w:val="24"/>
        </w:rPr>
      </w:pPr>
      <w:bookmarkStart w:id="19" w:name="_Toc23399"/>
      <w:bookmarkStart w:id="20" w:name="_Toc27908"/>
      <w:r>
        <w:rPr>
          <w:rFonts w:hint="eastAsia" w:ascii="仿宋" w:hAnsi="仿宋" w:eastAsia="仿宋" w:cs="宋体"/>
          <w:color w:val="auto"/>
          <w:sz w:val="24"/>
          <w:szCs w:val="24"/>
        </w:rPr>
        <w:t>六、投标文件的递交</w:t>
      </w:r>
      <w:bookmarkEnd w:id="19"/>
      <w:bookmarkEnd w:id="20"/>
    </w:p>
    <w:p w14:paraId="33627ACA">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6.1投标文件递交截止时间：</w:t>
      </w:r>
      <w:r>
        <w:rPr>
          <w:rFonts w:hint="eastAsia" w:ascii="仿宋" w:hAnsi="仿宋" w:eastAsia="仿宋" w:cs="宋体"/>
          <w:color w:val="auto"/>
          <w:sz w:val="24"/>
          <w:szCs w:val="24"/>
          <w:u w:val="single"/>
        </w:rPr>
        <w:t>2025年11月17日09时30分00秒</w:t>
      </w:r>
      <w:r>
        <w:rPr>
          <w:rFonts w:hint="eastAsia" w:ascii="仿宋" w:hAnsi="仿宋" w:eastAsia="仿宋" w:cs="宋体"/>
          <w:color w:val="auto"/>
          <w:sz w:val="24"/>
          <w:szCs w:val="24"/>
        </w:rPr>
        <w:t>。</w:t>
      </w:r>
    </w:p>
    <w:p w14:paraId="187B4332">
      <w:pPr>
        <w:spacing w:line="360" w:lineRule="auto"/>
        <w:ind w:firstLine="480" w:firstLineChars="200"/>
        <w:textAlignment w:val="baseline"/>
        <w:rPr>
          <w:rFonts w:hint="eastAsia" w:ascii="仿宋" w:hAnsi="仿宋" w:eastAsia="仿宋" w:cs="宋体"/>
          <w:b/>
          <w:color w:val="auto"/>
          <w:sz w:val="24"/>
          <w:szCs w:val="24"/>
        </w:rPr>
      </w:pPr>
      <w:r>
        <w:rPr>
          <w:rFonts w:hint="eastAsia" w:ascii="仿宋" w:hAnsi="仿宋" w:eastAsia="仿宋" w:cs="宋体"/>
          <w:color w:val="auto"/>
          <w:sz w:val="24"/>
          <w:szCs w:val="24"/>
        </w:rPr>
        <w:t>6.2投标文件递交地点：江苏省常州市天宁区和平北路11号4楼会议室，</w:t>
      </w:r>
      <w:r>
        <w:rPr>
          <w:rFonts w:hint="eastAsia" w:ascii="仿宋" w:hAnsi="仿宋" w:eastAsia="仿宋" w:cs="宋体"/>
          <w:b/>
          <w:color w:val="auto"/>
          <w:sz w:val="24"/>
          <w:szCs w:val="24"/>
        </w:rPr>
        <w:t>逾期送达或者未送达指定地点或者未按照招标文件要求封装的纸质投标文件不予接收。</w:t>
      </w:r>
    </w:p>
    <w:p w14:paraId="748697A9">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6.3</w:t>
      </w:r>
      <w:r>
        <w:rPr>
          <w:rFonts w:hint="eastAsia" w:ascii="仿宋" w:hAnsi="仿宋" w:eastAsia="仿宋" w:cs="宋体"/>
          <w:b/>
          <w:color w:val="auto"/>
          <w:sz w:val="24"/>
          <w:szCs w:val="24"/>
        </w:rPr>
        <w:t>本项目将于上述同一时间、地点进行开标</w:t>
      </w:r>
      <w:r>
        <w:rPr>
          <w:rFonts w:hint="eastAsia" w:ascii="仿宋" w:hAnsi="仿宋" w:eastAsia="仿宋" w:cs="宋体"/>
          <w:color w:val="auto"/>
          <w:sz w:val="24"/>
          <w:szCs w:val="24"/>
        </w:rPr>
        <w:t>，招标代理机构邀请投标人代表准时参加。</w:t>
      </w:r>
    </w:p>
    <w:p w14:paraId="1E05B7C0">
      <w:pPr>
        <w:spacing w:line="360" w:lineRule="auto"/>
        <w:ind w:firstLine="480" w:firstLineChars="200"/>
        <w:textAlignment w:val="baseline"/>
        <w:rPr>
          <w:rFonts w:hint="eastAsia" w:ascii="仿宋" w:hAnsi="仿宋" w:eastAsia="仿宋" w:cs="宋体"/>
          <w:b/>
          <w:color w:val="auto"/>
          <w:sz w:val="24"/>
          <w:szCs w:val="24"/>
        </w:rPr>
      </w:pPr>
      <w:r>
        <w:rPr>
          <w:rFonts w:hint="eastAsia" w:ascii="仿宋" w:hAnsi="仿宋" w:eastAsia="仿宋" w:cs="宋体"/>
          <w:color w:val="auto"/>
          <w:sz w:val="24"/>
          <w:szCs w:val="24"/>
        </w:rPr>
        <w:t>6.4</w:t>
      </w:r>
      <w:r>
        <w:rPr>
          <w:rFonts w:hint="eastAsia" w:ascii="仿宋" w:hAnsi="仿宋" w:eastAsia="仿宋" w:cs="宋体"/>
          <w:b/>
          <w:color w:val="auto"/>
          <w:sz w:val="24"/>
          <w:szCs w:val="24"/>
        </w:rPr>
        <w:t>出现以下情形之一时，招标代理机构不予接收投标文件：</w:t>
      </w:r>
    </w:p>
    <w:p w14:paraId="5892D374">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6.4.1  逾期送达或者未送达指定地点的；</w:t>
      </w:r>
    </w:p>
    <w:p w14:paraId="2A5BDEE6">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6.4.2  未按照招标文件要求密封的；</w:t>
      </w:r>
    </w:p>
    <w:p w14:paraId="1752AB07">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6.4.3  未按照招标公告要求获取招标文件的。</w:t>
      </w:r>
    </w:p>
    <w:p w14:paraId="5F263D42">
      <w:pPr>
        <w:pStyle w:val="4"/>
        <w:rPr>
          <w:rFonts w:hint="eastAsia" w:ascii="仿宋" w:hAnsi="仿宋" w:eastAsia="仿宋" w:cs="宋体"/>
          <w:color w:val="auto"/>
          <w:sz w:val="24"/>
          <w:szCs w:val="24"/>
        </w:rPr>
      </w:pPr>
      <w:bookmarkStart w:id="21" w:name="_Toc25493"/>
      <w:bookmarkStart w:id="22" w:name="_Toc11145"/>
      <w:r>
        <w:rPr>
          <w:rFonts w:hint="eastAsia" w:ascii="仿宋" w:hAnsi="仿宋" w:eastAsia="仿宋" w:cs="宋体"/>
          <w:color w:val="auto"/>
          <w:sz w:val="24"/>
          <w:szCs w:val="24"/>
        </w:rPr>
        <w:t>七、发布公告的媒介</w:t>
      </w:r>
      <w:bookmarkEnd w:id="21"/>
      <w:bookmarkEnd w:id="22"/>
    </w:p>
    <w:p w14:paraId="58D3F324">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本项目招标公告同时在</w:t>
      </w:r>
      <w:r>
        <w:rPr>
          <w:rFonts w:hint="eastAsia" w:ascii="仿宋" w:hAnsi="仿宋" w:eastAsia="仿宋" w:cs="宋体"/>
          <w:color w:val="auto"/>
          <w:sz w:val="24"/>
          <w:szCs w:val="24"/>
          <w:u w:val="single"/>
        </w:rPr>
        <w:t>“人保e采”外网门户（https://ec.picc.com/）、中国招标投标公共服务平台</w:t>
      </w:r>
      <w:r>
        <w:rPr>
          <w:rFonts w:hint="eastAsia" w:ascii="仿宋" w:hAnsi="仿宋" w:eastAsia="仿宋" w:cs="宋体"/>
          <w:color w:val="auto"/>
          <w:sz w:val="24"/>
          <w:szCs w:val="20"/>
          <w:u w:val="single"/>
        </w:rPr>
        <w:t>（https://ctbpsp.com）、</w:t>
      </w:r>
      <w:r>
        <w:rPr>
          <w:rFonts w:hint="eastAsia" w:ascii="仿宋" w:hAnsi="仿宋" w:eastAsia="仿宋" w:cs="宋体"/>
          <w:color w:val="auto"/>
          <w:sz w:val="24"/>
          <w:szCs w:val="24"/>
          <w:u w:val="single"/>
        </w:rPr>
        <w:t>江苏省招标投标公共服务平台</w:t>
      </w:r>
      <w:r>
        <w:rPr>
          <w:rFonts w:hint="eastAsia" w:ascii="仿宋" w:hAnsi="仿宋" w:eastAsia="仿宋" w:cs="宋体"/>
          <w:color w:val="auto"/>
          <w:sz w:val="24"/>
          <w:szCs w:val="20"/>
          <w:u w:val="single"/>
        </w:rPr>
        <w:t>（https://www.jszbtb.com）、金采网（http://www.cfcpn.com）</w:t>
      </w:r>
      <w:r>
        <w:rPr>
          <w:rFonts w:hint="eastAsia" w:ascii="仿宋" w:hAnsi="仿宋" w:eastAsia="仿宋" w:cs="宋体"/>
          <w:color w:val="auto"/>
          <w:sz w:val="24"/>
          <w:szCs w:val="24"/>
        </w:rPr>
        <w:t>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02A2580D">
      <w:pPr>
        <w:pStyle w:val="4"/>
        <w:rPr>
          <w:rFonts w:hint="eastAsia" w:ascii="仿宋" w:hAnsi="仿宋" w:eastAsia="仿宋" w:cs="宋体"/>
          <w:color w:val="auto"/>
          <w:sz w:val="24"/>
          <w:szCs w:val="24"/>
        </w:rPr>
      </w:pPr>
      <w:bookmarkStart w:id="23" w:name="_Toc17906"/>
      <w:bookmarkStart w:id="24" w:name="_Toc19714"/>
      <w:r>
        <w:rPr>
          <w:rFonts w:hint="eastAsia" w:ascii="仿宋" w:hAnsi="仿宋" w:eastAsia="仿宋" w:cs="宋体"/>
          <w:color w:val="auto"/>
          <w:sz w:val="24"/>
          <w:szCs w:val="24"/>
        </w:rPr>
        <w:t>八、联系方式</w:t>
      </w:r>
      <w:bookmarkEnd w:id="23"/>
      <w:bookmarkEnd w:id="24"/>
    </w:p>
    <w:p w14:paraId="320F25EB">
      <w:pPr>
        <w:spacing w:line="360" w:lineRule="auto"/>
        <w:ind w:firstLine="482" w:firstLineChars="200"/>
        <w:textAlignment w:val="baseline"/>
        <w:rPr>
          <w:rFonts w:hint="eastAsia" w:ascii="仿宋" w:hAnsi="仿宋" w:eastAsia="仿宋" w:cs="宋体"/>
          <w:b/>
          <w:color w:val="auto"/>
          <w:sz w:val="24"/>
          <w:szCs w:val="24"/>
        </w:rPr>
      </w:pPr>
      <w:r>
        <w:rPr>
          <w:rFonts w:hint="eastAsia" w:ascii="仿宋" w:hAnsi="仿宋" w:eastAsia="仿宋" w:cs="宋体"/>
          <w:b/>
          <w:color w:val="auto"/>
          <w:sz w:val="24"/>
          <w:szCs w:val="24"/>
        </w:rPr>
        <w:t>招标人：中国人民财产保险股份有限公司常州市分公司</w:t>
      </w:r>
    </w:p>
    <w:p w14:paraId="02FA0A8B">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地址：常州市天宁区和平北路11号</w:t>
      </w:r>
    </w:p>
    <w:p w14:paraId="7C9761D4">
      <w:pPr>
        <w:pStyle w:val="9"/>
        <w:rPr>
          <w:rFonts w:hint="eastAsia" w:ascii="仿宋" w:hAnsi="仿宋" w:eastAsia="仿宋" w:cs="宋体"/>
          <w:color w:val="auto"/>
          <w:sz w:val="24"/>
          <w:szCs w:val="24"/>
        </w:rPr>
      </w:pPr>
      <w:r>
        <w:rPr>
          <w:rFonts w:hint="eastAsia" w:ascii="仿宋" w:hAnsi="仿宋" w:eastAsia="仿宋" w:cs="宋体"/>
          <w:color w:val="auto"/>
          <w:sz w:val="24"/>
          <w:szCs w:val="24"/>
        </w:rPr>
        <w:t>联系人：杨云鹏</w:t>
      </w:r>
    </w:p>
    <w:p w14:paraId="0F5009CE">
      <w:pPr>
        <w:pStyle w:val="9"/>
        <w:rPr>
          <w:rFonts w:hint="eastAsia" w:ascii="仿宋" w:hAnsi="仿宋" w:eastAsia="仿宋" w:cs="宋体"/>
          <w:color w:val="auto"/>
          <w:sz w:val="24"/>
          <w:szCs w:val="24"/>
        </w:rPr>
      </w:pPr>
      <w:r>
        <w:rPr>
          <w:rFonts w:hint="eastAsia" w:ascii="仿宋" w:hAnsi="仿宋" w:eastAsia="仿宋" w:cs="宋体"/>
          <w:color w:val="auto"/>
          <w:sz w:val="24"/>
          <w:szCs w:val="24"/>
        </w:rPr>
        <w:t>电话：13915089237</w:t>
      </w:r>
    </w:p>
    <w:p w14:paraId="2618CD8D">
      <w:pPr>
        <w:spacing w:line="360" w:lineRule="auto"/>
        <w:ind w:firstLine="482" w:firstLineChars="200"/>
        <w:textAlignment w:val="baseline"/>
        <w:rPr>
          <w:rFonts w:hint="eastAsia" w:ascii="仿宋" w:hAnsi="仿宋" w:eastAsia="仿宋" w:cs="宋体"/>
          <w:b/>
          <w:color w:val="auto"/>
          <w:sz w:val="24"/>
          <w:szCs w:val="24"/>
        </w:rPr>
      </w:pPr>
      <w:r>
        <w:rPr>
          <w:rFonts w:hint="eastAsia" w:ascii="仿宋" w:hAnsi="仿宋" w:eastAsia="仿宋" w:cs="宋体"/>
          <w:b/>
          <w:color w:val="auto"/>
          <w:sz w:val="24"/>
          <w:szCs w:val="24"/>
        </w:rPr>
        <w:t>招标代理机构：</w:t>
      </w:r>
      <w:r>
        <w:rPr>
          <w:rFonts w:hint="eastAsia" w:ascii="仿宋" w:hAnsi="仿宋" w:eastAsia="仿宋" w:cs="宋体"/>
          <w:color w:val="auto"/>
          <w:sz w:val="24"/>
          <w:szCs w:val="24"/>
        </w:rPr>
        <w:t>国信招标集团股份有限公司</w:t>
      </w:r>
    </w:p>
    <w:p w14:paraId="5E9D5EE1">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地址：南京市建邺区奥体大街68号新城科技园研发总部园02幢7层</w:t>
      </w:r>
    </w:p>
    <w:p w14:paraId="5168A7ED">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联系人：葛菲菲、王帅、方钦钦</w:t>
      </w:r>
    </w:p>
    <w:p w14:paraId="13412A65">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电话：13770230039、15358564079</w:t>
      </w:r>
    </w:p>
    <w:p w14:paraId="45BCE3C2">
      <w:pPr>
        <w:spacing w:line="360" w:lineRule="auto"/>
        <w:ind w:firstLine="480" w:firstLineChars="200"/>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电子邮件：508342897@qq.com</w:t>
      </w:r>
    </w:p>
    <w:p w14:paraId="3129BF7B">
      <w:pPr>
        <w:spacing w:line="360" w:lineRule="auto"/>
        <w:ind w:firstLine="480" w:firstLineChars="200"/>
        <w:jc w:val="right"/>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招标人：中国人民财产保险股份有限公司常州市分公司</w:t>
      </w:r>
    </w:p>
    <w:p w14:paraId="182E0255">
      <w:pPr>
        <w:spacing w:line="360" w:lineRule="auto"/>
        <w:ind w:firstLine="480" w:firstLineChars="200"/>
        <w:jc w:val="right"/>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招标代理机构：国信招标集团股份有限公司</w:t>
      </w:r>
    </w:p>
    <w:p w14:paraId="17631D7A">
      <w:pPr>
        <w:spacing w:line="360" w:lineRule="auto"/>
        <w:ind w:firstLine="480" w:firstLineChars="200"/>
        <w:jc w:val="right"/>
        <w:textAlignment w:val="baseline"/>
        <w:rPr>
          <w:rFonts w:hint="eastAsia" w:ascii="仿宋" w:hAnsi="仿宋" w:eastAsia="仿宋" w:cs="宋体"/>
          <w:color w:val="auto"/>
          <w:sz w:val="24"/>
          <w:szCs w:val="24"/>
        </w:rPr>
      </w:pPr>
      <w:r>
        <w:rPr>
          <w:rFonts w:hint="eastAsia" w:ascii="仿宋" w:hAnsi="仿宋" w:eastAsia="仿宋" w:cs="宋体"/>
          <w:color w:val="auto"/>
          <w:sz w:val="24"/>
          <w:szCs w:val="24"/>
        </w:rPr>
        <w:t>2025年10月27日</w:t>
      </w:r>
    </w:p>
    <w:p w14:paraId="5627A17C"/>
    <w:sectPr>
      <w:pgSz w:w="12240" w:h="15840"/>
      <w:pgMar w:top="1440" w:right="1800" w:bottom="1440" w:left="1800" w:header="720" w:footer="720" w:gutter="0"/>
      <w:lnNumType w:countBy="0" w:distance="36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2FD558B3"/>
    <w:rsid w:val="41A9139B"/>
    <w:rsid w:val="5678493D"/>
    <w:rsid w:val="64DD4A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nhideWhenUsed/>
    <w:qFormat/>
    <w:uiPriority w:val="0"/>
    <w:pPr>
      <w:widowControl w:val="0"/>
      <w:spacing w:beforeLines="0" w:afterLines="0" w:line="312" w:lineRule="auto"/>
      <w:jc w:val="both"/>
    </w:pPr>
    <w:rPr>
      <w:rFonts w:hint="default" w:ascii="Calibri" w:hAnsi="Calibri" w:eastAsia="宋体" w:cs="Calibri"/>
      <w:kern w:val="2"/>
      <w:sz w:val="21"/>
      <w:szCs w:val="24"/>
      <w:lang w:val="en-US" w:eastAsia="zh-CN" w:bidi="ar-SA"/>
    </w:rPr>
  </w:style>
  <w:style w:type="paragraph" w:styleId="3">
    <w:name w:val="heading 1"/>
    <w:basedOn w:val="1"/>
    <w:next w:val="1"/>
    <w:qFormat/>
    <w:uiPriority w:val="0"/>
    <w:pPr>
      <w:keepNext/>
      <w:keepLines/>
      <w:widowControl w:val="0"/>
      <w:suppressLineNumbers w:val="0"/>
      <w:spacing w:before="340" w:beforeAutospacing="0" w:after="330" w:afterAutospacing="0" w:line="576" w:lineRule="auto"/>
      <w:jc w:val="center"/>
      <w:outlineLvl w:val="0"/>
    </w:pPr>
    <w:rPr>
      <w:rFonts w:hint="default" w:ascii="Calibri" w:hAnsi="Calibri" w:eastAsia="仿宋" w:cs="Calibri"/>
      <w:b/>
      <w:bCs/>
      <w:kern w:val="44"/>
      <w:sz w:val="28"/>
      <w:szCs w:val="28"/>
      <w:lang w:val="en-US" w:eastAsia="zh-CN" w:bidi="ar"/>
    </w:rPr>
  </w:style>
  <w:style w:type="paragraph" w:styleId="4">
    <w:name w:val="heading 2"/>
    <w:basedOn w:val="1"/>
    <w:next w:val="1"/>
    <w:semiHidden/>
    <w:unhideWhenUsed/>
    <w:qFormat/>
    <w:uiPriority w:val="0"/>
    <w:pPr>
      <w:keepNext/>
      <w:keepLines/>
      <w:widowControl w:val="0"/>
      <w:suppressLineNumbers w:val="0"/>
      <w:adjustRightInd w:val="0"/>
      <w:snapToGrid w:val="0"/>
      <w:spacing w:before="120" w:beforeAutospacing="0" w:after="120" w:afterAutospacing="0" w:line="360" w:lineRule="auto"/>
      <w:jc w:val="left"/>
      <w:outlineLvl w:val="1"/>
    </w:pPr>
    <w:rPr>
      <w:rFonts w:hint="eastAsia" w:ascii="宋体" w:hAnsi="Arial" w:eastAsia="仿宋" w:cs="Calibri"/>
      <w:b/>
      <w:bCs/>
      <w:kern w:val="2"/>
      <w:sz w:val="24"/>
      <w:szCs w:val="24"/>
      <w:lang w:val="en-US" w:eastAsia="zh-CN" w:bidi="ar"/>
    </w:rPr>
  </w:style>
  <w:style w:type="character" w:default="1" w:styleId="8">
    <w:name w:val="Default Paragraph Font"/>
    <w:semiHidden/>
    <w:uiPriority w:val="0"/>
  </w:style>
  <w:style w:type="table" w:default="1" w:styleId="7">
    <w:name w:val="Normal Table"/>
    <w:semiHidden/>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lock Text"/>
    <w:basedOn w:val="1"/>
    <w:uiPriority w:val="0"/>
    <w:pPr>
      <w:keepNext w:val="0"/>
      <w:keepLines w:val="0"/>
      <w:widowControl w:val="0"/>
      <w:suppressLineNumbers w:val="0"/>
      <w:tabs>
        <w:tab w:val="left" w:pos="8222"/>
      </w:tabs>
      <w:autoSpaceDE w:val="0"/>
      <w:autoSpaceDN w:val="0"/>
      <w:adjustRightInd w:val="0"/>
      <w:snapToGrid w:val="0"/>
      <w:spacing w:line="360" w:lineRule="auto"/>
      <w:ind w:left="1050" w:right="-53" w:firstLine="420"/>
      <w:jc w:val="both"/>
      <w:textAlignment w:val="bottom"/>
    </w:pPr>
    <w:rPr>
      <w:rFonts w:hint="eastAsia" w:ascii="宋体" w:hAnsi="Arial" w:eastAsia="宋体" w:cs="Calibri"/>
      <w:kern w:val="2"/>
      <w:sz w:val="21"/>
      <w:szCs w:val="21"/>
      <w:lang w:val="en-US" w:eastAsia="zh-CN" w:bidi="ar"/>
    </w:rPr>
  </w:style>
  <w:style w:type="paragraph" w:styleId="5">
    <w:name w:val="footer"/>
    <w:basedOn w:val="1"/>
    <w:unhideWhenUsed/>
    <w:qFormat/>
    <w:uiPriority w:val="0"/>
    <w:pPr>
      <w:tabs>
        <w:tab w:val="center" w:pos="4153"/>
        <w:tab w:val="right" w:pos="8306"/>
      </w:tabs>
      <w:snapToGrid w:val="0"/>
      <w:spacing w:beforeLines="0" w:afterLines="0"/>
      <w:jc w:val="left"/>
    </w:pPr>
    <w:rPr>
      <w:rFonts w:hint="default"/>
      <w:sz w:val="18"/>
      <w:szCs w:val="24"/>
    </w:rPr>
  </w:style>
  <w:style w:type="paragraph" w:styleId="6">
    <w:name w:val="header"/>
    <w:basedOn w:val="1"/>
    <w:unhideWhenUsed/>
    <w:qFormat/>
    <w:uiPriority w:val="0"/>
    <w:pPr>
      <w:tabs>
        <w:tab w:val="center" w:pos="4153"/>
        <w:tab w:val="right" w:pos="8306"/>
      </w:tabs>
      <w:snapToGrid w:val="0"/>
      <w:spacing w:beforeLines="0" w:afterLines="0" w:line="240" w:lineRule="auto"/>
    </w:pPr>
    <w:rPr>
      <w:rFonts w:hint="default"/>
      <w:sz w:val="18"/>
      <w:szCs w:val="24"/>
    </w:rPr>
  </w:style>
  <w:style w:type="paragraph" w:customStyle="1" w:styleId="9">
    <w:name w:val="列出段落1"/>
    <w:basedOn w:val="1"/>
    <w:uiPriority w:val="0"/>
    <w:pPr>
      <w:keepNext w:val="0"/>
      <w:keepLines w:val="0"/>
      <w:widowControl w:val="0"/>
      <w:suppressLineNumbers w:val="0"/>
      <w:spacing w:before="0" w:beforeAutospacing="0" w:after="0" w:afterAutospacing="0" w:line="312" w:lineRule="auto"/>
      <w:ind w:left="0" w:right="0" w:firstLine="420" w:firstLineChars="200"/>
      <w:jc w:val="both"/>
    </w:pPr>
    <w:rPr>
      <w:rFonts w:hint="default" w:ascii="Calibri" w:hAnsi="Calibri" w:eastAsia="宋体" w:cs="Calibri"/>
      <w:kern w:val="2"/>
      <w:sz w:val="21"/>
      <w:szCs w:val="21"/>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1</Lines>
  <Paragraphs>1</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2025-10-27T08:36:22Z</dcterms:created>
  <dc:creator>50834</dc:creator>
  <cp:lastModifiedBy>W</cp:lastModifiedBy>
  <dcterms:modified xsi:type="dcterms:W3CDTF">2025-10-27T08:39:29Z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eyJoZGlkIjoiM2VlZGJmZWViY2Y0ZGU3YThlZTI0NDgwYTEzOWU3ODgiLCJ1c2VySWQiOiIyODc3MDYwNDEifQ==</vt:lpwstr>
  </property>
  <property fmtid="{D5CDD505-2E9C-101B-9397-08002B2CF9AE}" pid="4" name="ICV">
    <vt:lpwstr>32DE9FB26F2F432A9E7AFEE482CC8ABE_12</vt:lpwstr>
  </property>
</Properties>
</file>