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snapToGrid w:val="0"/>
        </w:rPr>
      </w:pPr>
      <w:r>
        <w:rPr>
          <w:rFonts w:hint="eastAsia" w:ascii="彩虹黑体" w:eastAsia="彩虹黑体"/>
        </w:rPr>
        <w:t>铁路支行新密支行</w:t>
      </w:r>
      <w:r>
        <w:rPr>
          <w:rFonts w:hint="eastAsia"/>
          <w:snapToGrid w:val="0"/>
        </w:rPr>
        <w:t>公安</w:t>
      </w:r>
      <w:r>
        <w:rPr>
          <w:snapToGrid w:val="0"/>
        </w:rPr>
        <w:t>110联网报警服务</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spacing w:line="520" w:lineRule="exact"/>
        <w:ind w:firstLine="640" w:firstLineChars="200"/>
        <w:rPr>
          <w:rFonts w:ascii="彩虹粗仿宋" w:eastAsia="彩虹粗仿宋"/>
          <w:sz w:val="32"/>
          <w:szCs w:val="32"/>
        </w:rPr>
      </w:pPr>
      <w:r>
        <w:rPr>
          <w:rFonts w:hint="eastAsia" w:ascii="彩虹粗仿宋" w:eastAsia="彩虹粗仿宋"/>
          <w:sz w:val="32"/>
          <w:szCs w:val="32"/>
        </w:rPr>
        <w:t>（一）具有独立法人资格，有效的营业执照。</w:t>
      </w:r>
    </w:p>
    <w:p>
      <w:pPr>
        <w:spacing w:line="520" w:lineRule="exact"/>
        <w:ind w:firstLine="640" w:firstLineChars="200"/>
        <w:rPr>
          <w:rFonts w:ascii="彩虹粗仿宋" w:eastAsia="彩虹粗仿宋"/>
          <w:sz w:val="32"/>
          <w:szCs w:val="32"/>
        </w:rPr>
      </w:pPr>
      <w:r>
        <w:rPr>
          <w:rFonts w:hint="eastAsia" w:ascii="彩虹粗仿宋" w:eastAsia="彩虹粗仿宋"/>
          <w:sz w:val="32"/>
          <w:szCs w:val="32"/>
        </w:rPr>
        <w:t>（二）正常经营，财务状况良好，提供近三年（202</w:t>
      </w:r>
      <w:r>
        <w:rPr>
          <w:rFonts w:hint="eastAsia" w:ascii="彩虹粗仿宋" w:eastAsia="彩虹粗仿宋"/>
          <w:sz w:val="32"/>
          <w:szCs w:val="32"/>
          <w:lang w:val="en-US" w:eastAsia="zh-CN"/>
        </w:rPr>
        <w:t>0</w:t>
      </w:r>
      <w:r>
        <w:rPr>
          <w:rFonts w:hint="eastAsia" w:ascii="彩虹粗仿宋" w:eastAsia="彩虹粗仿宋"/>
          <w:sz w:val="32"/>
          <w:szCs w:val="32"/>
        </w:rPr>
        <w:t>年-202</w:t>
      </w:r>
      <w:r>
        <w:rPr>
          <w:rFonts w:hint="eastAsia" w:ascii="彩虹粗仿宋" w:eastAsia="彩虹粗仿宋"/>
          <w:sz w:val="32"/>
          <w:szCs w:val="32"/>
          <w:lang w:val="en-US" w:eastAsia="zh-CN"/>
        </w:rPr>
        <w:t>2</w:t>
      </w:r>
      <w:bookmarkStart w:id="0" w:name="_GoBack"/>
      <w:bookmarkEnd w:id="0"/>
      <w:r>
        <w:rPr>
          <w:rFonts w:hint="eastAsia" w:ascii="彩虹粗仿宋" w:eastAsia="彩虹粗仿宋"/>
          <w:sz w:val="32"/>
          <w:szCs w:val="32"/>
        </w:rPr>
        <w:t>年）的经审计的财务报告或财务报表（新成立企业从成立日计算）</w:t>
      </w:r>
    </w:p>
    <w:p>
      <w:pPr>
        <w:spacing w:line="520" w:lineRule="exact"/>
        <w:ind w:firstLine="640" w:firstLineChars="200"/>
        <w:rPr>
          <w:rFonts w:ascii="彩虹粗仿宋" w:eastAsia="彩虹粗仿宋"/>
          <w:sz w:val="32"/>
          <w:szCs w:val="32"/>
        </w:rPr>
      </w:pPr>
      <w:r>
        <w:rPr>
          <w:rFonts w:hint="eastAsia" w:ascii="彩虹粗仿宋" w:eastAsia="彩虹粗仿宋"/>
          <w:sz w:val="32"/>
          <w:szCs w:val="32"/>
        </w:rPr>
        <w:t>（三）</w:t>
      </w:r>
      <w:r>
        <w:rPr>
          <w:rFonts w:hint="eastAsia" w:ascii="彩虹粗仿宋" w:eastAsia="彩虹粗仿宋"/>
          <w:sz w:val="32"/>
        </w:rPr>
        <w:t>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spacing w:line="520" w:lineRule="exact"/>
        <w:ind w:firstLine="640" w:firstLineChars="200"/>
        <w:rPr>
          <w:rFonts w:ascii="彩虹粗仿宋" w:eastAsia="彩虹粗仿宋"/>
          <w:sz w:val="32"/>
          <w:szCs w:val="32"/>
        </w:rPr>
      </w:pPr>
      <w:r>
        <w:rPr>
          <w:rFonts w:hint="eastAsia" w:ascii="彩虹粗仿宋" w:eastAsia="彩虹粗仿宋"/>
          <w:sz w:val="32"/>
          <w:szCs w:val="32"/>
        </w:rPr>
        <w:t>（四）具有固定的办公场所、健全的组织管理机构。</w:t>
      </w:r>
    </w:p>
    <w:p>
      <w:pPr>
        <w:spacing w:line="520" w:lineRule="exact"/>
        <w:ind w:firstLine="640" w:firstLineChars="200"/>
        <w:rPr>
          <w:rFonts w:ascii="彩虹粗仿宋" w:eastAsia="彩虹粗仿宋"/>
          <w:sz w:val="32"/>
          <w:szCs w:val="32"/>
        </w:rPr>
      </w:pPr>
      <w:r>
        <w:rPr>
          <w:rFonts w:hint="eastAsia" w:ascii="彩虹粗仿宋" w:eastAsia="彩虹粗仿宋"/>
          <w:sz w:val="32"/>
          <w:szCs w:val="32"/>
        </w:rPr>
        <w:t>（五）</w:t>
      </w:r>
      <w:r>
        <w:rPr>
          <w:rStyle w:val="6"/>
          <w:rFonts w:hint="eastAsia" w:ascii="彩虹粗仿宋" w:hAnsi="微软雅黑" w:eastAsia="彩虹粗仿宋"/>
          <w:sz w:val="32"/>
          <w:szCs w:val="32"/>
        </w:rPr>
        <w:t>2021年1月1日以来</w:t>
      </w:r>
      <w:r>
        <w:rPr>
          <w:rFonts w:hint="eastAsia" w:ascii="彩虹粗仿宋" w:eastAsia="彩虹粗仿宋"/>
          <w:sz w:val="32"/>
          <w:szCs w:val="32"/>
        </w:rPr>
        <w:t>具有110报警同类项目经验。</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djustRightInd w:val="0"/>
        <w:snapToGrid w:val="0"/>
        <w:spacing w:line="600" w:lineRule="exact"/>
        <w:ind w:firstLine="640" w:firstLineChars="20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（一）商品品类</w:t>
      </w:r>
    </w:p>
    <w:tbl>
      <w:tblPr>
        <w:tblStyle w:val="4"/>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3"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安防、值守及巡查服务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C2109</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监控报警专线服务</w:t>
            </w:r>
          </w:p>
        </w:tc>
      </w:tr>
    </w:tbl>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（二）服务内容</w:t>
      </w:r>
    </w:p>
    <w:p>
      <w:pPr>
        <w:adjustRightInd w:val="0"/>
        <w:snapToGrid w:val="0"/>
        <w:spacing w:line="56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新密支行所辖重点部位、营业网点、离行式自助银行（自助设备）、办公楼、档案库等10个重点部位联网报警设施、设备及相关配件的安装、更换、调试、维修、巡检及迁移，对联网报警设备进行报警测试、监控、警情处置等服务项目，</w:t>
      </w:r>
      <w:r>
        <w:rPr>
          <w:rFonts w:hint="eastAsia" w:ascii="彩虹粗仿宋" w:hAnsi="彩虹粗仿宋" w:eastAsia="彩虹粗仿宋" w:cs="彩虹粗仿宋"/>
          <w:sz w:val="32"/>
          <w:szCs w:val="32"/>
        </w:rPr>
        <w:t>对报警设备巡检维修维护及时，确保守护目标的安全。</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（一）团队负责人开展110联网报警服务2年以上；</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（二）团队人员经过专业培训，能正常维修设备故障；</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（三）供应商公司服务人员按照我行的要求完成每次的工作任务，遵章守纪，合规履职；</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（四）服务团队为我行服务人员提供营运期间的支持保障及应急工作；</w:t>
      </w:r>
    </w:p>
    <w:p>
      <w:pPr>
        <w:adjustRightInd w:val="0"/>
        <w:snapToGrid w:val="0"/>
        <w:spacing w:line="56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（五）团队人员具备一定的专业技能，能正确处理服务中出现的各种情况并进行有效处置。</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（一）服务质量标准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1、供应商承诺按照协议约定的服务内容向我行提供合格的服务，接受我行对其工作的指导和监督。</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2、按照我行的服务需求，配备和提供服务人员。不得泄漏因服务而取得的任何我行的业务信息。</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3、供应商负责制定与受托业务相关的内控制度、操作规程、人员考核等办法，并报我行备案；供应商不得将其在协议约定项下任一事项转让或分包给第三方。</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供应商负责与服务人员签订符合《劳动法》的正式合同，负责劳动用工以及涉及劳动关系管理的所有事宜。供应商应承诺服务人员的基本保障性工资不低于所在工作地区最低工资标准，按照国家规定缴纳社会保险等。</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5、供应商应确保与公安局“110”报警服务平台的信息畅通，达到公安部门服务的要求。做好所辖110报警设备日常的故障排查工作，确保技术人员配备，保障设备良好运行。</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（二）风险控制要求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按照总行《关于防范业务外包用工风险的通知》（建人〔2014〕235号）的文件要求，禁止供应商以我行名义进行用工管理或开展生产经营活动，服务人员应与供应商公司依法订立劳动合同，防范服务类业务用工风险。</w:t>
      </w:r>
    </w:p>
    <w:p>
      <w:pPr>
        <w:adjustRightInd w:val="0"/>
        <w:snapToGrid w:val="0"/>
        <w:spacing w:line="600" w:lineRule="exact"/>
        <w:ind w:firstLine="640" w:firstLineChars="200"/>
        <w:jc w:val="left"/>
        <w:outlineLvl w:val="2"/>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1、日常管理、监督和检查。</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在110报警联网维护服务过程中均涉及服务人员的使用和管理，我行具体负责服务人员的业务培训和规范操作，指导、监督服务人员按章办事，一是110报警服务人员在执勤中，维护我行的设备正常运行，发现问题及时报告处理；二是利用物联网平台系统，监督检查服务的同时，及时接收处理巡护人员的反馈的情况，防范事（案）件的发生。</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（2）按照我行的要求，双方约定每季度召开一次联席会，至少开展一次供应商公司服务检查，并形成检查报告，对检查中发现的问题及时通报服务公司，限期整改和落实，每年度结束后形成年度评估报告。</w:t>
      </w:r>
    </w:p>
    <w:p>
      <w:pPr>
        <w:adjustRightInd w:val="0"/>
        <w:snapToGrid w:val="0"/>
        <w:spacing w:line="600" w:lineRule="exact"/>
        <w:ind w:firstLine="640" w:firstLineChars="200"/>
        <w:jc w:val="left"/>
        <w:outlineLvl w:val="2"/>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2、明确责任，防范风险</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（1）双方按照约定明确双方责任，建立健全安全责任制，完善双方沟通协作机制。提供110报警联网维护服务的</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公司应根据不同工作性质，明确人员岗位职责，规范流程，不断提升服务人员的业务素质和技能，为我行提供更加安全的110报警服务。</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（2）我行负责监督检查</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公司提供服务的数量、质量和应急处置。</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公司通过工作合同、规章对服务人员的行为做出约束，并与服务人员一一签订《保密协议》，防范客户信息泄露的风险，严格防范操作风险、声誉风险及其它风险。</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（三）保密要求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1、服务人员只能掌握了解工作需要的相关信息，不得将我行信息资料以任何方式透露给其他任何机构或个人。</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2、服务人员不得利用工作之便窃取、收买或者非法提供他人申请信息资料进行各种非法活动。</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公司及公司服务人员原因导致我行及客户信息泄漏的，按照双方合同约定追究相关责任。</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公司应严守在履行协议约定中以口头、书面或其他任何方式知悉的我行的商业秘密、技术秘密和其他商业及业务信息，不得泄露。无论协议约定是否无效、变更或终止，本保密条款持续有效。</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（四）应急预案要求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公司应制定相关应急预案，演练预案场景、预案分工、预案演练、预案评估，并明确应急处置流程。</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2、因服务人员原因造成我行及客户信息泄露、客户投诉等风险，</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公司应立即向我行报告，同时启动应急预案，沟通协商解决办法，防止事态扩大。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公司原因（如：服务中断）引起突发事件的，我行应立即启动相应应急预案，妥善处置问题，积极争取恢复生产。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4、造成我行经济损失的，应按照相关法律法规、合同约定进行索赔。造成我行声誉损失的，应要求</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公司积极配合我行采取措施消除影响、恢复声誉。涉嫌违法犯罪的，应及时向公安机关报案。</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5、在处理事（案）件过程中要时刻向我行报告进展情况，待风险解除后，形成书面报告报送我行，我行综合评估后确定是否继续开展此服务事项。</w:t>
      </w:r>
    </w:p>
    <w:p>
      <w:pPr>
        <w:spacing w:line="600" w:lineRule="exact"/>
        <w:ind w:firstLine="640" w:firstLineChars="200"/>
        <w:jc w:val="left"/>
        <w:outlineLvl w:val="1"/>
        <w:rPr>
          <w:rFonts w:ascii="彩虹粗仿宋" w:hAnsi="彩虹粗仿宋" w:eastAsia="彩虹粗仿宋" w:cs="彩虹粗仿宋"/>
          <w:sz w:val="32"/>
          <w:szCs w:val="32"/>
        </w:rPr>
      </w:pPr>
      <w:r>
        <w:rPr>
          <w:rFonts w:hint="eastAsia" w:ascii="彩虹粗仿宋" w:hAnsi="彩虹粗仿宋" w:eastAsia="彩虹粗仿宋" w:cs="彩虹粗仿宋"/>
          <w:snapToGrid w:val="0"/>
          <w:kern w:val="0"/>
          <w:sz w:val="32"/>
          <w:szCs w:val="32"/>
        </w:rPr>
        <w:t>（五）</w:t>
      </w:r>
      <w:r>
        <w:rPr>
          <w:rFonts w:hint="eastAsia" w:ascii="彩虹粗仿宋" w:hAnsi="彩虹粗仿宋" w:eastAsia="彩虹粗仿宋" w:cs="彩虹粗仿宋"/>
          <w:sz w:val="32"/>
          <w:szCs w:val="32"/>
        </w:rPr>
        <w:t>消保条款要求</w:t>
      </w:r>
    </w:p>
    <w:p>
      <w:pPr>
        <w:spacing w:line="600" w:lineRule="exact"/>
        <w:ind w:firstLine="640" w:firstLineChars="200"/>
        <w:jc w:val="left"/>
        <w:outlineLvl w:val="2"/>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1.个人信息保护条款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（1）明确双方职责、保密义务及个人信息保护条款措施、个人信息发生泄露的违约责任；约定合作机构的保密义务不因服务的终止而终止；</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（2）合作机构不得在未获得客户同意的前提下将获得的个人信息进一步提供给其他第三方；</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（3）合作机构向个人信息主体征得收集个人信息的明确同意授权；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（4）在双方合作关系终止时，应确保其不再存储我行相关个人信息。</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600" w:lineRule="exact"/>
        <w:ind w:firstLine="640" w:firstLineChars="200"/>
        <w:jc w:val="left"/>
        <w:outlineLvl w:val="2"/>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2.信息披露条款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600" w:lineRule="exact"/>
        <w:ind w:firstLine="640" w:firstLineChars="200"/>
        <w:jc w:val="left"/>
        <w:outlineLvl w:val="2"/>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3.消费者投诉条款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（2）对涉及理赔给付的合作机构，应明确其承担的投诉处理义务和责任。</w:t>
      </w:r>
    </w:p>
    <w:p>
      <w:pPr>
        <w:spacing w:line="600" w:lineRule="exact"/>
        <w:ind w:firstLine="640" w:firstLineChars="200"/>
        <w:jc w:val="left"/>
        <w:outlineLvl w:val="2"/>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4.其他行为监督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600" w:lineRule="exact"/>
        <w:ind w:firstLine="640" w:firstLineChars="200"/>
        <w:jc w:val="left"/>
        <w:outlineLvl w:val="2"/>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5.黑名单退出机制</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对有下列情形之一的，应取消准入资格；已经准入的，应予以退出。</w:t>
      </w:r>
    </w:p>
    <w:p>
      <w:pPr>
        <w:spacing w:line="600" w:lineRule="exact"/>
        <w:ind w:left="210" w:leftChars="100"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（1）存在消费者权益侵权行为，引发较大舆情或重大投诉在社会上造成严重不良影响的；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（2）存在消费者权益侵权行为，受到监管处罚，给我行造成严重不良影响的；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（3）存在消费者权益侵权行为，受到公安立案或法院判决，给我行造成严重不良影响的；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（4）违反法律法规和监管机构规定的其他严重情形。</w:t>
      </w:r>
    </w:p>
    <w:p>
      <w:pPr>
        <w:adjustRightInd w:val="0"/>
        <w:snapToGrid w:val="0"/>
        <w:spacing w:line="600" w:lineRule="exact"/>
        <w:ind w:firstLine="640" w:firstLineChars="200"/>
        <w:jc w:val="left"/>
        <w:outlineLvl w:val="2"/>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6.争端的解决</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合同协议有效期内若发生争议，应本着友好协商的态度加以妥善解决。协商不成的，向所在地人民法院起诉。诉讼期间，合同不涉及争议的条款，双方仍需继续履行。</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（七）验收方法和标准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1.每个点报警主机联网率达到100%,探测设备故障能在24小时内解决按“合格”，总体合格档次支付全额服务费用。</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 xml:space="preserve">2.单点报警主机联网率未达到100%,探测设备故障不能在24小时内解决按“不合格”，扣除该点报警服务费。 </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彩虹粗仿宋" w:eastAsia="彩虹粗仿宋" w:cs="彩虹粗仿宋"/>
          <w:snapToGrid w:val="0"/>
          <w:kern w:val="0"/>
          <w:sz w:val="32"/>
          <w:szCs w:val="32"/>
        </w:rPr>
        <w:t>3.每月由我行使用单位按“合格”、“不合格”对全行报警设备进行测评考核，合格档次支付全额服务费用，不合格档次对</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公司进行约谈，按照合同约定扣减相应费用。</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五、服务供应安排</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（一）报警监控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公司按照报警联网设备合同的约定对我行</w:t>
      </w:r>
      <w:r>
        <w:rPr>
          <w:rFonts w:hint="eastAsia" w:ascii="彩虹粗仿宋" w:hAnsi="彩虹粗仿宋" w:eastAsia="彩虹粗仿宋" w:cs="彩虹粗仿宋"/>
          <w:sz w:val="32"/>
          <w:szCs w:val="32"/>
        </w:rPr>
        <w:t>辖内报警服务点（含网点、自助、金库、档案库房等）</w:t>
      </w:r>
      <w:r>
        <w:rPr>
          <w:rFonts w:hint="eastAsia" w:ascii="彩虹粗仿宋" w:hAnsi="彩虹粗仿宋" w:eastAsia="彩虹粗仿宋" w:cs="彩虹粗仿宋"/>
          <w:snapToGrid w:val="0"/>
          <w:kern w:val="0"/>
          <w:sz w:val="32"/>
          <w:szCs w:val="32"/>
        </w:rPr>
        <w:t>进行撤布防的监控。</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（二）设备巡检</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全年为我行网点的联网报警系统每季度进行1次全面的检修。</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（三）设备日常维修维护</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做好营业场所和办公楼等重点部位110联网线路设备和报警系统的的日常维护。</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（四）人员培训</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每年对我行人员每季度提供1次安保设施设备维护使用培训。</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（五）警情处置</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彩虹粗仿宋" w:eastAsia="彩虹粗仿宋" w:cs="彩虹粗仿宋"/>
          <w:snapToGrid w:val="0"/>
          <w:kern w:val="0"/>
          <w:sz w:val="32"/>
          <w:szCs w:val="32"/>
        </w:rPr>
        <w:t>供应商与“110”指挥中心24小时共同接收紧急报警信号，及时通知反馈处理。</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六、服务数量要求</w:t>
      </w:r>
    </w:p>
    <w:tbl>
      <w:tblPr>
        <w:tblStyle w:val="3"/>
        <w:tblW w:w="4692" w:type="pct"/>
        <w:tblInd w:w="0" w:type="dxa"/>
        <w:tblLayout w:type="autofit"/>
        <w:tblCellMar>
          <w:top w:w="0" w:type="dxa"/>
          <w:left w:w="108" w:type="dxa"/>
          <w:bottom w:w="0" w:type="dxa"/>
          <w:right w:w="108" w:type="dxa"/>
        </w:tblCellMar>
      </w:tblPr>
      <w:tblGrid>
        <w:gridCol w:w="811"/>
        <w:gridCol w:w="1584"/>
        <w:gridCol w:w="3814"/>
        <w:gridCol w:w="1788"/>
      </w:tblGrid>
      <w:tr>
        <w:tblPrEx>
          <w:tblCellMar>
            <w:top w:w="0" w:type="dxa"/>
            <w:left w:w="108" w:type="dxa"/>
            <w:bottom w:w="0" w:type="dxa"/>
            <w:right w:w="108" w:type="dxa"/>
          </w:tblCellMar>
        </w:tblPrEx>
        <w:trPr>
          <w:trHeight w:val="592" w:hRule="atLeast"/>
        </w:trPr>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序号</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二级行</w:t>
            </w:r>
          </w:p>
        </w:tc>
        <w:tc>
          <w:tcPr>
            <w:tcW w:w="238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服务区域</w:t>
            </w:r>
          </w:p>
        </w:tc>
        <w:tc>
          <w:tcPr>
            <w:tcW w:w="11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点位数量</w:t>
            </w:r>
          </w:p>
        </w:tc>
      </w:tr>
      <w:tr>
        <w:tblPrEx>
          <w:tblCellMar>
            <w:top w:w="0" w:type="dxa"/>
            <w:left w:w="108" w:type="dxa"/>
            <w:bottom w:w="0" w:type="dxa"/>
            <w:right w:w="108" w:type="dxa"/>
          </w:tblCellMar>
        </w:tblPrEx>
        <w:trPr>
          <w:trHeight w:val="1552" w:hRule="atLeast"/>
        </w:trPr>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kern w:val="0"/>
                <w:sz w:val="22"/>
                <w:lang w:bidi="ar"/>
              </w:rPr>
            </w:pPr>
            <w:r>
              <w:rPr>
                <w:rFonts w:hint="eastAsia" w:ascii="宋体" w:hAnsi="宋体" w:eastAsia="宋体" w:cs="宋体"/>
                <w:kern w:val="0"/>
                <w:sz w:val="22"/>
                <w:lang w:bidi="ar"/>
              </w:rPr>
              <w:t>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kern w:val="0"/>
                <w:sz w:val="22"/>
                <w:lang w:bidi="ar"/>
              </w:rPr>
            </w:pPr>
            <w:r>
              <w:rPr>
                <w:rFonts w:hint="eastAsia" w:ascii="宋体" w:hAnsi="宋体" w:eastAsia="宋体" w:cs="宋体"/>
                <w:kern w:val="0"/>
                <w:sz w:val="22"/>
                <w:lang w:bidi="ar"/>
              </w:rPr>
              <w:t>铁路支行新密支行</w:t>
            </w:r>
          </w:p>
        </w:tc>
        <w:tc>
          <w:tcPr>
            <w:tcW w:w="238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kern w:val="0"/>
                <w:sz w:val="22"/>
                <w:lang w:bidi="ar"/>
              </w:rPr>
            </w:pPr>
            <w:r>
              <w:rPr>
                <w:rFonts w:hint="eastAsia" w:ascii="宋体" w:hAnsi="宋体" w:eastAsia="宋体" w:cs="宋体"/>
                <w:kern w:val="0"/>
                <w:sz w:val="22"/>
                <w:lang w:bidi="ar"/>
              </w:rPr>
              <w:t>对新密支行营业网点（含附行式自助银行）和离行式自助设备（银行）联网报警系统提供监控、处置、维护等服务</w:t>
            </w:r>
          </w:p>
        </w:tc>
        <w:tc>
          <w:tcPr>
            <w:tcW w:w="11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kern w:val="0"/>
                <w:sz w:val="22"/>
                <w:lang w:bidi="ar"/>
              </w:rPr>
            </w:pPr>
            <w:r>
              <w:rPr>
                <w:rFonts w:hint="eastAsia" w:ascii="宋体" w:hAnsi="宋体" w:eastAsia="宋体" w:cs="宋体"/>
                <w:kern w:val="0"/>
                <w:sz w:val="22"/>
                <w:lang w:bidi="ar"/>
              </w:rPr>
              <w:t>10</w:t>
            </w:r>
          </w:p>
        </w:tc>
      </w:tr>
    </w:tbl>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七、款项支付要求</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按月据实结算费用，供应商在完成我行辖内各重点部位110报警任务完成后，提供符合我行账务处理要求的增值税专用发票，经使用单位确认，无遗留问题，根据服务情况和考核结果，将上月度110报警服务费用转入供应商指定银行账户，如遇增加或减少维护数量,按实际每处单价进行调增或调减。</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八、报价要求</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本次采购项目为新密支行公安110联网报警服务，按照所辖内110报警服务点数量，按“元/月/点”报含税单价，超过预算为无效报价。</w:t>
      </w:r>
    </w:p>
    <w:tbl>
      <w:tblPr>
        <w:tblStyle w:val="3"/>
        <w:tblW w:w="5000" w:type="pct"/>
        <w:tblInd w:w="0" w:type="dxa"/>
        <w:tblLayout w:type="autofit"/>
        <w:tblCellMar>
          <w:top w:w="0" w:type="dxa"/>
          <w:left w:w="108" w:type="dxa"/>
          <w:bottom w:w="0" w:type="dxa"/>
          <w:right w:w="108" w:type="dxa"/>
        </w:tblCellMar>
      </w:tblPr>
      <w:tblGrid>
        <w:gridCol w:w="2130"/>
        <w:gridCol w:w="2130"/>
        <w:gridCol w:w="2131"/>
        <w:gridCol w:w="2131"/>
      </w:tblGrid>
      <w:tr>
        <w:tblPrEx>
          <w:tblCellMar>
            <w:top w:w="0" w:type="dxa"/>
            <w:left w:w="108" w:type="dxa"/>
            <w:bottom w:w="0" w:type="dxa"/>
            <w:right w:w="108" w:type="dxa"/>
          </w:tblCellMar>
        </w:tblPrEx>
        <w:trPr>
          <w:trHeight w:val="699" w:hRule="atLeast"/>
        </w:trPr>
        <w:tc>
          <w:tcPr>
            <w:tcW w:w="124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kern w:val="0"/>
                <w:sz w:val="22"/>
              </w:rPr>
            </w:pPr>
            <w:r>
              <w:rPr>
                <w:rFonts w:hint="eastAsia" w:ascii="宋体" w:hAnsi="宋体" w:eastAsia="宋体" w:cs="宋体"/>
                <w:b/>
                <w:kern w:val="0"/>
                <w:sz w:val="22"/>
              </w:rPr>
              <w:t>名称</w:t>
            </w:r>
          </w:p>
        </w:tc>
        <w:tc>
          <w:tcPr>
            <w:tcW w:w="1249"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kern w:val="0"/>
                <w:sz w:val="22"/>
              </w:rPr>
            </w:pPr>
            <w:r>
              <w:rPr>
                <w:rFonts w:hint="eastAsia" w:ascii="宋体" w:hAnsi="宋体" w:eastAsia="宋体" w:cs="宋体"/>
                <w:b/>
                <w:kern w:val="0"/>
                <w:sz w:val="22"/>
              </w:rPr>
              <w:t>项目</w:t>
            </w:r>
          </w:p>
        </w:tc>
        <w:tc>
          <w:tcPr>
            <w:tcW w:w="1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kern w:val="0"/>
                <w:sz w:val="22"/>
              </w:rPr>
            </w:pPr>
            <w:r>
              <w:rPr>
                <w:rFonts w:hint="eastAsia" w:ascii="宋体" w:hAnsi="宋体" w:eastAsia="宋体" w:cs="宋体"/>
                <w:b/>
                <w:kern w:val="0"/>
                <w:sz w:val="22"/>
              </w:rPr>
              <w:t>单位</w:t>
            </w:r>
          </w:p>
        </w:tc>
        <w:tc>
          <w:tcPr>
            <w:tcW w:w="1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kern w:val="0"/>
                <w:sz w:val="22"/>
              </w:rPr>
            </w:pPr>
            <w:r>
              <w:rPr>
                <w:rFonts w:hint="eastAsia" w:ascii="宋体" w:hAnsi="宋体" w:eastAsia="宋体" w:cs="宋体"/>
                <w:b/>
                <w:kern w:val="0"/>
                <w:sz w:val="22"/>
              </w:rPr>
              <w:t>单价</w:t>
            </w:r>
          </w:p>
        </w:tc>
      </w:tr>
      <w:tr>
        <w:tblPrEx>
          <w:tblCellMar>
            <w:top w:w="0" w:type="dxa"/>
            <w:left w:w="108" w:type="dxa"/>
            <w:bottom w:w="0" w:type="dxa"/>
            <w:right w:w="108" w:type="dxa"/>
          </w:tblCellMar>
        </w:tblPrEx>
        <w:trPr>
          <w:trHeight w:val="1740" w:hRule="atLeast"/>
        </w:trPr>
        <w:tc>
          <w:tcPr>
            <w:tcW w:w="1249"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郑州地区新密支行110联网报警</w:t>
            </w:r>
          </w:p>
        </w:tc>
        <w:tc>
          <w:tcPr>
            <w:tcW w:w="1249"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新密支行110联网报警</w:t>
            </w:r>
          </w:p>
        </w:tc>
        <w:tc>
          <w:tcPr>
            <w:tcW w:w="1250"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单价（元/点/月）</w:t>
            </w:r>
          </w:p>
        </w:tc>
        <w:tc>
          <w:tcPr>
            <w:tcW w:w="1250"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450</w:t>
            </w:r>
          </w:p>
        </w:tc>
      </w:tr>
    </w:tbl>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九、其他要求</w:t>
      </w:r>
    </w:p>
    <w:p>
      <w:pPr>
        <w:adjustRightInd w:val="0"/>
        <w:snapToGrid w:val="0"/>
        <w:spacing w:line="360" w:lineRule="auto"/>
        <w:ind w:firstLine="640" w:firstLineChars="200"/>
        <w:jc w:val="left"/>
      </w:pPr>
      <w:r>
        <w:rPr>
          <w:rFonts w:hint="eastAsia" w:ascii="彩虹粗仿宋" w:hAnsi="宋体" w:eastAsia="彩虹粗仿宋"/>
          <w:snapToGrid w:val="0"/>
          <w:sz w:val="32"/>
          <w:szCs w:val="32"/>
        </w:rPr>
        <w:t>无。</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0E720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
    <w:name w:val="im-content1"/>
    <w:basedOn w:val="5"/>
    <w:qFormat/>
    <w:uiPriority w:val="0"/>
    <w:rPr>
      <w:color w:val="00000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2024-05-22T10:23:25Z</dcterms:created>
  <dc:creator>haccb</dc:creator>
  <cp:lastModifiedBy>haccb</cp:lastModifiedBy>
  <dcterms:modified xsi:type="dcterms:W3CDTF">2024-05-22T10:23:51Z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6069EE8222FB4CB5AA66C39CC36A72D8_12</vt:lpwstr>
  </property>
</Properties>
</file>